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Белгородской обл. от 16.05.2022 N 353-рп</w:t>
              <w:br/>
              <w:t xml:space="preserve">"Об утверждении плана реализации государственной программы Белгородской области "Развитие физической культуры и спорта в Белгородской области"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16 мая 2022 г. N 353-рп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БЕЛГОРОДСКОЙ ОБЛАСТИ "РАЗВИТИЕ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В БЕЛГОРОДСКОЙ ОБЛАСТИ" НА 2022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эффективности мониторинга и контроля за реализацией мероприятий государственной </w:t>
      </w:r>
      <w:hyperlink w:history="0" r:id="rId7" w:tooltip="Постановление Правительства Белгородской обл. от 30.12.2013 N 529-пп (ред. от 16.05.2022) &quot;Об утверждении государственной программы Белгородской области &quot;Развитие физической культуры и спорта в Белгород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Белгородской области "Развитие физической культуры и спорта в Белгородской области", утвержденной постановлением Правительства Белгородской области от 30 декабря 2013 года N 529-пп, во исполнение </w:t>
      </w:r>
      <w:hyperlink w:history="0" r:id="rId8" w:tooltip="Постановление Правительства Белгородской обл. от 27.05.2013 N 202-пп (ред. от 18.04.2022) &quot;Об утверждении Порядка разработки, реализации и оценки эффективности государственных программ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27 мая 2013 года N 202-пп "Об утверждении Порядка разработки, реализации и оценки эффективности государственных программ Белгородской области":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государственной программы Белгородской области "Развитие физической культуры и спорта в Белгородской области" на 2022 год (далее - План)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Министерству спорта Белгородской области (Жигалова Н.Ю.), министерству строительства Белгородской области (Козлитина О.П.), министерству жилищно-коммунального хозяйства (Ботвиньев А.Н.) обеспечить реализацию Плана.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Министерству финансов и бюджетной политики Белгородской области (Боровик В.Ф.) обеспечить финансирование мероприятий Плана в соответствии с </w:t>
      </w:r>
      <w:hyperlink w:history="0" r:id="rId9" w:tooltip="Закон Белгородской области от 16.12.2021 N 130 (ред. от 21.04.2022) &quot;Об областном бюджете на 2022 год и на плановый период 2023 и 2024 годов&quot; (принят Белгородской областной Думой 13.12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16 декабря 2021 года N 130 "Об областном бюджете на 2022 год и на плановый период 2023 и 2024 годов".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распоряжения возложить на заместителя Губернатора Белгородской области - министра образования Белгородской области Милехина А.В.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исполнении распоряжения представить к 25 апреля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В.В.ГЛАДКОВ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16 мая 2022 г. N 353-рп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БЕЛГОРОДСКОЙ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 В БЕЛГОРОДСКОЙ</w:t>
      </w:r>
    </w:p>
    <w:p>
      <w:pPr>
        <w:pStyle w:val="2"/>
        <w:jc w:val="center"/>
      </w:pPr>
      <w:r>
        <w:rPr>
          <w:sz w:val="20"/>
        </w:rPr>
        <w:t xml:space="preserve">ОБЛАСТИ" НА 2022 ГОД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1984"/>
        <w:gridCol w:w="1701"/>
        <w:gridCol w:w="2381"/>
        <w:gridCol w:w="1312"/>
        <w:gridCol w:w="1312"/>
        <w:gridCol w:w="1417"/>
        <w:gridCol w:w="1528"/>
        <w:gridCol w:w="1417"/>
        <w:gridCol w:w="1417"/>
        <w:gridCol w:w="1417"/>
        <w:gridCol w:w="1228"/>
      </w:tblGrid>
      <w:tr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основного мероприятия, мероприятия, проекта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(соисполнитель, участник), ответственный за реализацию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реализации (с указанием значения показателя конечного, непосредственного результата)</w:t>
            </w:r>
          </w:p>
        </w:tc>
        <w:tc>
          <w:tcPr>
            <w:tcW w:w="13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реализации</w:t>
            </w:r>
          </w:p>
        </w:tc>
        <w:tc>
          <w:tcPr>
            <w:tcW w:w="13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реализации</w:t>
            </w:r>
          </w:p>
        </w:tc>
        <w:tc>
          <w:tcPr>
            <w:gridSpan w:val="6"/>
            <w:tcW w:w="8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ресурсного обеспечения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на 2022 год</w:t>
            </w:r>
          </w:p>
        </w:tc>
        <w:tc>
          <w:tcPr>
            <w:gridSpan w:val="5"/>
            <w:tcW w:w="7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 области, систематически занимающегося физической культурой и спортом, в общей численности населения области в возрасте от 3 до 79 лет - 56 процентов</w:t>
            </w:r>
          </w:p>
        </w:tc>
        <w:tc>
          <w:tcPr>
            <w:tcW w:w="13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2 185 059,50</w:t>
            </w:r>
          </w:p>
        </w:tc>
        <w:tc>
          <w:tcPr>
            <w:tcW w:w="15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95 456,70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2 044 777,60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9 805,50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35 019,70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спортсменов области, включенных в список кандидатов в спортивные сборные команды Российской Федерации, - 224 человека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Эффективность использования существующих объектов спорта - 88,4 процента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 - 69,2 процента</w:t>
            </w:r>
          </w:p>
        </w:tc>
        <w:tc>
          <w:tcPr>
            <w:tcW w:w="13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1 558 059,2</w:t>
            </w:r>
          </w:p>
        </w:tc>
        <w:tc>
          <w:tcPr>
            <w:tcW w:w="15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81 757,0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1467 315,4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8 986,8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области - 21,5 процента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- 94 процента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Единовременная пропускная способность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 (нарастающим итогом), - 970 посещений в смену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Белгородской области, занятых в экономике, занимающихся физической культурой и спортом, в общей численности населения, занятого в экономике, - 40,9 процента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Российской Федерации, проживающих в Белгородской области, выполнивших нормативы Всероссийского физкультурно-спортивного комплекса "Готов к труду и обороне" (ГТО), в общей численности населения области, принявшего участие в сдаче нормативов Всероссийского физкультурно-спортивного комплекса "Готов к труду и обороне" (ГТО), - 52 процента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</w:t>
            </w:r>
          </w:p>
          <w:p>
            <w:pPr>
              <w:pStyle w:val="0"/>
            </w:pPr>
            <w:r>
              <w:rPr>
                <w:sz w:val="20"/>
              </w:rPr>
              <w:t xml:space="preserve">"Мероприятия по вовлечению населения в занятия физической культурой и массовым спортом"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физкультурно-массовых и спортивных мероприятиях, - 165,5 тыс. человек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311 033,30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311 033,30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"Обеспечение деятельности (оказание услуг) государственных учреждений (организаций) (Предоставление субсидий бюджетным, автономным учреждениям и иным некоммерческим организациям)"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291 529,30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291 529,30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"Мероприятия (Закупка товаров, работ и услуг для обеспечения государственных (муниципальных) нужд)"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19 504,00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19 504,00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"Создание Серебряной спортивной лиги пенсионеров в регионе"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 концу 2022 года создать и организовать работу "Серебряной лиги", предусматривающей ежегодное проведение на территории области соревнований по 6 видам спорта, среди более чем 20 команд в возрасте 55+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30.03.2022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детского трейлраннинга в регионе "Трейл - детям!"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 декабрю 2022 года вовлечь в систематические занятия бегом по пересеченной местности не менее 1500 детей в возрасте от 7 до 14 лет, проживающих на территории Белгородской области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30.03.2022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"Развитие кинологического спорта в регионе "ДОГони"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 декабрю 2022 года организовать тренировочный процесс на четырех специализированных для кинологического спорта площадках, с вовлечением не менее 5000 детей, проживающих на территории Белгородской области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30.03.2022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</w:t>
            </w:r>
          </w:p>
          <w:p>
            <w:pPr>
              <w:pStyle w:val="0"/>
            </w:pPr>
            <w:r>
              <w:rPr>
                <w:sz w:val="20"/>
              </w:rPr>
              <w:t xml:space="preserve">"Мероприятия по поэтапному внедрению Всероссийского физкультурно-спортивного комплекса "Готов к труду и обороне" (ГТО)"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сдаче нормативов ГТО, - 114700 человек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7 226,20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7 226,20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"Обеспечение деятельности (оказание услуг) государственных учреждений (организации) (Предоставление субсидий бюджетным, автономным учреждениям и иным некоммерческим организациям)"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7 226,20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7 226,20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"Создание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спортивных сооружений - 6 ед.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1 142 405,9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1 135 462,0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спортивных сооружений - 2 ед.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1 030 741,90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1 030 741,90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"Субсидии на 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спортивных сооружений - 1 ед.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45 352,00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41 723,80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"Субсидии на софинансирование капитального ремонта объектов муниципальной собственности"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спортивных сооружений - 3 ед.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66 312,00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62 996,30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3 315,70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1.Р5</w:t>
            </w:r>
          </w:p>
          <w:p>
            <w:pPr>
              <w:pStyle w:val="0"/>
            </w:pPr>
            <w:r>
              <w:rPr>
                <w:sz w:val="20"/>
              </w:rPr>
              <w:t xml:space="preserve">"Спорт - норма жизни"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области, министерство строительства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и молодежи (возраст 3 - 29 лет), систематически занимающихся физической культурой и спортом, в общей численности детей и молодежи - 98,5 процента</w:t>
            </w:r>
          </w:p>
        </w:tc>
        <w:tc>
          <w:tcPr>
            <w:tcW w:w="13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97 393,8</w:t>
            </w:r>
          </w:p>
        </w:tc>
        <w:tc>
          <w:tcPr>
            <w:tcW w:w="15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81 757,0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13 593,9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2 042,9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среднего возраста (женщины: 30 - 54 лет; мужчины: 30 - 59 лет), систематически занимающихся физической культурой и спортом, в общей численности граждан среднего возраста - 48 процентов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 - 22 процента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- 89 процентов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1.Р5.1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"Создание и модернизация объектов спортивной инфраструктуры региональной собственности для занятий физической культурой и спортом"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Построены и введены в эксплуатацию объекты спорта региональной собственности - 3 ед.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90 030,80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74 688,60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13 299,30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2 042,90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1.Р5.2</w:t>
            </w:r>
          </w:p>
          <w:p>
            <w:pPr>
              <w:pStyle w:val="0"/>
            </w:pPr>
            <w:r>
              <w:rPr>
                <w:sz w:val="20"/>
              </w:rPr>
              <w:t xml:space="preserve">"Оснащение объектов спортивной инфраструктуры спортивно-технологическим оборудованием"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Поставлены комплекты спортивного оборудования - 2 ед.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7 363,00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7 068,40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системы подготовки спортивного резерва и спорта высших достижений"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в спортивных учреждениях, в общей численности детей и молодежи в возрасте от 6 до 15 лет - 63,3 процента</w:t>
            </w:r>
          </w:p>
        </w:tc>
        <w:tc>
          <w:tcPr>
            <w:tcW w:w="13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593 090,30</w:t>
            </w:r>
          </w:p>
        </w:tc>
        <w:tc>
          <w:tcPr>
            <w:tcW w:w="15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13 699,70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543 552,20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818,70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35 019,70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- 100 процентов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занимающихся в организациях спортивной подготовки, зачисленных на этапе высшего спортивного мастерства, в общем количестве занимающихся, зачисленных на этапе спортивного совершенствования в организациях спортивной подготовки, - 18,5 процента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имеющих спортивные разряды и звания, занимающихся футболом в организациях, осуществляющих подготовку, в общей численности лиц, занимающихся в организациях, осуществляющих подготовку по виду спорта "футбол", - 46,2 процента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подготовки и участия спортивных сборных команд в международных, всероссийских и других спортивных соревнованиях, обеспечение организации и проведения комплексных спортивных мероприятий, чемпионатов и первенств по видам спорта"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квалифицированных тренеров и тренеров-преподавателей физкультурно-спортивных организаций, работающих по специальности, - 1033 человека</w:t>
            </w:r>
          </w:p>
        </w:tc>
        <w:tc>
          <w:tcPr>
            <w:tcW w:w="13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повышающих спортивное мастерство в государственных учреждениях (организациях) Белгородской области спортивной направленности, - 321 человек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"Создание эффективной системы физического воспитания, ориентированной на особенности развития детей и подростков"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занимающихся в организациях спортивной подготовки, зачисленных на этапе спортивного совершенствования, в общем количестве занимающихся, зачисленных на тренировочный этап, в организациях спортивной подготовки - 8,5 процента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536 802,50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500 846,80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35 019,70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"Обеспечение деятельности (оказание услуг) государственных учреждений (организаций) Белгородской области (Предоставление субсидий бюджетным, автономным учреждениям и иным некоммерческим организациям)"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занимающихся в организациях спортивной подготовки, зачисленных на этапе спортивного совершенствования, в общем количестве занимающихся, зачисленных на тренировочный этап, в организациях спортивной подготовки - 8,5 процента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96 063,90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61 044,20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35 019,70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(организаций)"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(организаций)"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"Обеспечение деятельности (оказание услуг) государственных учреждений (организаций) (Предоставление субсидий бюджетным, автономным учреждениям и иным некоммерческим организациям)"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439 703,60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439 703,60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инфраструктуры спортивных учреждений"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области, министерство строительства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объектов капитального ремонта областной и муниципальной собственности - 1 ед.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8 187,00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"Субсидии на софинансирование капитального ремонта объектов муниципальной собственности"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введенных в эксплуатацию объектов капитального ремонта областной и муниципальной собственности - 1 ед.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8 187,00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2.5</w:t>
            </w:r>
          </w:p>
          <w:p>
            <w:pPr>
              <w:pStyle w:val="0"/>
            </w:pPr>
            <w:r>
              <w:rPr>
                <w:sz w:val="20"/>
              </w:rPr>
              <w:t xml:space="preserve">"Поддержка создания и деятельности социально ориентированных некоммерческих организаций, оказывающих услуги в сфере физической культуры и спорта"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освоенных средств социально ориентированными некоммерческими организациями в общем объеме выделенных средств из бюджета области по отрасли "Физическая культура и спорт" социально ориентированным некоммерческим организациям - 95 процентов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33 164,80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33 164,80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2.Р5</w:t>
            </w:r>
          </w:p>
          <w:p>
            <w:pPr>
              <w:pStyle w:val="0"/>
            </w:pPr>
            <w:r>
              <w:rPr>
                <w:sz w:val="20"/>
              </w:rPr>
              <w:t xml:space="preserve">"Спорт - норма жизни"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- 93,2 процента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14 936,00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12 763,70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2 172,30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2.Р5.1</w:t>
            </w:r>
          </w:p>
          <w:p>
            <w:pPr>
              <w:pStyle w:val="0"/>
            </w:pPr>
            <w:r>
              <w:rPr>
                <w:sz w:val="20"/>
              </w:rPr>
              <w:t xml:space="preserve">"Государственная поддержка спортивных организаций, осуществляющих подготовку спортивного резерва для сборных команд Российской Федерации"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- 100 процентов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7 873,90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5 984,10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1 889,80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2.Р5.2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"Приобретение спортивного оборудования и инвентаря для приведения организаций спортивной подготовки в нормативное состояние"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спортивные школы олимпийского резерва, в том числе по хоккею, поставлено новое спортивное оборудование и инвентарь - 2 ед.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7 062,10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6 779,60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2.Р5.3 "Развитие федеральной целевой программы "Развитие физической культуры и спорта в Российской Федерации на 2016 - 2025 годы"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спортсменов-разрядников в общем количестве лиц, занимающихся в системе спортивных школ олимпийского резерва и училищ олимпийского резерва, - 48,7 процента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спортсменов-разрядников, имеющих разряды и звания (от I разряда до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 - 25 процентов</w:t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</w:t>
            </w:r>
          </w:p>
          <w:p>
            <w:pPr>
              <w:pStyle w:val="0"/>
            </w:pPr>
            <w:r>
              <w:rPr>
                <w:sz w:val="20"/>
              </w:rPr>
              <w:t xml:space="preserve">"Формирование цифрового контура физической культуры и спорта на территории Белгородской области"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 декабрю 2023 года разработать и внедрить систему с прикладным программным обеспечением по автоматизации деятельности не менее 36 учреждений физической культуры и спорта региона, включающую в себя не менее 17000 электронных паспортов спортсменов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30.03.2022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реализации государственной программы"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среднего уровня достижения целевых показателей государственной программы - 95 процентов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33 910,00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33 910,00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функций органов государственной власти Белгородской области, в том числе территориальных органов"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достижения показателей подпрограмм 1 и 2 государственной программы - 95 процентов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23 707,00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23 707,00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</w:t>
            </w:r>
          </w:p>
          <w:p>
            <w:pPr>
              <w:pStyle w:val="0"/>
            </w:pPr>
            <w:r>
              <w:rPr>
                <w:sz w:val="20"/>
              </w:rPr>
              <w:t xml:space="preserve">"Оптимизация процесса подготовки к проведению массовых спортивных мероприятий на базе многофункциональной спортивной арены "Белгород-Арена"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 декабрю 2022 года сократить время протекания процесса подготовки к проведению массовых спортивных мероприятий на базе многофункциональной спортивной арены "Белгород-Арена" не менее чем на 30%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30.03.2022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"Премии и иные поощрения"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Белгородской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Премии и иные поощрения - 1 ед.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10 203,00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10 203,0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16.05.2022 N 353-рп</w:t>
            <w:br/>
            <w:t>"Об утверждении плана реализации государственной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16.05.2022 N 353-рп</w:t>
            <w:br/>
            <w:t>"Об утверждении плана реализации государственной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B706CB0EBD14E86FABB2CAFD3E3C4ABE61594F320260753F8743E03ADCD82554D188B839396CF3CD70EE5DB8BE51B914D2BF02F8E35CA62706E50m9ZFG" TargetMode = "External"/>
	<Relationship Id="rId8" Type="http://schemas.openxmlformats.org/officeDocument/2006/relationships/hyperlink" Target="consultantplus://offline/ref=8B706CB0EBD14E86FABB2CAFD3E3C4ABE61594F320260153F8743E03ADCD82554D188B9193CEC33FDA18E4D99EB34AD7m1ZAG" TargetMode = "External"/>
	<Relationship Id="rId9" Type="http://schemas.openxmlformats.org/officeDocument/2006/relationships/hyperlink" Target="consultantplus://offline/ref=8B706CB0EBD14E86FABB2CAFD3E3C4ABE61594F32025085DFA743E03ADCD82554D188B9193CEC33FDA18E4D99EB34AD7m1ZAG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16.05.2022 N 353-рп
"Об утверждении плана реализации государственной программы Белгородской области "Развитие физической культуры и спорта в Белгородской области" на 2022 год"</dc:title>
  <dcterms:created xsi:type="dcterms:W3CDTF">2022-12-18T06:25:38Z</dcterms:created>
</cp:coreProperties>
</file>