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04.09.2023 N 416-п</w:t>
              <w:br/>
              <w:t xml:space="preserve">"Об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сентября 2023 г. N 416-п</w:t>
      </w:r>
    </w:p>
    <w:p>
      <w:pPr>
        <w:pStyle w:val="2"/>
        <w:jc w:val="center"/>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БРЯНСКОЙ ОБЛАСТИ</w:t>
      </w:r>
    </w:p>
    <w:p>
      <w:pPr>
        <w:pStyle w:val="2"/>
        <w:jc w:val="center"/>
      </w:pPr>
      <w:r>
        <w:rPr>
          <w:sz w:val="20"/>
        </w:rPr>
        <w:t xml:space="preserve">НА РЕАЛИЗАЦИЮ РЕГИОНАЛЬНОГО ПРОЕКТА "УКРЕПЛЕНИЕ</w:t>
      </w:r>
    </w:p>
    <w:p>
      <w:pPr>
        <w:pStyle w:val="2"/>
        <w:jc w:val="center"/>
      </w:pPr>
      <w:r>
        <w:rPr>
          <w:sz w:val="20"/>
        </w:rPr>
        <w:t xml:space="preserve">ОБЩЕСТВЕННОГО ЗДОРОВЬЯ (БРЯНСКАЯ ОБЛАСТЬ)"</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Закон Брянской области от 04.12.2017 N 94-З (ред. от 06.03.2019) &quot;О государственной поддержке социально ориентированных некоммерческих организаций в Брянской области&quot; (принят Брянской областной Думой 30.11.2017) {КонсультантПлюс}">
        <w:r>
          <w:rPr>
            <w:sz w:val="20"/>
            <w:color w:val="0000ff"/>
          </w:rPr>
          <w:t xml:space="preserve">Законом</w:t>
        </w:r>
      </w:hyperlink>
      <w:r>
        <w:rPr>
          <w:sz w:val="20"/>
        </w:rPr>
        <w:t xml:space="preserve"> Брянской области от 4 декабря 2017 года N 94-З "О государственной поддержке социально ориентированных некоммерческих организаций в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19 июля 2021 года </w:t>
      </w:r>
      <w:hyperlink w:history="0" r:id="rId11" w:tooltip="Постановление Правительства Брянской области от 19.07.2021 N 277-п (ред. от 24.01.2022) &quot;Об утверждении порядка предоставления субсидии социально ориентированным некоммерческим организациям Брянской области на реализацию региональных программ по формированию приверженности здоровому образу жизни&quot; ------------ Утратил силу или отменен {КонсультантПлюс}">
        <w:r>
          <w:rPr>
            <w:sz w:val="20"/>
            <w:color w:val="0000ff"/>
          </w:rPr>
          <w:t xml:space="preserve">N 277-п</w:t>
        </w:r>
      </w:hyperlink>
      <w:r>
        <w:rPr>
          <w:sz w:val="20"/>
        </w:rPr>
        <w:t xml:space="preserve"> "Об утверждении Порядка предоставления субсидии социально ориентированным некоммерческим организациям Брянской области на реализацию региональных программ по формированию приверженности здоровому образу жизни";</w:t>
      </w:r>
    </w:p>
    <w:p>
      <w:pPr>
        <w:pStyle w:val="0"/>
        <w:spacing w:before="200" w:line-rule="auto"/>
        <w:ind w:firstLine="540"/>
        <w:jc w:val="both"/>
      </w:pPr>
      <w:r>
        <w:rPr>
          <w:sz w:val="20"/>
        </w:rPr>
        <w:t xml:space="preserve">от 24 января 2022 года </w:t>
      </w:r>
      <w:hyperlink w:history="0" r:id="rId12" w:tooltip="Постановление Правительства Брянской области от 24.01.2022 N 14-п &quot;О внесении изменений в Порядок предоставления субсидии социально ориентированным некоммерческим организациям Брянской области на реализацию региональных программ по формированию приверженности здоровому образу жизни&quot; ------------ Утратил силу или отменен {КонсультантПлюс}">
        <w:r>
          <w:rPr>
            <w:sz w:val="20"/>
            <w:color w:val="0000ff"/>
          </w:rPr>
          <w:t xml:space="preserve">N 14-п</w:t>
        </w:r>
      </w:hyperlink>
      <w:r>
        <w:rPr>
          <w:sz w:val="20"/>
        </w:rPr>
        <w:t xml:space="preserve"> "О внесении изменений в Порядок предоставления субсидии социально ориентированным некоммерческим организациям Брянской области на реализацию региональных программ по формированию приверженности здоровому образу жизни".</w:t>
      </w:r>
    </w:p>
    <w:p>
      <w:pPr>
        <w:pStyle w:val="0"/>
        <w:jc w:val="both"/>
      </w:pPr>
      <w:r>
        <w:rPr>
          <w:sz w:val="20"/>
        </w:rPr>
      </w:r>
    </w:p>
    <w:p>
      <w:pPr>
        <w:pStyle w:val="0"/>
        <w:ind w:firstLine="540"/>
        <w:jc w:val="both"/>
      </w:pPr>
      <w:r>
        <w:rPr>
          <w:sz w:val="20"/>
        </w:rPr>
        <w:t xml:space="preserve">3. Постановление вступает в силу со дня его официального опубликования.</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Губернатора Брянской области, координирующего деятельность департамента внутренней политики Брянской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4 сентября 2023 г. N 416-п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БРЯНСКОЙ ОБЛАСТИ НА РЕАЛИЗАЦИЮ</w:t>
      </w:r>
    </w:p>
    <w:p>
      <w:pPr>
        <w:pStyle w:val="2"/>
        <w:jc w:val="center"/>
      </w:pPr>
      <w:r>
        <w:rPr>
          <w:sz w:val="20"/>
        </w:rPr>
        <w:t xml:space="preserve">РЕГИОНАЛЬНОГО ПРОЕКТА "УКРЕПЛЕНИЕ ОБЩЕСТВЕННОГО ЗДОРОВЬЯ</w:t>
      </w:r>
    </w:p>
    <w:p>
      <w:pPr>
        <w:pStyle w:val="2"/>
        <w:jc w:val="center"/>
      </w:pPr>
      <w:r>
        <w:rPr>
          <w:sz w:val="20"/>
        </w:rPr>
        <w:t xml:space="preserve">(БРЯНСКАЯ ОБЛАСТЬ)"</w:t>
      </w:r>
    </w:p>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предоставления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 (далее - Порядок) определяет цели, условия, порядок предоставления субсидий из областного бюджета социально ориентированным некоммерческим организациям, зарегистрированным на территории Брянской области, а также определяет порядок проведения отбора получателей субсидий, требования к отчетности, предоставляемой получателями субсидий,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spacing w:before="200" w:line-rule="auto"/>
        <w:ind w:firstLine="540"/>
        <w:jc w:val="both"/>
      </w:pPr>
      <w:r>
        <w:rPr>
          <w:sz w:val="20"/>
        </w:rPr>
        <w:t xml:space="preserve">2. Для целей настоящего Порядка используются следующие основные понятия:</w:t>
      </w:r>
    </w:p>
    <w:p>
      <w:pPr>
        <w:pStyle w:val="0"/>
        <w:spacing w:before="200" w:line-rule="auto"/>
        <w:ind w:firstLine="540"/>
        <w:jc w:val="both"/>
      </w:pPr>
      <w:r>
        <w:rPr>
          <w:sz w:val="20"/>
        </w:rPr>
        <w:t xml:space="preserve">а) социально ориентированная некоммерческая организация (далее - СОНКО) - в настоящем Порядке понятие термина применяется в том же значении, что и в Федеральном </w:t>
      </w:r>
      <w:hyperlink w:history="0" r:id="rId13" w:tooltip="Федеральный закон от 12.01.1996 N 7-ФЗ (ред. от 31.07.2023) &quot;О некоммерческих организациях&quot; {КонсультантПлюс}">
        <w:r>
          <w:rPr>
            <w:sz w:val="20"/>
            <w:color w:val="0000ff"/>
          </w:rPr>
          <w:t xml:space="preserve">законе</w:t>
        </w:r>
      </w:hyperlink>
      <w:r>
        <w:rPr>
          <w:sz w:val="20"/>
        </w:rPr>
        <w:t xml:space="preserve"> от 12 января 1996 года N 7-ФЗ "О некоммерческих организациях" (далее - Федеральный закон N 7-ФЗ);</w:t>
      </w:r>
    </w:p>
    <w:p>
      <w:pPr>
        <w:pStyle w:val="0"/>
        <w:spacing w:before="200" w:line-rule="auto"/>
        <w:ind w:firstLine="540"/>
        <w:jc w:val="both"/>
      </w:pPr>
      <w:r>
        <w:rPr>
          <w:sz w:val="20"/>
        </w:rPr>
        <w:t xml:space="preserve">б) конкурс на предоставление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 (далее - конкурс) - комплекс мероприятий, проводимых в соответствии с настоящим Порядком, связанных с определением получателей субсидий,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в) субсидия - финансовая поддержка за счет средств областного и федерального бюджетов, СОНКО, победившей в конкурсе с конкретным социально значимым проектом, направленным на формирование приверженности здоровому образу жизни, в целях реализации такого проекта на условиях, определенных настоящим Порядком, с обязательным представлением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г) социально значимый проект, направленный на формирование приверженности здоровому образу жизни (далее -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проекта;</w:t>
      </w:r>
    </w:p>
    <w:p>
      <w:pPr>
        <w:pStyle w:val="0"/>
        <w:spacing w:before="200" w:line-rule="auto"/>
        <w:ind w:firstLine="540"/>
        <w:jc w:val="both"/>
      </w:pPr>
      <w:r>
        <w:rPr>
          <w:sz w:val="20"/>
        </w:rPr>
        <w:t xml:space="preserve">д) участник конкурса - СОНКО, зарегистрированная на территории Брянской области, изъявившая желание участвовать в конкурсе и подавшая заявку на участие в конкурсе;</w:t>
      </w:r>
    </w:p>
    <w:p>
      <w:pPr>
        <w:pStyle w:val="0"/>
        <w:spacing w:before="200" w:line-rule="auto"/>
        <w:ind w:firstLine="540"/>
        <w:jc w:val="both"/>
      </w:pPr>
      <w:r>
        <w:rPr>
          <w:sz w:val="20"/>
        </w:rPr>
        <w:t xml:space="preserve">е) заявка на участие в конкурсе (далее - заявка) - заявка, поданная в электронной форме и в установленный срок в подтверждение желания СОНКО принять участие в конкурсе на условиях, определенных настоящим Порядком;</w:t>
      </w:r>
    </w:p>
    <w:p>
      <w:pPr>
        <w:pStyle w:val="0"/>
        <w:spacing w:before="200" w:line-rule="auto"/>
        <w:ind w:firstLine="540"/>
        <w:jc w:val="both"/>
      </w:pPr>
      <w:r>
        <w:rPr>
          <w:sz w:val="20"/>
        </w:rPr>
        <w:t xml:space="preserve">ж) период проведения конкурса - период в соответствующем финансовом году со дня принятия решения о проведении конкурса и до дня определения получателей субсидии.</w:t>
      </w:r>
    </w:p>
    <w:p>
      <w:pPr>
        <w:pStyle w:val="0"/>
        <w:spacing w:before="200" w:line-rule="auto"/>
        <w:ind w:firstLine="540"/>
        <w:jc w:val="both"/>
      </w:pPr>
      <w:r>
        <w:rPr>
          <w:sz w:val="20"/>
        </w:rPr>
        <w:t xml:space="preserve">3. Целью предоставления субсидий является финансовое обеспечение затрат СОНКО для реализации ими социально значимых проектов, направленных на формирование приверженности здоровому образу жизни.</w:t>
      </w:r>
    </w:p>
    <w:p>
      <w:pPr>
        <w:pStyle w:val="0"/>
        <w:spacing w:before="200" w:line-rule="auto"/>
        <w:ind w:firstLine="540"/>
        <w:jc w:val="both"/>
      </w:pPr>
      <w:r>
        <w:rPr>
          <w:sz w:val="20"/>
        </w:rPr>
        <w:t xml:space="preserve">4.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внутренней политики Брянской области (далее - департамент).</w:t>
      </w:r>
    </w:p>
    <w:p>
      <w:pPr>
        <w:pStyle w:val="0"/>
        <w:spacing w:before="200" w:line-rule="auto"/>
        <w:ind w:firstLine="540"/>
        <w:jc w:val="both"/>
      </w:pPr>
      <w:r>
        <w:rPr>
          <w:sz w:val="20"/>
        </w:rPr>
        <w:t xml:space="preserve">5. Предоставление субсидий осуществляется в рамках реализации регионального проекта "Укрепление общественного здоровья (Брянская область)", реализуемого в рамках государственной </w:t>
      </w:r>
      <w:hyperlink w:history="0" r:id="rId14" w:tooltip="Постановление Правительства Брянской области от 27.12.2018 N 733-п (ред. от 22.05.2023) &quot;Об утверждении государственной программы &quot;Региональная политика Брянской области&quot; {КонсультантПлюс}">
        <w:r>
          <w:rPr>
            <w:sz w:val="20"/>
            <w:color w:val="0000ff"/>
          </w:rPr>
          <w:t xml:space="preserve">программы</w:t>
        </w:r>
      </w:hyperlink>
      <w:r>
        <w:rPr>
          <w:sz w:val="20"/>
        </w:rPr>
        <w:t xml:space="preserve"> "Региональная политика Брянской области", утвержденной постановлением Правительства Брянской области от 27 декабря 2018 года N 733-п "Об утверждении государственной программы "Региональная политика Брянской области", в пределах лимитов бюджетных обязательств, доведенных до департамента как получателя средств областного бюджета в соответствующем финансовом году.</w:t>
      </w:r>
    </w:p>
    <w:p>
      <w:pPr>
        <w:pStyle w:val="0"/>
        <w:spacing w:before="200" w:line-rule="auto"/>
        <w:ind w:firstLine="540"/>
        <w:jc w:val="both"/>
      </w:pPr>
      <w:r>
        <w:rPr>
          <w:sz w:val="20"/>
        </w:rPr>
        <w:t xml:space="preserve">6. Отбор получателей субсидий осуществляется посредством проведения конкурса.</w:t>
      </w:r>
    </w:p>
    <w:bookmarkStart w:id="56" w:name="P56"/>
    <w:bookmarkEnd w:id="56"/>
    <w:p>
      <w:pPr>
        <w:pStyle w:val="0"/>
        <w:spacing w:before="200" w:line-rule="auto"/>
        <w:ind w:firstLine="540"/>
        <w:jc w:val="both"/>
      </w:pPr>
      <w:r>
        <w:rPr>
          <w:sz w:val="20"/>
        </w:rPr>
        <w:t xml:space="preserve">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подпунктами 9</w:t>
        </w:r>
      </w:hyperlink>
      <w:r>
        <w:rPr>
          <w:sz w:val="20"/>
        </w:rPr>
        <w:t xml:space="preserve"> (в части деятельности в области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w:t>
      </w:r>
      <w:hyperlink w:history="0" r:id="rId16" w:tooltip="Федеральный закон от 12.01.1996 N 7-ФЗ (ред. от 31.07.2023) &quot;О некоммерческих организациях&quot; {КонсультантПлюс}">
        <w:r>
          <w:rPr>
            <w:sz w:val="20"/>
            <w:color w:val="0000ff"/>
          </w:rPr>
          <w:t xml:space="preserve">16 пункта 1 статьи 31.1</w:t>
        </w:r>
      </w:hyperlink>
      <w:r>
        <w:rPr>
          <w:sz w:val="20"/>
        </w:rPr>
        <w:t xml:space="preserve"> Федерального закона N 7-ФЗ, и соответствующие одновременно всем требованиям, установленным </w:t>
      </w:r>
      <w:hyperlink w:history="0" w:anchor="P157" w:tooltip="22. Участник конкурса должен соответствовать следующим требованиям:">
        <w:r>
          <w:rPr>
            <w:sz w:val="20"/>
            <w:color w:val="0000ff"/>
          </w:rPr>
          <w:t xml:space="preserve">пунктом 22</w:t>
        </w:r>
      </w:hyperlink>
      <w:r>
        <w:rPr>
          <w:sz w:val="20"/>
        </w:rPr>
        <w:t xml:space="preserve"> настоящего Порядка.</w:t>
      </w:r>
    </w:p>
    <w:bookmarkStart w:id="57" w:name="P57"/>
    <w:bookmarkEnd w:id="57"/>
    <w:p>
      <w:pPr>
        <w:pStyle w:val="0"/>
        <w:spacing w:before="200" w:line-rule="auto"/>
        <w:ind w:firstLine="540"/>
        <w:jc w:val="both"/>
      </w:pPr>
      <w:r>
        <w:rPr>
          <w:sz w:val="20"/>
        </w:rPr>
        <w:t xml:space="preserve">8. Участниками конкурса не могут быть:</w:t>
      </w:r>
    </w:p>
    <w:p>
      <w:pPr>
        <w:pStyle w:val="0"/>
        <w:spacing w:before="200" w:line-rule="auto"/>
        <w:ind w:firstLine="540"/>
        <w:jc w:val="both"/>
      </w:pPr>
      <w:r>
        <w:rPr>
          <w:sz w:val="20"/>
        </w:rPr>
        <w:t xml:space="preserve">а) потребительские кооперативы,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б) политические партии;</w:t>
      </w:r>
    </w:p>
    <w:p>
      <w:pPr>
        <w:pStyle w:val="0"/>
        <w:spacing w:before="200" w:line-rule="auto"/>
        <w:ind w:firstLine="540"/>
        <w:jc w:val="both"/>
      </w:pPr>
      <w:r>
        <w:rPr>
          <w:sz w:val="20"/>
        </w:rPr>
        <w:t xml:space="preserve">в) саморегулируемые организации;</w:t>
      </w:r>
    </w:p>
    <w:p>
      <w:pPr>
        <w:pStyle w:val="0"/>
        <w:spacing w:before="200" w:line-rule="auto"/>
        <w:ind w:firstLine="540"/>
        <w:jc w:val="both"/>
      </w:pPr>
      <w:r>
        <w:rPr>
          <w:sz w:val="20"/>
        </w:rPr>
        <w:t xml:space="preserve">г) торгово-промышленные палаты;</w:t>
      </w:r>
    </w:p>
    <w:p>
      <w:pPr>
        <w:pStyle w:val="0"/>
        <w:spacing w:before="200" w:line-rule="auto"/>
        <w:ind w:firstLine="540"/>
        <w:jc w:val="both"/>
      </w:pPr>
      <w:r>
        <w:rPr>
          <w:sz w:val="20"/>
        </w:rPr>
        <w:t xml:space="preserve">д) товарищества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е) публично-правовые компании;</w:t>
      </w:r>
    </w:p>
    <w:p>
      <w:pPr>
        <w:pStyle w:val="0"/>
        <w:spacing w:before="200" w:line-rule="auto"/>
        <w:ind w:firstLine="540"/>
        <w:jc w:val="both"/>
      </w:pPr>
      <w:r>
        <w:rPr>
          <w:sz w:val="20"/>
        </w:rPr>
        <w:t xml:space="preserve">ж) адвокатские палаты;</w:t>
      </w:r>
    </w:p>
    <w:p>
      <w:pPr>
        <w:pStyle w:val="0"/>
        <w:spacing w:before="200" w:line-rule="auto"/>
        <w:ind w:firstLine="540"/>
        <w:jc w:val="both"/>
      </w:pPr>
      <w:r>
        <w:rPr>
          <w:sz w:val="20"/>
        </w:rPr>
        <w:t xml:space="preserve">з) адвокатские образования, являющиеся юридическими лицами;</w:t>
      </w:r>
    </w:p>
    <w:p>
      <w:pPr>
        <w:pStyle w:val="0"/>
        <w:spacing w:before="200" w:line-rule="auto"/>
        <w:ind w:firstLine="540"/>
        <w:jc w:val="both"/>
      </w:pPr>
      <w:r>
        <w:rPr>
          <w:sz w:val="20"/>
        </w:rPr>
        <w:t xml:space="preserve">и) государственные корпорации;</w:t>
      </w:r>
    </w:p>
    <w:p>
      <w:pPr>
        <w:pStyle w:val="0"/>
        <w:spacing w:before="200" w:line-rule="auto"/>
        <w:ind w:firstLine="540"/>
        <w:jc w:val="both"/>
      </w:pPr>
      <w:r>
        <w:rPr>
          <w:sz w:val="20"/>
        </w:rPr>
        <w:t xml:space="preserve">к) нотариальные палаты;</w:t>
      </w:r>
    </w:p>
    <w:p>
      <w:pPr>
        <w:pStyle w:val="0"/>
        <w:spacing w:before="200" w:line-rule="auto"/>
        <w:ind w:firstLine="540"/>
        <w:jc w:val="both"/>
      </w:pPr>
      <w:r>
        <w:rPr>
          <w:sz w:val="20"/>
        </w:rPr>
        <w:t xml:space="preserve">л)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 религиозные организации;</w:t>
      </w:r>
    </w:p>
    <w:p>
      <w:pPr>
        <w:pStyle w:val="0"/>
        <w:spacing w:before="200" w:line-rule="auto"/>
        <w:ind w:firstLine="540"/>
        <w:jc w:val="both"/>
      </w:pPr>
      <w:r>
        <w:rPr>
          <w:sz w:val="20"/>
        </w:rPr>
        <w:t xml:space="preserve">н) государственные и муниципальные учреждения;</w:t>
      </w:r>
    </w:p>
    <w:p>
      <w:pPr>
        <w:pStyle w:val="0"/>
        <w:spacing w:before="200" w:line-rule="auto"/>
        <w:ind w:firstLine="540"/>
        <w:jc w:val="both"/>
      </w:pPr>
      <w:r>
        <w:rPr>
          <w:sz w:val="20"/>
        </w:rPr>
        <w:t xml:space="preserve">о) личные фонды;</w:t>
      </w:r>
    </w:p>
    <w:p>
      <w:pPr>
        <w:pStyle w:val="0"/>
        <w:spacing w:before="200" w:line-rule="auto"/>
        <w:ind w:firstLine="540"/>
        <w:jc w:val="both"/>
      </w:pPr>
      <w:r>
        <w:rPr>
          <w:sz w:val="20"/>
        </w:rPr>
        <w:t xml:space="preserve">п) микрофинансовые организации.</w:t>
      </w:r>
    </w:p>
    <w:p>
      <w:pPr>
        <w:pStyle w:val="0"/>
        <w:spacing w:before="200" w:line-rule="auto"/>
        <w:ind w:firstLine="540"/>
        <w:jc w:val="both"/>
      </w:pPr>
      <w:r>
        <w:rPr>
          <w:sz w:val="20"/>
        </w:rPr>
        <w:t xml:space="preserve">9. Проведение конкурса осуществляется на платформе "Конкурс на получение субсидий для СОНКО Брянской области" в информационно-телекоммуникационной сети "Интернет" (далее - платформа) по адресу: https://брянск.гранты.рф/.</w:t>
      </w:r>
    </w:p>
    <w:bookmarkStart w:id="74" w:name="P74"/>
    <w:bookmarkEnd w:id="74"/>
    <w:p>
      <w:pPr>
        <w:pStyle w:val="0"/>
        <w:spacing w:before="200" w:line-rule="auto"/>
        <w:ind w:firstLine="540"/>
        <w:jc w:val="both"/>
      </w:pPr>
      <w:r>
        <w:rPr>
          <w:sz w:val="20"/>
        </w:rPr>
        <w:t xml:space="preserve">10. Максимальный размер субсидии, запрашиваемой СОНКО на реализацию проекта, не должен превышать 2000000,00 рубля.</w:t>
      </w:r>
    </w:p>
    <w:bookmarkStart w:id="75" w:name="P75"/>
    <w:bookmarkEnd w:id="75"/>
    <w:p>
      <w:pPr>
        <w:pStyle w:val="0"/>
        <w:spacing w:before="200" w:line-rule="auto"/>
        <w:ind w:firstLine="540"/>
        <w:jc w:val="both"/>
      </w:pPr>
      <w:r>
        <w:rPr>
          <w:sz w:val="20"/>
        </w:rPr>
        <w:t xml:space="preserve">11. За счет средств субсидии допускается осуществление следующих расходов, непосредственно связанных с реализацией проекта:</w:t>
      </w:r>
    </w:p>
    <w:p>
      <w:pPr>
        <w:pStyle w:val="0"/>
        <w:spacing w:before="200" w:line-rule="auto"/>
        <w:ind w:firstLine="540"/>
        <w:jc w:val="both"/>
      </w:pPr>
      <w:r>
        <w:rPr>
          <w:sz w:val="20"/>
        </w:rPr>
        <w:t xml:space="preserve">а) оплата труда руководителя и команды проекта и начисления на выплаты по оплате труда указанных лиц;</w:t>
      </w:r>
    </w:p>
    <w:p>
      <w:pPr>
        <w:pStyle w:val="0"/>
        <w:spacing w:before="200" w:line-rule="auto"/>
        <w:ind w:firstLine="540"/>
        <w:jc w:val="both"/>
      </w:pPr>
      <w:r>
        <w:rPr>
          <w:sz w:val="20"/>
        </w:rPr>
        <w:t xml:space="preserve">б) оплата услуг специалистов, привлекаемых в рамках реализации проекта, по договорам гражданско-правового характера;</w:t>
      </w:r>
    </w:p>
    <w:p>
      <w:pPr>
        <w:pStyle w:val="0"/>
        <w:spacing w:before="200" w:line-rule="auto"/>
        <w:ind w:firstLine="540"/>
        <w:jc w:val="both"/>
      </w:pPr>
      <w:r>
        <w:rPr>
          <w:sz w:val="20"/>
        </w:rPr>
        <w:t xml:space="preserve">в) содержание имущества организации;</w:t>
      </w:r>
    </w:p>
    <w:p>
      <w:pPr>
        <w:pStyle w:val="0"/>
        <w:spacing w:before="200" w:line-rule="auto"/>
        <w:ind w:firstLine="540"/>
        <w:jc w:val="both"/>
      </w:pPr>
      <w:r>
        <w:rPr>
          <w:sz w:val="20"/>
        </w:rPr>
        <w:t xml:space="preserve">г) приобретение основных средств (за исключением объектов недвижимости и транспортных средств), материальных запасов (лекарственные препараты, медицинские материалы, горюче-смазочные материалы, строительные материалы, мягкий инвентарь, прочие материальные запасы, в том числе канцелярские товары), необходимых для проведения мероприятий в рамках реализации проекта;</w:t>
      </w:r>
    </w:p>
    <w:p>
      <w:pPr>
        <w:pStyle w:val="0"/>
        <w:spacing w:before="200" w:line-rule="auto"/>
        <w:ind w:firstLine="540"/>
        <w:jc w:val="both"/>
      </w:pPr>
      <w:r>
        <w:rPr>
          <w:sz w:val="20"/>
        </w:rPr>
        <w:t xml:space="preserve">д) оплата коммунальных услуг и арендной платы за пользование имуществом, в том числе зданий, строений, сооружений, помещений, стадионов, оборудования (за исключением земельных участков и других обособленных природных объектов);</w:t>
      </w:r>
    </w:p>
    <w:p>
      <w:pPr>
        <w:pStyle w:val="0"/>
        <w:spacing w:before="200" w:line-rule="auto"/>
        <w:ind w:firstLine="540"/>
        <w:jc w:val="both"/>
      </w:pPr>
      <w:r>
        <w:rPr>
          <w:sz w:val="20"/>
        </w:rPr>
        <w:t xml:space="preserve">е) оплата услуг связи (услуги почтовой связи, услуги телефонно-телеграфной, факсимильной, сотовой, пейджинговой связи, радиосвязи, услуги интернет-провайдеров);</w:t>
      </w:r>
    </w:p>
    <w:p>
      <w:pPr>
        <w:pStyle w:val="0"/>
        <w:spacing w:before="200" w:line-rule="auto"/>
        <w:ind w:firstLine="540"/>
        <w:jc w:val="both"/>
      </w:pPr>
      <w:r>
        <w:rPr>
          <w:sz w:val="20"/>
        </w:rPr>
        <w:t xml:space="preserve">ж) транспортные расходы;</w:t>
      </w:r>
    </w:p>
    <w:p>
      <w:pPr>
        <w:pStyle w:val="0"/>
        <w:spacing w:before="200" w:line-rule="auto"/>
        <w:ind w:firstLine="540"/>
        <w:jc w:val="both"/>
      </w:pPr>
      <w:r>
        <w:rPr>
          <w:sz w:val="20"/>
        </w:rPr>
        <w:t xml:space="preserve">з) командировочные расходы (оплата проезда, проживания, суточные);</w:t>
      </w:r>
    </w:p>
    <w:p>
      <w:pPr>
        <w:pStyle w:val="0"/>
        <w:spacing w:before="200" w:line-rule="auto"/>
        <w:ind w:firstLine="540"/>
        <w:jc w:val="both"/>
      </w:pPr>
      <w:r>
        <w:rPr>
          <w:sz w:val="20"/>
        </w:rPr>
        <w:t xml:space="preserve">и) банковские услуги;</w:t>
      </w:r>
    </w:p>
    <w:p>
      <w:pPr>
        <w:pStyle w:val="0"/>
        <w:spacing w:before="200" w:line-rule="auto"/>
        <w:ind w:firstLine="540"/>
        <w:jc w:val="both"/>
      </w:pPr>
      <w:r>
        <w:rPr>
          <w:sz w:val="20"/>
        </w:rPr>
        <w:t xml:space="preserve">к) рекламно-информационное обеспечение мероприятия, включая изготовление информационно-методических (сборников, брошюр, полиграфической продукции в рамках реализации проекта),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w:t>
      </w:r>
    </w:p>
    <w:p>
      <w:pPr>
        <w:pStyle w:val="0"/>
        <w:spacing w:before="200" w:line-rule="auto"/>
        <w:ind w:firstLine="540"/>
        <w:jc w:val="both"/>
      </w:pPr>
      <w:r>
        <w:rPr>
          <w:sz w:val="20"/>
        </w:rPr>
        <w:t xml:space="preserve">л) оплата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м) оплата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н) оплата проживания участников мероприятий;</w:t>
      </w:r>
    </w:p>
    <w:p>
      <w:pPr>
        <w:pStyle w:val="0"/>
        <w:spacing w:before="200" w:line-rule="auto"/>
        <w:ind w:firstLine="540"/>
        <w:jc w:val="both"/>
      </w:pPr>
      <w:r>
        <w:rPr>
          <w:sz w:val="20"/>
        </w:rPr>
        <w:t xml:space="preserve">о) оплата необходимых медицинских услуг в рамках проекта.</w:t>
      </w:r>
    </w:p>
    <w:bookmarkStart w:id="90" w:name="P90"/>
    <w:bookmarkEnd w:id="90"/>
    <w:p>
      <w:pPr>
        <w:pStyle w:val="0"/>
        <w:spacing w:before="200" w:line-rule="auto"/>
        <w:ind w:firstLine="540"/>
        <w:jc w:val="both"/>
      </w:pPr>
      <w:r>
        <w:rPr>
          <w:sz w:val="20"/>
        </w:rPr>
        <w:t xml:space="preserve">12. Не допускается за счет средств субсидии осуществление следующих расходов:</w:t>
      </w:r>
    </w:p>
    <w:p>
      <w:pPr>
        <w:pStyle w:val="0"/>
        <w:spacing w:before="200" w:line-rule="auto"/>
        <w:ind w:firstLine="540"/>
        <w:jc w:val="both"/>
      </w:pPr>
      <w:r>
        <w:rPr>
          <w:sz w:val="20"/>
        </w:rPr>
        <w:t xml:space="preserve">а) расходы, связанные с осуществлением приносящей доход деятельности;</w:t>
      </w:r>
    </w:p>
    <w:p>
      <w:pPr>
        <w:pStyle w:val="0"/>
        <w:spacing w:before="200" w:line-rule="auto"/>
        <w:ind w:firstLine="540"/>
        <w:jc w:val="both"/>
      </w:pPr>
      <w:r>
        <w:rPr>
          <w:sz w:val="20"/>
        </w:rPr>
        <w:t xml:space="preserve">б) расходы, связанные с поддержкой и финансированием политических партий, кампаний и акций;</w:t>
      </w:r>
    </w:p>
    <w:p>
      <w:pPr>
        <w:pStyle w:val="0"/>
        <w:spacing w:before="200" w:line-rule="auto"/>
        <w:ind w:firstLine="540"/>
        <w:jc w:val="both"/>
      </w:pPr>
      <w:r>
        <w:rPr>
          <w:sz w:val="20"/>
        </w:rPr>
        <w:t xml:space="preserve">в) расходы, связанные с проведением фундаментальных научных исследований;</w:t>
      </w:r>
    </w:p>
    <w:p>
      <w:pPr>
        <w:pStyle w:val="0"/>
        <w:spacing w:before="200" w:line-rule="auto"/>
        <w:ind w:firstLine="540"/>
        <w:jc w:val="both"/>
      </w:pPr>
      <w:r>
        <w:rPr>
          <w:sz w:val="20"/>
        </w:rPr>
        <w:t xml:space="preserve">г)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д)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е)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pPr>
        <w:pStyle w:val="0"/>
        <w:spacing w:before="200" w:line-rule="auto"/>
        <w:ind w:firstLine="540"/>
        <w:jc w:val="both"/>
      </w:pPr>
      <w:r>
        <w:rPr>
          <w:sz w:val="20"/>
        </w:rPr>
        <w:t xml:space="preserve">ж) расходы, связанные с поездками (командировками, обучением) за пределы Брянской области, если эти поездки не требуются для реализации проекта;</w:t>
      </w:r>
    </w:p>
    <w:p>
      <w:pPr>
        <w:pStyle w:val="0"/>
        <w:spacing w:before="200" w:line-rule="auto"/>
        <w:ind w:firstLine="540"/>
        <w:jc w:val="both"/>
      </w:pPr>
      <w:r>
        <w:rPr>
          <w:sz w:val="20"/>
        </w:rPr>
        <w:t xml:space="preserve">з)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и) расходы, связанные с транспортным обслуживанием работников СОНКО, не связанным с реализацией проекта;</w:t>
      </w:r>
    </w:p>
    <w:p>
      <w:pPr>
        <w:pStyle w:val="0"/>
        <w:spacing w:before="200" w:line-rule="auto"/>
        <w:ind w:firstLine="540"/>
        <w:jc w:val="both"/>
      </w:pPr>
      <w:r>
        <w:rPr>
          <w:sz w:val="20"/>
        </w:rPr>
        <w:t xml:space="preserve">к) расходы СОНКО,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pPr>
        <w:pStyle w:val="0"/>
        <w:spacing w:before="200" w:line-rule="auto"/>
        <w:ind w:firstLine="540"/>
        <w:jc w:val="both"/>
      </w:pPr>
      <w:r>
        <w:rPr>
          <w:sz w:val="20"/>
        </w:rPr>
        <w:t xml:space="preserve">л) расходы СОНКО на уплату налога на прибыль организации;</w:t>
      </w:r>
    </w:p>
    <w:p>
      <w:pPr>
        <w:pStyle w:val="0"/>
        <w:spacing w:before="200" w:line-rule="auto"/>
        <w:ind w:firstLine="540"/>
        <w:jc w:val="both"/>
      </w:pPr>
      <w:r>
        <w:rPr>
          <w:sz w:val="20"/>
        </w:rPr>
        <w:t xml:space="preserve">м) расходы СОНКО на уплату налога на имущество организации;</w:t>
      </w:r>
    </w:p>
    <w:p>
      <w:pPr>
        <w:pStyle w:val="0"/>
        <w:spacing w:before="200" w:line-rule="auto"/>
        <w:ind w:firstLine="540"/>
        <w:jc w:val="both"/>
      </w:pPr>
      <w:r>
        <w:rPr>
          <w:sz w:val="20"/>
        </w:rPr>
        <w:t xml:space="preserve">н) непредвиденные расходы, в том числе в рамках реализации проекта;</w:t>
      </w:r>
    </w:p>
    <w:p>
      <w:pPr>
        <w:pStyle w:val="0"/>
        <w:spacing w:before="200" w:line-rule="auto"/>
        <w:ind w:firstLine="540"/>
        <w:jc w:val="both"/>
      </w:pPr>
      <w:r>
        <w:rPr>
          <w:sz w:val="20"/>
        </w:rPr>
        <w:t xml:space="preserve">о) расходы, связанные с приобретением иностранной валюты;</w:t>
      </w:r>
    </w:p>
    <w:p>
      <w:pPr>
        <w:pStyle w:val="0"/>
        <w:spacing w:before="200" w:line-rule="auto"/>
        <w:ind w:firstLine="540"/>
        <w:jc w:val="both"/>
      </w:pPr>
      <w:r>
        <w:rPr>
          <w:sz w:val="20"/>
        </w:rPr>
        <w:t xml:space="preserve">п) осуществление капитального строительства и капитального текущего ремонта объекта;</w:t>
      </w:r>
    </w:p>
    <w:p>
      <w:pPr>
        <w:pStyle w:val="0"/>
        <w:spacing w:before="200" w:line-rule="auto"/>
        <w:ind w:firstLine="540"/>
        <w:jc w:val="both"/>
      </w:pPr>
      <w:r>
        <w:rPr>
          <w:sz w:val="20"/>
        </w:rPr>
        <w:t xml:space="preserve">р) приобретение алкогольной и табачной продукции, а также предметов роскоши;</w:t>
      </w:r>
    </w:p>
    <w:p>
      <w:pPr>
        <w:pStyle w:val="0"/>
        <w:spacing w:before="200" w:line-rule="auto"/>
        <w:ind w:firstLine="540"/>
        <w:jc w:val="both"/>
      </w:pPr>
      <w:r>
        <w:rPr>
          <w:sz w:val="20"/>
        </w:rPr>
        <w:t xml:space="preserve">с) погашение задолженности организаций;</w:t>
      </w:r>
    </w:p>
    <w:p>
      <w:pPr>
        <w:pStyle w:val="0"/>
        <w:spacing w:before="200" w:line-rule="auto"/>
        <w:ind w:firstLine="540"/>
        <w:jc w:val="both"/>
      </w:pPr>
      <w:r>
        <w:rPr>
          <w:sz w:val="20"/>
        </w:rPr>
        <w:t xml:space="preserve">т) расходы на оплату неустоек, пени, штрафов;</w:t>
      </w:r>
    </w:p>
    <w:p>
      <w:pPr>
        <w:pStyle w:val="0"/>
        <w:spacing w:before="200" w:line-rule="auto"/>
        <w:ind w:firstLine="540"/>
        <w:jc w:val="both"/>
      </w:pPr>
      <w:r>
        <w:rPr>
          <w:sz w:val="20"/>
        </w:rPr>
        <w:t xml:space="preserve">у) расходы, не связанные непосредственно с реализацией проекта.</w:t>
      </w:r>
    </w:p>
    <w:p>
      <w:pPr>
        <w:pStyle w:val="0"/>
        <w:spacing w:before="200" w:line-rule="auto"/>
        <w:ind w:firstLine="540"/>
        <w:jc w:val="both"/>
      </w:pPr>
      <w:r>
        <w:rPr>
          <w:sz w:val="20"/>
        </w:rPr>
        <w:t xml:space="preserve">13. Конкурс проводится департаментом один раз в год.</w:t>
      </w:r>
    </w:p>
    <w:p>
      <w:pPr>
        <w:pStyle w:val="0"/>
        <w:spacing w:before="200" w:line-rule="auto"/>
        <w:ind w:firstLine="540"/>
        <w:jc w:val="both"/>
      </w:pPr>
      <w:r>
        <w:rPr>
          <w:sz w:val="20"/>
        </w:rPr>
        <w:t xml:space="preserve">14.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15. Решение о проведении конкурса принимается департаментом и оформляется соответствующим приказом департамента (далее - приказ о проведении конкурса), которым, в том числе утверждается текст объявления о проведении конкурса, содержащего следующую информацию:</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дата начала подачи заявок на участие в конкурсе;</w:t>
      </w:r>
    </w:p>
    <w:p>
      <w:pPr>
        <w:pStyle w:val="0"/>
        <w:spacing w:before="200" w:line-rule="auto"/>
        <w:ind w:firstLine="540"/>
        <w:jc w:val="both"/>
      </w:pPr>
      <w:r>
        <w:rPr>
          <w:sz w:val="20"/>
        </w:rPr>
        <w:t xml:space="preserve">дата окончания приема заявок на участие в конкурсе;</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участниками конкурса заявок на участие в конкурсе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порядок отзыва участниками конкурса заявок на участие в конкурсе,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СОНКО - получатель субсидии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СОНКО - получателя субсидии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конкурса на платформе, а также на официальном сайте департамента в информационно-телекоммуникационной сети "Интернет" (далее - официальный сайт департамента).</w:t>
      </w:r>
    </w:p>
    <w:p>
      <w:pPr>
        <w:pStyle w:val="0"/>
        <w:spacing w:before="200" w:line-rule="auto"/>
        <w:ind w:firstLine="540"/>
        <w:jc w:val="both"/>
      </w:pPr>
      <w:r>
        <w:rPr>
          <w:sz w:val="20"/>
        </w:rPr>
        <w:t xml:space="preserve">16. Объявление о проведении конкурса размещается на платформе и официальном сайте департамента в течение трех рабочих дней, следующих за днем принятия решения о проведении конкурса.</w:t>
      </w:r>
    </w:p>
    <w:p>
      <w:pPr>
        <w:pStyle w:val="0"/>
        <w:spacing w:before="200" w:line-rule="auto"/>
        <w:ind w:firstLine="540"/>
        <w:jc w:val="both"/>
      </w:pPr>
      <w:r>
        <w:rPr>
          <w:sz w:val="20"/>
        </w:rPr>
        <w:t xml:space="preserve">17. Датой начала подачи заявок является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18. Датой окончания приема заявок является 30-й календарный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19. Подача заявки осуществляется посредством заполнения электронной формы заявки, размещенной в информационной системе, используемой платформой (далее - информационная система), и загрузки на платформу документов, предусмотренных пунктами 20, 21 настоящего Порядка.</w:t>
      </w:r>
    </w:p>
    <w:bookmarkStart w:id="134" w:name="P134"/>
    <w:bookmarkEnd w:id="134"/>
    <w:p>
      <w:pPr>
        <w:pStyle w:val="0"/>
        <w:spacing w:before="200" w:line-rule="auto"/>
        <w:ind w:firstLine="540"/>
        <w:jc w:val="both"/>
      </w:pPr>
      <w:r>
        <w:rPr>
          <w:sz w:val="20"/>
        </w:rPr>
        <w:t xml:space="preserve">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w:t>
      </w:r>
    </w:p>
    <w:p>
      <w:pPr>
        <w:pStyle w:val="0"/>
        <w:spacing w:before="200" w:line-rule="auto"/>
        <w:ind w:firstLine="540"/>
        <w:jc w:val="both"/>
      </w:pPr>
      <w:r>
        <w:rPr>
          <w:sz w:val="20"/>
        </w:rPr>
        <w:t xml:space="preserve">а)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б) название проекта, на реализацию которого запрашивается субсидия;</w:t>
      </w:r>
    </w:p>
    <w:p>
      <w:pPr>
        <w:pStyle w:val="0"/>
        <w:spacing w:before="200" w:line-rule="auto"/>
        <w:ind w:firstLine="540"/>
        <w:jc w:val="both"/>
      </w:pPr>
      <w:r>
        <w:rPr>
          <w:sz w:val="20"/>
        </w:rPr>
        <w:t xml:space="preserve">в) краткое описание проекта;</w:t>
      </w:r>
    </w:p>
    <w:p>
      <w:pPr>
        <w:pStyle w:val="0"/>
        <w:spacing w:before="200" w:line-rule="auto"/>
        <w:ind w:firstLine="540"/>
        <w:jc w:val="both"/>
      </w:pPr>
      <w:r>
        <w:rPr>
          <w:sz w:val="20"/>
        </w:rPr>
        <w:t xml:space="preserve">г) география проекта;</w:t>
      </w:r>
    </w:p>
    <w:p>
      <w:pPr>
        <w:pStyle w:val="0"/>
        <w:spacing w:before="200" w:line-rule="auto"/>
        <w:ind w:firstLine="540"/>
        <w:jc w:val="both"/>
      </w:pPr>
      <w:r>
        <w:rPr>
          <w:sz w:val="20"/>
        </w:rPr>
        <w:t xml:space="preserve">д) срок реализации проекта;</w:t>
      </w:r>
    </w:p>
    <w:p>
      <w:pPr>
        <w:pStyle w:val="0"/>
        <w:spacing w:before="200" w:line-rule="auto"/>
        <w:ind w:firstLine="540"/>
        <w:jc w:val="both"/>
      </w:pPr>
      <w:r>
        <w:rPr>
          <w:sz w:val="20"/>
        </w:rPr>
        <w:t xml:space="preserve">е) обоснование социальной значимости проекта;</w:t>
      </w:r>
    </w:p>
    <w:p>
      <w:pPr>
        <w:pStyle w:val="0"/>
        <w:spacing w:before="200" w:line-rule="auto"/>
        <w:ind w:firstLine="540"/>
        <w:jc w:val="both"/>
      </w:pPr>
      <w:r>
        <w:rPr>
          <w:sz w:val="20"/>
        </w:rPr>
        <w:t xml:space="preserve">ж) целевые группы проекта;</w:t>
      </w:r>
    </w:p>
    <w:p>
      <w:pPr>
        <w:pStyle w:val="0"/>
        <w:spacing w:before="200" w:line-rule="auto"/>
        <w:ind w:firstLine="540"/>
        <w:jc w:val="both"/>
      </w:pPr>
      <w:r>
        <w:rPr>
          <w:sz w:val="20"/>
        </w:rPr>
        <w:t xml:space="preserve">з) цель (цели) и задачи проекта;</w:t>
      </w:r>
    </w:p>
    <w:p>
      <w:pPr>
        <w:pStyle w:val="0"/>
        <w:spacing w:before="200" w:line-rule="auto"/>
        <w:ind w:firstLine="540"/>
        <w:jc w:val="both"/>
      </w:pPr>
      <w:r>
        <w:rPr>
          <w:sz w:val="20"/>
        </w:rPr>
        <w:t xml:space="preserve">и) ожидаемые количественные и качественные результаты проекта;</w:t>
      </w:r>
    </w:p>
    <w:p>
      <w:pPr>
        <w:pStyle w:val="0"/>
        <w:spacing w:before="200" w:line-rule="auto"/>
        <w:ind w:firstLine="540"/>
        <w:jc w:val="both"/>
      </w:pPr>
      <w:r>
        <w:rPr>
          <w:sz w:val="20"/>
        </w:rPr>
        <w:t xml:space="preserve">к) общая сумма расходов на реализацию проекта;</w:t>
      </w:r>
    </w:p>
    <w:p>
      <w:pPr>
        <w:pStyle w:val="0"/>
        <w:spacing w:before="200" w:line-rule="auto"/>
        <w:ind w:firstLine="540"/>
        <w:jc w:val="both"/>
      </w:pPr>
      <w:r>
        <w:rPr>
          <w:sz w:val="20"/>
        </w:rPr>
        <w:t xml:space="preserve">л) запрашиваемая сумма субсидии;</w:t>
      </w:r>
    </w:p>
    <w:p>
      <w:pPr>
        <w:pStyle w:val="0"/>
        <w:spacing w:before="200" w:line-rule="auto"/>
        <w:ind w:firstLine="540"/>
        <w:jc w:val="both"/>
      </w:pPr>
      <w:r>
        <w:rPr>
          <w:sz w:val="20"/>
        </w:rPr>
        <w:t xml:space="preserve">м) календарный план проекта;</w:t>
      </w:r>
    </w:p>
    <w:p>
      <w:pPr>
        <w:pStyle w:val="0"/>
        <w:spacing w:before="200" w:line-rule="auto"/>
        <w:ind w:firstLine="540"/>
        <w:jc w:val="both"/>
      </w:pPr>
      <w:r>
        <w:rPr>
          <w:sz w:val="20"/>
        </w:rPr>
        <w:t xml:space="preserve">н) бюджет проекта;</w:t>
      </w:r>
    </w:p>
    <w:p>
      <w:pPr>
        <w:pStyle w:val="0"/>
        <w:spacing w:before="200" w:line-rule="auto"/>
        <w:ind w:firstLine="540"/>
        <w:jc w:val="both"/>
      </w:pPr>
      <w:r>
        <w:rPr>
          <w:sz w:val="20"/>
        </w:rPr>
        <w:t xml:space="preserve">о) информация о руководителе проекта;</w:t>
      </w:r>
    </w:p>
    <w:p>
      <w:pPr>
        <w:pStyle w:val="0"/>
        <w:spacing w:before="200" w:line-rule="auto"/>
        <w:ind w:firstLine="540"/>
        <w:jc w:val="both"/>
      </w:pPr>
      <w:r>
        <w:rPr>
          <w:sz w:val="20"/>
        </w:rPr>
        <w:t xml:space="preserve">п) информация о команде проекта;</w:t>
      </w:r>
    </w:p>
    <w:p>
      <w:pPr>
        <w:pStyle w:val="0"/>
        <w:spacing w:before="200" w:line-rule="auto"/>
        <w:ind w:firstLine="540"/>
        <w:jc w:val="both"/>
      </w:pPr>
      <w:r>
        <w:rPr>
          <w:sz w:val="20"/>
        </w:rPr>
        <w:t xml:space="preserve">р) информация о СОНКО, подающей заявку;</w:t>
      </w:r>
    </w:p>
    <w:p>
      <w:pPr>
        <w:pStyle w:val="0"/>
        <w:spacing w:before="200" w:line-rule="auto"/>
        <w:ind w:firstLine="540"/>
        <w:jc w:val="both"/>
      </w:pPr>
      <w:r>
        <w:rPr>
          <w:sz w:val="20"/>
        </w:rPr>
        <w:t xml:space="preserve">с) согласие на публикацию (размещение) в информационно-телекоммуникационной сети "Интернет" информации о СОНКО, подающей заявку, как участнике конкурса, о поданной СОНКО заявке и иной информации о СОНКО, связанной с конкурсом;</w:t>
      </w:r>
    </w:p>
    <w:p>
      <w:pPr>
        <w:pStyle w:val="0"/>
        <w:spacing w:before="200" w:line-rule="auto"/>
        <w:ind w:firstLine="540"/>
        <w:jc w:val="both"/>
      </w:pPr>
      <w:r>
        <w:rPr>
          <w:sz w:val="20"/>
        </w:rPr>
        <w:t xml:space="preserve">т) заверение о соответствии представляющей заявку СОНКО требованиям, установленным </w:t>
      </w:r>
      <w:hyperlink w:history="0" w:anchor="P159" w:tooltip="б) у участника конкурса на перво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
        <w:r>
          <w:rPr>
            <w:sz w:val="20"/>
            <w:color w:val="0000ff"/>
          </w:rPr>
          <w:t xml:space="preserve">подпунктами "б"</w:t>
        </w:r>
      </w:hyperlink>
      <w:r>
        <w:rPr>
          <w:sz w:val="20"/>
        </w:rPr>
        <w:t xml:space="preserve"> - </w:t>
      </w:r>
      <w:hyperlink w:history="0" w:anchor="P164" w:tooltip="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"ж" пункта 22</w:t>
        </w:r>
      </w:hyperlink>
      <w:r>
        <w:rPr>
          <w:sz w:val="20"/>
        </w:rPr>
        <w:t xml:space="preserve"> настоящего Порядка, об отсутствии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 согласии с условиями и порядком проведения конкурса, актуальности, достоверности, подлинности информации и документов, представленных в составе заявки.</w:t>
      </w:r>
    </w:p>
    <w:bookmarkStart w:id="153" w:name="P153"/>
    <w:bookmarkEnd w:id="153"/>
    <w:p>
      <w:pPr>
        <w:pStyle w:val="0"/>
        <w:spacing w:before="200" w:line-rule="auto"/>
        <w:ind w:firstLine="540"/>
        <w:jc w:val="both"/>
      </w:pPr>
      <w:r>
        <w:rPr>
          <w:sz w:val="20"/>
        </w:rPr>
        <w:t xml:space="preserve">21. В состав заявки включаются следующие документы:</w:t>
      </w:r>
    </w:p>
    <w:p>
      <w:pPr>
        <w:pStyle w:val="0"/>
        <w:spacing w:before="200" w:line-rule="auto"/>
        <w:ind w:firstLine="540"/>
        <w:jc w:val="both"/>
      </w:pPr>
      <w:r>
        <w:rPr>
          <w:sz w:val="20"/>
        </w:rPr>
        <w:t xml:space="preserve">а)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СОНКО,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Копии документов, указанных в настоящем пункте Порядка, должны быть созданы в формате PDF и загружены на платформу одним файлом.</w:t>
      </w:r>
    </w:p>
    <w:bookmarkStart w:id="157" w:name="P157"/>
    <w:bookmarkEnd w:id="157"/>
    <w:p>
      <w:pPr>
        <w:pStyle w:val="0"/>
        <w:spacing w:before="200" w:line-rule="auto"/>
        <w:ind w:firstLine="540"/>
        <w:jc w:val="both"/>
      </w:pPr>
      <w:r>
        <w:rPr>
          <w:sz w:val="20"/>
        </w:rPr>
        <w:t xml:space="preserve">22. Участник конкурса должен соответствовать следующим требованиям:</w:t>
      </w:r>
    </w:p>
    <w:p>
      <w:pPr>
        <w:pStyle w:val="0"/>
        <w:spacing w:before="200" w:line-rule="auto"/>
        <w:ind w:firstLine="540"/>
        <w:jc w:val="both"/>
      </w:pPr>
      <w:r>
        <w:rPr>
          <w:sz w:val="20"/>
        </w:rPr>
        <w:t xml:space="preserve">а) у участника конкурса на дату формирования ответа на межведомственный запрос, направленный департаментом,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59" w:name="P159"/>
    <w:bookmarkEnd w:id="159"/>
    <w:p>
      <w:pPr>
        <w:pStyle w:val="0"/>
        <w:spacing w:before="200" w:line-rule="auto"/>
        <w:ind w:firstLine="540"/>
        <w:jc w:val="both"/>
      </w:pPr>
      <w:r>
        <w:rPr>
          <w:sz w:val="20"/>
        </w:rPr>
        <w:t xml:space="preserve">б) у участника конкурса на первое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w:t>
      </w:r>
    </w:p>
    <w:p>
      <w:pPr>
        <w:pStyle w:val="0"/>
        <w:spacing w:before="200" w:line-rule="auto"/>
        <w:ind w:firstLine="540"/>
        <w:jc w:val="both"/>
      </w:pPr>
      <w:r>
        <w:rPr>
          <w:sz w:val="20"/>
        </w:rPr>
        <w:t xml:space="preserve">в)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на дату подачи заявки должны отсутствовать сведения о дисквалификации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p>
    <w:p>
      <w:pPr>
        <w:pStyle w:val="0"/>
        <w:spacing w:before="200" w:line-rule="auto"/>
        <w:ind w:firstLine="540"/>
        <w:jc w:val="both"/>
      </w:pPr>
      <w:r>
        <w:rPr>
          <w:sz w:val="20"/>
        </w:rPr>
        <w:t xml:space="preserve">д) участник конкурса на дату подачи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участник конкурса на первое число месяца, предшествующего месяцу, в котором проводится конкурс, не должен получать средства из областного бюджета на основании иных нормативных правовых актов Брянской области на цели, установленные настоящим Порядком;</w:t>
      </w:r>
    </w:p>
    <w:bookmarkStart w:id="164" w:name="P164"/>
    <w:bookmarkEnd w:id="164"/>
    <w:p>
      <w:pPr>
        <w:pStyle w:val="0"/>
        <w:spacing w:before="200" w:line-rule="auto"/>
        <w:ind w:firstLine="540"/>
        <w:jc w:val="both"/>
      </w:pPr>
      <w:r>
        <w:rPr>
          <w:sz w:val="20"/>
        </w:rPr>
        <w:t xml:space="preserve">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Проверка соответствия участника конкурса требованиям, установленным настоящим пунктом, осуществляется департаментом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а также посредством получения сведений из государственных реестров, находящихся в открытом доступе в информационно-телекоммуникационной сети "Интернет.</w:t>
      </w:r>
    </w:p>
    <w:p>
      <w:pPr>
        <w:pStyle w:val="0"/>
        <w:spacing w:before="200" w:line-rule="auto"/>
        <w:ind w:firstLine="540"/>
        <w:jc w:val="both"/>
      </w:pPr>
      <w:r>
        <w:rPr>
          <w:sz w:val="20"/>
        </w:rPr>
        <w:t xml:space="preserve">При этом направления межведомственных запросов с целью подтверждения соответствия участника конкурса установленным требованиям осуществляются департаментом не позднее второго рабочего дня, следующего за днем окончания приема заявок.</w:t>
      </w:r>
    </w:p>
    <w:p>
      <w:pPr>
        <w:pStyle w:val="0"/>
        <w:spacing w:before="200" w:line-rule="auto"/>
        <w:ind w:firstLine="540"/>
        <w:jc w:val="both"/>
      </w:pPr>
      <w:r>
        <w:rPr>
          <w:sz w:val="20"/>
        </w:rPr>
        <w:t xml:space="preserve">23. На конкурс могут быть представлены проекты,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а) вовлечение граждан Брянской области к ведению здорового образа жизни, включая здоровое питание и отказ от вредных привычек (снижение употребления сигарет и папирос);</w:t>
      </w:r>
    </w:p>
    <w:p>
      <w:pPr>
        <w:pStyle w:val="0"/>
        <w:spacing w:before="200" w:line-rule="auto"/>
        <w:ind w:firstLine="540"/>
        <w:jc w:val="both"/>
      </w:pPr>
      <w:r>
        <w:rPr>
          <w:sz w:val="20"/>
        </w:rPr>
        <w:t xml:space="preserve">б) профилактика наркомании, алкоголизма в подростковой и молодежной среде;</w:t>
      </w:r>
    </w:p>
    <w:p>
      <w:pPr>
        <w:pStyle w:val="0"/>
        <w:spacing w:before="200" w:line-rule="auto"/>
        <w:ind w:firstLine="540"/>
        <w:jc w:val="both"/>
      </w:pPr>
      <w:r>
        <w:rPr>
          <w:sz w:val="20"/>
        </w:rPr>
        <w:t xml:space="preserve">в) популяризация здорового образа жизни, охрана здоровья граждан Брянской области.</w:t>
      </w:r>
    </w:p>
    <w:p>
      <w:pPr>
        <w:pStyle w:val="0"/>
        <w:spacing w:before="200" w:line-rule="auto"/>
        <w:ind w:firstLine="540"/>
        <w:jc w:val="both"/>
      </w:pPr>
      <w:r>
        <w:rPr>
          <w:sz w:val="20"/>
        </w:rPr>
        <w:t xml:space="preserve">24. Заявка должна быть подана в течение срока приема заявок, указанного в объявлении о проведении конкурса (далее - срок приема заявок).</w:t>
      </w:r>
    </w:p>
    <w:p>
      <w:pPr>
        <w:pStyle w:val="0"/>
        <w:spacing w:before="200" w:line-rule="auto"/>
        <w:ind w:firstLine="540"/>
        <w:jc w:val="both"/>
      </w:pPr>
      <w:r>
        <w:rPr>
          <w:sz w:val="20"/>
        </w:rPr>
        <w:t xml:space="preserve">25. Заявка, поступившая по истечении срока приема заявок,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26. Одна СОНКО вправе подать только одну заявку. Вторая и последующие поступившие заявки не рассматриваются. Посредством использования функционала информационной системы таким заявкам присваивается статус "Не подлежит рассмотрению".</w:t>
      </w:r>
    </w:p>
    <w:p>
      <w:pPr>
        <w:pStyle w:val="0"/>
        <w:spacing w:before="200" w:line-rule="auto"/>
        <w:ind w:firstLine="540"/>
        <w:jc w:val="both"/>
      </w:pPr>
      <w:r>
        <w:rPr>
          <w:sz w:val="20"/>
        </w:rPr>
        <w:t xml:space="preserve">27. Заявка, поданная лицом, не уполномоченным на совершение соответствующих действий от имени СОНКО, не признается заявкой, не учитывается и со дня выявления факта ее подачи неуполномоченным лицом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28. Подавшая заявку СОНКО вправе до окончания срока приема заявок отозвать такую заявку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29. В случае отзыва СОНКО заявки рассмотрение такой заявки департаментом не осуществляется.</w:t>
      </w:r>
    </w:p>
    <w:p>
      <w:pPr>
        <w:pStyle w:val="0"/>
        <w:spacing w:before="200" w:line-rule="auto"/>
        <w:ind w:firstLine="540"/>
        <w:jc w:val="both"/>
      </w:pPr>
      <w:r>
        <w:rPr>
          <w:sz w:val="20"/>
        </w:rPr>
        <w:t xml:space="preserve">30. СОНКО, ранее отозвавшая заявку, вправе до окончания срока приема заявок подать новую заявку.</w:t>
      </w:r>
    </w:p>
    <w:p>
      <w:pPr>
        <w:pStyle w:val="0"/>
        <w:spacing w:before="200" w:line-rule="auto"/>
        <w:ind w:firstLine="540"/>
        <w:jc w:val="both"/>
      </w:pPr>
      <w:r>
        <w:rPr>
          <w:sz w:val="20"/>
        </w:rPr>
        <w:t xml:space="preserve">31. В течение срока приема заявок СОНКО, подавшая заявку, вправе внести изменения в такую заявку с целью устранения выявленных ею несоответствий заявки требованиям настоящего Порядка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32. В течение срока приема заявок СОНКО вправе подать в департамент запрос о даче разъяснений положений объявления о проведении конкурса, подписанный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Не позднее двух рабочих дней со дня, следующего за датой поступления от СОНКО запроса о даче разъяснений положений объявления о проведении конкурса, департамент направляет этой СОНКО разъяснения таких положений при условии, что запрос поступил не позднее чем за три дня до даты окончания приема заявок на участие в конкурсе.</w:t>
      </w:r>
    </w:p>
    <w:bookmarkStart w:id="181" w:name="P181"/>
    <w:bookmarkEnd w:id="181"/>
    <w:p>
      <w:pPr>
        <w:pStyle w:val="0"/>
        <w:spacing w:before="200" w:line-rule="auto"/>
        <w:ind w:firstLine="540"/>
        <w:jc w:val="both"/>
      </w:pPr>
      <w:r>
        <w:rPr>
          <w:sz w:val="20"/>
        </w:rPr>
        <w:t xml:space="preserve">33. Рассмотрение поступивших заявок и их проверка осуществляются рабочей группой конкурса на предоставление субсидий СОНКО Брянской области на реализацию регионального проекта "Укрепление общественного здоровья (Брянская область)" (далее - рабочая группа), сформированной приказом департамента из числа его сотрудников.</w:t>
      </w:r>
    </w:p>
    <w:bookmarkStart w:id="182" w:name="P182"/>
    <w:bookmarkEnd w:id="182"/>
    <w:p>
      <w:pPr>
        <w:pStyle w:val="0"/>
        <w:spacing w:before="200" w:line-rule="auto"/>
        <w:ind w:firstLine="540"/>
        <w:jc w:val="both"/>
      </w:pPr>
      <w:r>
        <w:rPr>
          <w:sz w:val="20"/>
        </w:rPr>
        <w:t xml:space="preserve">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w:t>
      </w:r>
      <w:hyperlink w:history="0" w:anchor="P56"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подпунктами 9 (в части деятельности в области здравоохранени...">
        <w:r>
          <w:rPr>
            <w:sz w:val="20"/>
            <w:color w:val="0000ff"/>
          </w:rPr>
          <w:t xml:space="preserve">пунктами 7</w:t>
        </w:r>
      </w:hyperlink>
      <w:r>
        <w:rPr>
          <w:sz w:val="20"/>
        </w:rPr>
        <w:t xml:space="preserve">, </w:t>
      </w:r>
      <w:hyperlink w:history="0" w:anchor="P57" w:tooltip="8. Участниками конкурса не могут быть:">
        <w:r>
          <w:rPr>
            <w:sz w:val="20"/>
            <w:color w:val="0000ff"/>
          </w:rPr>
          <w:t xml:space="preserve">8</w:t>
        </w:r>
      </w:hyperlink>
      <w:r>
        <w:rPr>
          <w:sz w:val="20"/>
        </w:rPr>
        <w:t xml:space="preserve">, </w:t>
      </w:r>
      <w:hyperlink w:history="0" w:anchor="P157"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bookmarkStart w:id="183" w:name="P183"/>
    <w:bookmarkEnd w:id="183"/>
    <w:p>
      <w:pPr>
        <w:pStyle w:val="0"/>
        <w:spacing w:before="200" w:line-rule="auto"/>
        <w:ind w:firstLine="540"/>
        <w:jc w:val="both"/>
      </w:pPr>
      <w:r>
        <w:rPr>
          <w:sz w:val="20"/>
        </w:rPr>
        <w:t xml:space="preserve">35. По результатам рассмотрения поступивших заявок и проведенной проверки, предусмотренных </w:t>
      </w:r>
      <w:hyperlink w:history="0" w:anchor="P182" w:tooltip="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пунктами 7, 8, 22 настоящего Порядка.">
        <w:r>
          <w:rPr>
            <w:sz w:val="20"/>
            <w:color w:val="0000ff"/>
          </w:rPr>
          <w:t xml:space="preserve">пунктом 34</w:t>
        </w:r>
      </w:hyperlink>
      <w:r>
        <w:rPr>
          <w:sz w:val="20"/>
        </w:rPr>
        <w:t xml:space="preserve"> настоящего Порядка, рабочей группой составляется акт, в котором в том числе указывается следующая информация: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общее число поступивших заявок;</w:t>
      </w:r>
    </w:p>
    <w:p>
      <w:pPr>
        <w:pStyle w:val="0"/>
        <w:spacing w:before="200" w:line-rule="auto"/>
        <w:ind w:firstLine="540"/>
        <w:jc w:val="both"/>
      </w:pPr>
      <w:r>
        <w:rPr>
          <w:sz w:val="20"/>
        </w:rPr>
        <w:t xml:space="preserve">в) информация о СОНКО, заявки которых были рассмотрены;</w:t>
      </w:r>
    </w:p>
    <w:p>
      <w:pPr>
        <w:pStyle w:val="0"/>
        <w:spacing w:before="200" w:line-rule="auto"/>
        <w:ind w:firstLine="540"/>
        <w:jc w:val="both"/>
      </w:pPr>
      <w:r>
        <w:rPr>
          <w:sz w:val="20"/>
        </w:rPr>
        <w:t xml:space="preserve">г) перечень СОНКО, подавших заявки, в отношении которых выявлены несоответствия требованиям, установленным настоящим Порядком, с указанием выявленных в отношении таких СОНКО несоответствий (при наличии);</w:t>
      </w:r>
    </w:p>
    <w:p>
      <w:pPr>
        <w:pStyle w:val="0"/>
        <w:spacing w:before="200" w:line-rule="auto"/>
        <w:ind w:firstLine="540"/>
        <w:jc w:val="both"/>
      </w:pPr>
      <w:r>
        <w:rPr>
          <w:sz w:val="20"/>
        </w:rPr>
        <w:t xml:space="preserve">д) перечень СОНКО, подавших заявки, соответствующих требованиям, установленным настоящим Порядком.</w:t>
      </w:r>
    </w:p>
    <w:bookmarkStart w:id="189" w:name="P189"/>
    <w:bookmarkEnd w:id="189"/>
    <w:p>
      <w:pPr>
        <w:pStyle w:val="0"/>
        <w:spacing w:before="200" w:line-rule="auto"/>
        <w:ind w:firstLine="540"/>
        <w:jc w:val="both"/>
      </w:pPr>
      <w:r>
        <w:rPr>
          <w:sz w:val="20"/>
        </w:rPr>
        <w:t xml:space="preserve">36. На основании акта рабочей группы, составленного в соответствии с </w:t>
      </w:r>
      <w:hyperlink w:history="0" w:anchor="P183" w:tooltip="35. По результатам рассмотрения поступивших заявок и проведенной проверки, предусмотренных пунктом 34 настоящего Порядка, рабочей группой составляется акт, в котором в том числе указывается следующая информация:">
        <w:r>
          <w:rPr>
            <w:sz w:val="20"/>
            <w:color w:val="0000ff"/>
          </w:rPr>
          <w:t xml:space="preserve">пунктом 35</w:t>
        </w:r>
      </w:hyperlink>
      <w:r>
        <w:rPr>
          <w:sz w:val="20"/>
        </w:rPr>
        <w:t xml:space="preserve">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w:t>
      </w:r>
    </w:p>
    <w:p>
      <w:pPr>
        <w:pStyle w:val="0"/>
        <w:spacing w:before="200" w:line-rule="auto"/>
        <w:ind w:firstLine="540"/>
        <w:jc w:val="both"/>
      </w:pPr>
      <w:r>
        <w:rPr>
          <w:sz w:val="20"/>
        </w:rPr>
        <w:t xml:space="preserve">а) перечень СОНКО, заявки которых отклонены, с указанием причин их отклонения;</w:t>
      </w:r>
    </w:p>
    <w:p>
      <w:pPr>
        <w:pStyle w:val="0"/>
        <w:spacing w:before="200" w:line-rule="auto"/>
        <w:ind w:firstLine="540"/>
        <w:jc w:val="both"/>
      </w:pPr>
      <w:r>
        <w:rPr>
          <w:sz w:val="20"/>
        </w:rPr>
        <w:t xml:space="preserve">б) перечень СОНКО, заявки которых допущены к оценке.</w:t>
      </w:r>
    </w:p>
    <w:p>
      <w:pPr>
        <w:pStyle w:val="0"/>
        <w:spacing w:before="200" w:line-rule="auto"/>
        <w:ind w:firstLine="540"/>
        <w:jc w:val="both"/>
      </w:pPr>
      <w:r>
        <w:rPr>
          <w:sz w:val="20"/>
        </w:rPr>
        <w:t xml:space="preserve">37. Основаниями для отклонения заявки на стадии ее рассмотрения является:</w:t>
      </w:r>
    </w:p>
    <w:p>
      <w:pPr>
        <w:pStyle w:val="0"/>
        <w:spacing w:before="200" w:line-rule="auto"/>
        <w:ind w:firstLine="540"/>
        <w:jc w:val="both"/>
      </w:pPr>
      <w:r>
        <w:rPr>
          <w:sz w:val="20"/>
        </w:rPr>
        <w:t xml:space="preserve">а) несоответствие СОНКО, подавшей заявку, требованиям, установленным </w:t>
      </w:r>
      <w:hyperlink w:history="0" w:anchor="P56"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подпунктами 9 (в части деятельности в области здравоохранени...">
        <w:r>
          <w:rPr>
            <w:sz w:val="20"/>
            <w:color w:val="0000ff"/>
          </w:rPr>
          <w:t xml:space="preserve">пунктами 7</w:t>
        </w:r>
      </w:hyperlink>
      <w:r>
        <w:rPr>
          <w:sz w:val="20"/>
        </w:rPr>
        <w:t xml:space="preserve">, </w:t>
      </w:r>
      <w:hyperlink w:history="0" w:anchor="P57" w:tooltip="8. Участниками конкурса не могут быть:">
        <w:r>
          <w:rPr>
            <w:sz w:val="20"/>
            <w:color w:val="0000ff"/>
          </w:rPr>
          <w:t xml:space="preserve">8</w:t>
        </w:r>
      </w:hyperlink>
      <w:r>
        <w:rPr>
          <w:sz w:val="20"/>
        </w:rPr>
        <w:t xml:space="preserve">, </w:t>
      </w:r>
      <w:hyperlink w:history="0" w:anchor="P157"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СОНКО заявки и документов, входящих в ее состав, требованиям, установленным </w:t>
      </w:r>
      <w:hyperlink w:history="0" w:anchor="P134" w:tooltip="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
        <w:r>
          <w:rPr>
            <w:sz w:val="20"/>
            <w:color w:val="0000ff"/>
          </w:rPr>
          <w:t xml:space="preserve">пунктами 20</w:t>
        </w:r>
      </w:hyperlink>
      <w:r>
        <w:rPr>
          <w:sz w:val="20"/>
        </w:rPr>
        <w:t xml:space="preserve">, </w:t>
      </w:r>
      <w:hyperlink w:history="0" w:anchor="P153" w:tooltip="21. В состав заявки включаются следующие документы:">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СОНКО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СОНКО заявки после окончания срока приема заявок;</w:t>
      </w:r>
    </w:p>
    <w:p>
      <w:pPr>
        <w:pStyle w:val="0"/>
        <w:spacing w:before="200" w:line-rule="auto"/>
        <w:ind w:firstLine="540"/>
        <w:jc w:val="both"/>
      </w:pPr>
      <w:r>
        <w:rPr>
          <w:sz w:val="20"/>
        </w:rPr>
        <w:t xml:space="preserve">д) содержание в заявке информации, использование которой нарушает требования законодательства;</w:t>
      </w:r>
    </w:p>
    <w:p>
      <w:pPr>
        <w:pStyle w:val="0"/>
        <w:spacing w:before="200" w:line-rule="auto"/>
        <w:ind w:firstLine="540"/>
        <w:jc w:val="both"/>
      </w:pPr>
      <w:r>
        <w:rPr>
          <w:sz w:val="20"/>
        </w:rPr>
        <w:t xml:space="preserve">е) проект, представленный на конкурс,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ж) бюджет представленного на конкурс проекта содержит расходы, не соответствующие требованиям, установленным </w:t>
      </w:r>
      <w:hyperlink w:history="0" w:anchor="P75" w:tooltip="11. За счет средств субсидии допускается осуществление следующих расходов, непосредственно связанных с реализацией проекта:">
        <w:r>
          <w:rPr>
            <w:sz w:val="20"/>
            <w:color w:val="0000ff"/>
          </w:rPr>
          <w:t xml:space="preserve">пунктами 11</w:t>
        </w:r>
      </w:hyperlink>
      <w:r>
        <w:rPr>
          <w:sz w:val="20"/>
        </w:rPr>
        <w:t xml:space="preserve">, </w:t>
      </w:r>
      <w:hyperlink w:history="0" w:anchor="P90" w:tooltip="12. Не допускается за счет средств субсидии осуществление следующих расходов:">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38. Не позднее двух рабочих дней, следующих за днем издания департаментом приказа, предусмотренного </w:t>
      </w:r>
      <w:hyperlink w:history="0" w:anchor="P189" w:tooltip="36. На основании акта рабочей группы, составленного в соответствии с пунктом 35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
        <w:r>
          <w:rPr>
            <w:sz w:val="20"/>
            <w:color w:val="0000ff"/>
          </w:rPr>
          <w:t xml:space="preserve">пунктом 36</w:t>
        </w:r>
      </w:hyperlink>
      <w:r>
        <w:rPr>
          <w:sz w:val="20"/>
        </w:rPr>
        <w:t xml:space="preserve"> настоящего Порядка, информация о результатах рассмотрения поступивших заявок подлежит размещению на платформе, а также на официальном сайте департамента.</w:t>
      </w:r>
    </w:p>
    <w:p>
      <w:pPr>
        <w:pStyle w:val="0"/>
        <w:spacing w:before="200" w:line-rule="auto"/>
        <w:ind w:firstLine="540"/>
        <w:jc w:val="both"/>
      </w:pPr>
      <w:r>
        <w:rPr>
          <w:sz w:val="20"/>
        </w:rPr>
        <w:t xml:space="preserve">Информация, предусмотренная настоящим пунктом Порядка, должна включать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СОНКО, заявки которых были рассмотрены;</w:t>
      </w:r>
    </w:p>
    <w:p>
      <w:pPr>
        <w:pStyle w:val="0"/>
        <w:spacing w:before="200" w:line-rule="auto"/>
        <w:ind w:firstLine="540"/>
        <w:jc w:val="both"/>
      </w:pPr>
      <w:r>
        <w:rPr>
          <w:sz w:val="20"/>
        </w:rPr>
        <w:t xml:space="preserve">информация о СОНКО, заявки которых были отклонены, с указанием причин их отклонения, в том числе требований настоящего Порядка, которым не соответствуют такие заявки;</w:t>
      </w:r>
    </w:p>
    <w:p>
      <w:pPr>
        <w:pStyle w:val="0"/>
        <w:spacing w:before="200" w:line-rule="auto"/>
        <w:ind w:firstLine="540"/>
        <w:jc w:val="both"/>
      </w:pPr>
      <w:r>
        <w:rPr>
          <w:sz w:val="20"/>
        </w:rPr>
        <w:t xml:space="preserve">информация о СОНКО, заявки которых были допущены к оценке.</w:t>
      </w:r>
    </w:p>
    <w:bookmarkStart w:id="206" w:name="P206"/>
    <w:bookmarkEnd w:id="206"/>
    <w:p>
      <w:pPr>
        <w:pStyle w:val="0"/>
        <w:spacing w:before="200" w:line-rule="auto"/>
        <w:ind w:firstLine="540"/>
        <w:jc w:val="both"/>
      </w:pPr>
      <w:r>
        <w:rPr>
          <w:sz w:val="20"/>
        </w:rPr>
        <w:t xml:space="preserve">39. Заявки участников конкурса, допущенные к оценке, оцениваются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030"/>
        <w:gridCol w:w="1534"/>
      </w:tblGrid>
      <w:tr>
        <w:tc>
          <w:tcPr>
            <w:tcW w:w="454" w:type="dxa"/>
          </w:tcPr>
          <w:p>
            <w:pPr>
              <w:pStyle w:val="0"/>
              <w:jc w:val="center"/>
            </w:pPr>
            <w:r>
              <w:rPr>
                <w:sz w:val="20"/>
              </w:rPr>
              <w:t xml:space="preserve">N п/п</w:t>
            </w:r>
          </w:p>
        </w:tc>
        <w:tc>
          <w:tcPr>
            <w:tcW w:w="7030" w:type="dxa"/>
          </w:tcPr>
          <w:p>
            <w:pPr>
              <w:pStyle w:val="0"/>
              <w:jc w:val="center"/>
            </w:pPr>
            <w:r>
              <w:rPr>
                <w:sz w:val="20"/>
              </w:rPr>
              <w:t xml:space="preserve">Критерии оценки заявки на участие в конкурсе на предоставление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w:t>
            </w:r>
          </w:p>
        </w:tc>
        <w:tc>
          <w:tcPr>
            <w:tcW w:w="1534" w:type="dxa"/>
          </w:tcPr>
          <w:p>
            <w:pPr>
              <w:pStyle w:val="0"/>
              <w:jc w:val="center"/>
            </w:pPr>
            <w:r>
              <w:rPr>
                <w:sz w:val="20"/>
              </w:rPr>
              <w:t xml:space="preserve">Коэффициент значимости критерия</w:t>
            </w:r>
          </w:p>
        </w:tc>
      </w:tr>
      <w:tr>
        <w:tc>
          <w:tcPr>
            <w:tcW w:w="454" w:type="dxa"/>
          </w:tcPr>
          <w:p>
            <w:pPr>
              <w:pStyle w:val="0"/>
              <w:jc w:val="center"/>
            </w:pPr>
            <w:r>
              <w:rPr>
                <w:sz w:val="20"/>
              </w:rPr>
              <w:t xml:space="preserve">1.</w:t>
            </w:r>
          </w:p>
        </w:tc>
        <w:tc>
          <w:tcPr>
            <w:tcW w:w="7030" w:type="dxa"/>
          </w:tcPr>
          <w:p>
            <w:pPr>
              <w:pStyle w:val="0"/>
            </w:pPr>
            <w:r>
              <w:rPr>
                <w:sz w:val="20"/>
              </w:rPr>
              <w:t xml:space="preserve">Актуальность и социальная значимость проекта</w:t>
            </w:r>
          </w:p>
        </w:tc>
        <w:tc>
          <w:tcPr>
            <w:tcW w:w="1534" w:type="dxa"/>
          </w:tcPr>
          <w:p>
            <w:pPr>
              <w:pStyle w:val="0"/>
              <w:jc w:val="center"/>
            </w:pPr>
            <w:r>
              <w:rPr>
                <w:sz w:val="20"/>
              </w:rPr>
              <w:t xml:space="preserve">2</w:t>
            </w:r>
          </w:p>
        </w:tc>
      </w:tr>
      <w:tr>
        <w:tc>
          <w:tcPr>
            <w:tcW w:w="454" w:type="dxa"/>
          </w:tcPr>
          <w:p>
            <w:pPr>
              <w:pStyle w:val="0"/>
              <w:jc w:val="center"/>
            </w:pPr>
            <w:r>
              <w:rPr>
                <w:sz w:val="20"/>
              </w:rPr>
              <w:t xml:space="preserve">2.</w:t>
            </w:r>
          </w:p>
        </w:tc>
        <w:tc>
          <w:tcPr>
            <w:tcW w:w="7030"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534" w:type="dxa"/>
          </w:tcPr>
          <w:p>
            <w:pPr>
              <w:pStyle w:val="0"/>
              <w:jc w:val="center"/>
            </w:pPr>
            <w:r>
              <w:rPr>
                <w:sz w:val="20"/>
              </w:rPr>
              <w:t xml:space="preserve">2</w:t>
            </w:r>
          </w:p>
        </w:tc>
      </w:tr>
      <w:tr>
        <w:tc>
          <w:tcPr>
            <w:tcW w:w="454" w:type="dxa"/>
          </w:tcPr>
          <w:p>
            <w:pPr>
              <w:pStyle w:val="0"/>
              <w:jc w:val="center"/>
            </w:pPr>
            <w:r>
              <w:rPr>
                <w:sz w:val="20"/>
              </w:rPr>
              <w:t xml:space="preserve">3.</w:t>
            </w:r>
          </w:p>
        </w:tc>
        <w:tc>
          <w:tcPr>
            <w:tcW w:w="7030" w:type="dxa"/>
          </w:tcPr>
          <w:p>
            <w:pPr>
              <w:pStyle w:val="0"/>
            </w:pPr>
            <w:r>
              <w:rPr>
                <w:sz w:val="20"/>
              </w:rPr>
              <w:t xml:space="preserve">Инновационность, уникальность проекта</w:t>
            </w:r>
          </w:p>
        </w:tc>
        <w:tc>
          <w:tcPr>
            <w:tcW w:w="1534" w:type="dxa"/>
          </w:tcPr>
          <w:p>
            <w:pPr>
              <w:pStyle w:val="0"/>
              <w:jc w:val="center"/>
            </w:pPr>
            <w:r>
              <w:rPr>
                <w:sz w:val="20"/>
              </w:rPr>
              <w:t xml:space="preserve">0,5</w:t>
            </w:r>
          </w:p>
        </w:tc>
      </w:tr>
      <w:tr>
        <w:tc>
          <w:tcPr>
            <w:tcW w:w="454" w:type="dxa"/>
          </w:tcPr>
          <w:p>
            <w:pPr>
              <w:pStyle w:val="0"/>
              <w:jc w:val="center"/>
            </w:pPr>
            <w:r>
              <w:rPr>
                <w:sz w:val="20"/>
              </w:rPr>
              <w:t xml:space="preserve">4.</w:t>
            </w:r>
          </w:p>
        </w:tc>
        <w:tc>
          <w:tcPr>
            <w:tcW w:w="7030"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534" w:type="dxa"/>
          </w:tcPr>
          <w:p>
            <w:pPr>
              <w:pStyle w:val="0"/>
              <w:jc w:val="center"/>
            </w:pPr>
            <w:r>
              <w:rPr>
                <w:sz w:val="20"/>
              </w:rPr>
              <w:t xml:space="preserve">2</w:t>
            </w:r>
          </w:p>
        </w:tc>
      </w:tr>
      <w:tr>
        <w:tc>
          <w:tcPr>
            <w:tcW w:w="454" w:type="dxa"/>
          </w:tcPr>
          <w:p>
            <w:pPr>
              <w:pStyle w:val="0"/>
              <w:jc w:val="center"/>
            </w:pPr>
            <w:r>
              <w:rPr>
                <w:sz w:val="20"/>
              </w:rPr>
              <w:t xml:space="preserve">5.</w:t>
            </w:r>
          </w:p>
        </w:tc>
        <w:tc>
          <w:tcPr>
            <w:tcW w:w="7030"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534" w:type="dxa"/>
          </w:tcPr>
          <w:p>
            <w:pPr>
              <w:pStyle w:val="0"/>
              <w:jc w:val="center"/>
            </w:pPr>
            <w:r>
              <w:rPr>
                <w:sz w:val="20"/>
              </w:rPr>
              <w:t xml:space="preserve">1</w:t>
            </w:r>
          </w:p>
        </w:tc>
      </w:tr>
      <w:tr>
        <w:tc>
          <w:tcPr>
            <w:tcW w:w="454" w:type="dxa"/>
          </w:tcPr>
          <w:p>
            <w:pPr>
              <w:pStyle w:val="0"/>
              <w:jc w:val="center"/>
            </w:pPr>
            <w:r>
              <w:rPr>
                <w:sz w:val="20"/>
              </w:rPr>
              <w:t xml:space="preserve">6.</w:t>
            </w:r>
          </w:p>
        </w:tc>
        <w:tc>
          <w:tcPr>
            <w:tcW w:w="7030" w:type="dxa"/>
          </w:tcPr>
          <w:p>
            <w:pPr>
              <w:pStyle w:val="0"/>
            </w:pPr>
            <w:r>
              <w:rPr>
                <w:sz w:val="20"/>
              </w:rPr>
              <w:t xml:space="preserve">Масштабность реализации проекта</w:t>
            </w:r>
          </w:p>
        </w:tc>
        <w:tc>
          <w:tcPr>
            <w:tcW w:w="1534" w:type="dxa"/>
          </w:tcPr>
          <w:p>
            <w:pPr>
              <w:pStyle w:val="0"/>
              <w:jc w:val="center"/>
            </w:pPr>
            <w:r>
              <w:rPr>
                <w:sz w:val="20"/>
              </w:rPr>
              <w:t xml:space="preserve">0,5</w:t>
            </w:r>
          </w:p>
        </w:tc>
      </w:tr>
      <w:tr>
        <w:tc>
          <w:tcPr>
            <w:tcW w:w="454" w:type="dxa"/>
          </w:tcPr>
          <w:p>
            <w:pPr>
              <w:pStyle w:val="0"/>
              <w:jc w:val="center"/>
            </w:pPr>
            <w:r>
              <w:rPr>
                <w:sz w:val="20"/>
              </w:rPr>
              <w:t xml:space="preserve">7.</w:t>
            </w:r>
          </w:p>
        </w:tc>
        <w:tc>
          <w:tcPr>
            <w:tcW w:w="7030" w:type="dxa"/>
          </w:tcPr>
          <w:p>
            <w:pPr>
              <w:pStyle w:val="0"/>
            </w:pPr>
            <w:r>
              <w:rPr>
                <w:sz w:val="20"/>
              </w:rPr>
              <w:t xml:space="preserve">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534" w:type="dxa"/>
          </w:tcPr>
          <w:p>
            <w:pPr>
              <w:pStyle w:val="0"/>
              <w:jc w:val="center"/>
            </w:pPr>
            <w:r>
              <w:rPr>
                <w:sz w:val="20"/>
              </w:rPr>
              <w:t xml:space="preserve">0,5</w:t>
            </w:r>
          </w:p>
        </w:tc>
      </w:tr>
      <w:tr>
        <w:tc>
          <w:tcPr>
            <w:tcW w:w="454" w:type="dxa"/>
          </w:tcPr>
          <w:p>
            <w:pPr>
              <w:pStyle w:val="0"/>
              <w:jc w:val="center"/>
            </w:pPr>
            <w:r>
              <w:rPr>
                <w:sz w:val="20"/>
              </w:rPr>
              <w:t xml:space="preserve">8.</w:t>
            </w:r>
          </w:p>
        </w:tc>
        <w:tc>
          <w:tcPr>
            <w:tcW w:w="7030" w:type="dxa"/>
          </w:tcPr>
          <w:p>
            <w:pPr>
              <w:pStyle w:val="0"/>
            </w:pPr>
            <w:r>
              <w:rPr>
                <w:sz w:val="20"/>
              </w:rPr>
              <w:t xml:space="preserve">Опыт участника конкурса по успешной реализации программ, проектов по соответствующему направлению деятельности</w:t>
            </w:r>
          </w:p>
        </w:tc>
        <w:tc>
          <w:tcPr>
            <w:tcW w:w="1534" w:type="dxa"/>
          </w:tcPr>
          <w:p>
            <w:pPr>
              <w:pStyle w:val="0"/>
              <w:jc w:val="center"/>
            </w:pPr>
            <w:r>
              <w:rPr>
                <w:sz w:val="20"/>
              </w:rPr>
              <w:t xml:space="preserve">0,5</w:t>
            </w:r>
          </w:p>
        </w:tc>
      </w:tr>
      <w:tr>
        <w:tc>
          <w:tcPr>
            <w:tcW w:w="454" w:type="dxa"/>
          </w:tcPr>
          <w:p>
            <w:pPr>
              <w:pStyle w:val="0"/>
              <w:jc w:val="center"/>
            </w:pPr>
            <w:r>
              <w:rPr>
                <w:sz w:val="20"/>
              </w:rPr>
              <w:t xml:space="preserve">9.</w:t>
            </w:r>
          </w:p>
        </w:tc>
        <w:tc>
          <w:tcPr>
            <w:tcW w:w="7030" w:type="dxa"/>
          </w:tcPr>
          <w:p>
            <w:pPr>
              <w:pStyle w:val="0"/>
            </w:pPr>
            <w:r>
              <w:rPr>
                <w:sz w:val="20"/>
              </w:rPr>
              <w:t xml:space="preserve">Соответствие опыта и компетенций команды проекта планируемой деятельности</w:t>
            </w:r>
          </w:p>
        </w:tc>
        <w:tc>
          <w:tcPr>
            <w:tcW w:w="1534" w:type="dxa"/>
          </w:tcPr>
          <w:p>
            <w:pPr>
              <w:pStyle w:val="0"/>
              <w:jc w:val="center"/>
            </w:pPr>
            <w:r>
              <w:rPr>
                <w:sz w:val="20"/>
              </w:rPr>
              <w:t xml:space="preserve">1</w:t>
            </w:r>
          </w:p>
        </w:tc>
      </w:tr>
      <w:tr>
        <w:tc>
          <w:tcPr>
            <w:tcW w:w="454" w:type="dxa"/>
          </w:tcPr>
          <w:p>
            <w:pPr>
              <w:pStyle w:val="0"/>
              <w:jc w:val="center"/>
            </w:pPr>
            <w:r>
              <w:rPr>
                <w:sz w:val="20"/>
              </w:rPr>
              <w:t xml:space="preserve">10.</w:t>
            </w:r>
          </w:p>
        </w:tc>
        <w:tc>
          <w:tcPr>
            <w:tcW w:w="7030" w:type="dxa"/>
          </w:tcPr>
          <w:p>
            <w:pPr>
              <w:pStyle w:val="0"/>
            </w:pPr>
            <w:r>
              <w:rPr>
                <w:sz w:val="20"/>
              </w:rPr>
              <w:t xml:space="preserve">Информационная открытость участника конкурса</w:t>
            </w:r>
          </w:p>
        </w:tc>
        <w:tc>
          <w:tcPr>
            <w:tcW w:w="1534" w:type="dxa"/>
          </w:tcPr>
          <w:p>
            <w:pPr>
              <w:pStyle w:val="0"/>
              <w:jc w:val="center"/>
            </w:pPr>
            <w:r>
              <w:rPr>
                <w:sz w:val="20"/>
              </w:rPr>
              <w:t xml:space="preserve">0,5</w:t>
            </w:r>
          </w:p>
        </w:tc>
      </w:tr>
    </w:tbl>
    <w:p>
      <w:pPr>
        <w:pStyle w:val="0"/>
        <w:jc w:val="both"/>
      </w:pPr>
      <w:r>
        <w:rPr>
          <w:sz w:val="20"/>
        </w:rPr>
      </w:r>
    </w:p>
    <w:bookmarkStart w:id="242" w:name="P242"/>
    <w:bookmarkEnd w:id="242"/>
    <w:p>
      <w:pPr>
        <w:pStyle w:val="0"/>
        <w:ind w:firstLine="540"/>
        <w:jc w:val="both"/>
      </w:pPr>
      <w:r>
        <w:rPr>
          <w:sz w:val="20"/>
        </w:rPr>
        <w:t xml:space="preserve">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на реализацию регионального проекта "Укрепление общественного здоровья (Брянская область)"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w:t>
      </w:r>
    </w:p>
    <w:p>
      <w:pPr>
        <w:pStyle w:val="0"/>
        <w:spacing w:before="200" w:line-rule="auto"/>
        <w:ind w:firstLine="540"/>
        <w:jc w:val="both"/>
      </w:pPr>
      <w:r>
        <w:rPr>
          <w:sz w:val="20"/>
        </w:rPr>
        <w:t xml:space="preserve">41. Организационное обеспечение деятельности экспертной комиссии осуществляет департамент.</w:t>
      </w:r>
    </w:p>
    <w:p>
      <w:pPr>
        <w:pStyle w:val="0"/>
        <w:spacing w:before="200" w:line-rule="auto"/>
        <w:ind w:firstLine="540"/>
        <w:jc w:val="both"/>
      </w:pPr>
      <w:r>
        <w:rPr>
          <w:sz w:val="20"/>
        </w:rPr>
        <w:t xml:space="preserve">42. Состав экспертной комиссии, в которую входят председатель, заместитель председателя, секретарь и иные члены экспертной комиссии, утверждается департаментом в течение срока, установленного в </w:t>
      </w:r>
      <w:hyperlink w:history="0" w:anchor="P242" w:tooltip="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на реализацию регионального проекта &quot;Укрепление общественного здоровья (Брянская область)&quot;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
        <w:r>
          <w:rPr>
            <w:sz w:val="20"/>
            <w:color w:val="0000ff"/>
          </w:rPr>
          <w:t xml:space="preserve">пункте 40</w:t>
        </w:r>
      </w:hyperlink>
      <w:r>
        <w:rPr>
          <w:sz w:val="20"/>
        </w:rPr>
        <w:t xml:space="preserve"> настоящего Порядка, посредством издания соответствующего приказа.</w:t>
      </w:r>
    </w:p>
    <w:p>
      <w:pPr>
        <w:pStyle w:val="0"/>
        <w:spacing w:before="200" w:line-rule="auto"/>
        <w:ind w:firstLine="540"/>
        <w:jc w:val="both"/>
      </w:pPr>
      <w:r>
        <w:rPr>
          <w:sz w:val="20"/>
        </w:rPr>
        <w:t xml:space="preserve">43. Информация о составе экспертной комиссии является информацией ограниченного доступа и не размещается на платформе, а также на официальном сайте департамента.</w:t>
      </w:r>
    </w:p>
    <w:p>
      <w:pPr>
        <w:pStyle w:val="0"/>
        <w:spacing w:before="200" w:line-rule="auto"/>
        <w:ind w:firstLine="540"/>
        <w:jc w:val="both"/>
      </w:pPr>
      <w:r>
        <w:rPr>
          <w:sz w:val="20"/>
        </w:rPr>
        <w:t xml:space="preserve">44. Председатель экспертной комиссии осуществляет общее руководство работой экспертной комиссии, председательствует на заседаниях экспертной комиссии, распределяет обязанности между членами экспертной комиссии, подписывает протоколы заседаний и решения, принимаемые экспертной комиссией.</w:t>
      </w:r>
    </w:p>
    <w:p>
      <w:pPr>
        <w:pStyle w:val="0"/>
        <w:spacing w:before="200" w:line-rule="auto"/>
        <w:ind w:firstLine="540"/>
        <w:jc w:val="both"/>
      </w:pPr>
      <w:r>
        <w:rPr>
          <w:sz w:val="20"/>
        </w:rPr>
        <w:t xml:space="preserve">45. Заместитель председателя экспертной комиссии выполняет обязанности председателя экспертной комиссии в случае его отсутствия, а также осуществляет по поручению председателя экспертной комиссии иные полномочия.</w:t>
      </w:r>
    </w:p>
    <w:p>
      <w:pPr>
        <w:pStyle w:val="0"/>
        <w:spacing w:before="200" w:line-rule="auto"/>
        <w:ind w:firstLine="540"/>
        <w:jc w:val="both"/>
      </w:pPr>
      <w:r>
        <w:rPr>
          <w:sz w:val="20"/>
        </w:rPr>
        <w:t xml:space="preserve">46. Секретарь экспертной комиссии организационно обеспечивает деятельность экспертной комиссии, ведет протоколы заседания и подписывает их совместно с председателем и членами экспертной комиссии.</w:t>
      </w:r>
    </w:p>
    <w:p>
      <w:pPr>
        <w:pStyle w:val="0"/>
        <w:spacing w:before="200" w:line-rule="auto"/>
        <w:ind w:firstLine="540"/>
        <w:jc w:val="both"/>
      </w:pPr>
      <w:r>
        <w:rPr>
          <w:sz w:val="20"/>
        </w:rPr>
        <w:t xml:space="preserve">47. В состав экспертной комиссии должны быть включены члены общественных советов при федеральных органах исполнительной власти, органах исполнительной власти Брянской области, а также могут быть включены представители территориальных органов федеральных органов исполнительной власти, Правительства Брянской области и иных органов исполнительной власти Брянской области, органов местного самоуправления, депутаты Брянской областной Думы и депутаты представительных органов муниципальных образований Брянской области, члены Общественной палаты Брянской области, представители научного сообщества, некоммерческих организаций, средств массовой информации Брянской области.</w:t>
      </w:r>
    </w:p>
    <w:p>
      <w:pPr>
        <w:pStyle w:val="0"/>
        <w:spacing w:before="200" w:line-rule="auto"/>
        <w:ind w:firstLine="540"/>
        <w:jc w:val="both"/>
      </w:pPr>
      <w:r>
        <w:rPr>
          <w:sz w:val="20"/>
        </w:rPr>
        <w:t xml:space="preserve">48. Состав экспертной комиссии формируется таким образом, чтобы была исключена возможность возникновения конфликта интересов, который мог бы повлиять на принимаемые экспертной комиссией решения.</w:t>
      </w:r>
    </w:p>
    <w:p>
      <w:pPr>
        <w:pStyle w:val="0"/>
        <w:spacing w:before="200" w:line-rule="auto"/>
        <w:ind w:firstLine="540"/>
        <w:jc w:val="both"/>
      </w:pPr>
      <w:r>
        <w:rPr>
          <w:sz w:val="20"/>
        </w:rPr>
        <w:t xml:space="preserve">49. Число членов экспертной комиссии должно быть нечетным и составлять не менее девяти человек. Количество членов экспертной комиссии, замещающих государственные должности Брянской области, должности федеральной государственной гражданской службы, государственной гражданской службы Брянской области, муниципальные должности и должности муниципальной службы, должно составлять не более 1/3 от общего состава экспертной комиссии.</w:t>
      </w:r>
    </w:p>
    <w:p>
      <w:pPr>
        <w:pStyle w:val="0"/>
        <w:spacing w:before="200" w:line-rule="auto"/>
        <w:ind w:firstLine="540"/>
        <w:jc w:val="both"/>
      </w:pPr>
      <w:r>
        <w:rPr>
          <w:sz w:val="20"/>
        </w:rPr>
        <w:t xml:space="preserve">50. Заседание экспертной комиссии считается правомочным при участии в нем не менее половины от общего числа членов.</w:t>
      </w:r>
    </w:p>
    <w:p>
      <w:pPr>
        <w:pStyle w:val="0"/>
        <w:spacing w:before="200" w:line-rule="auto"/>
        <w:ind w:firstLine="540"/>
        <w:jc w:val="both"/>
      </w:pPr>
      <w:r>
        <w:rPr>
          <w:sz w:val="20"/>
        </w:rPr>
        <w:t xml:space="preserve">51. Решение экспертной комиссии принимается простым большинством от числа присутствующих на заседании членов экспертной комиссии и оформляется протоколом заседания, который подписывается всеми членами экспертной комиссии, присутствующими на заседании.</w:t>
      </w:r>
    </w:p>
    <w:p>
      <w:pPr>
        <w:pStyle w:val="0"/>
        <w:spacing w:before="200" w:line-rule="auto"/>
        <w:ind w:firstLine="540"/>
        <w:jc w:val="both"/>
      </w:pPr>
      <w:r>
        <w:rPr>
          <w:sz w:val="20"/>
        </w:rPr>
        <w:t xml:space="preserve">Протоколы экспертной комиссии хранятся в департаменте.</w:t>
      </w:r>
    </w:p>
    <w:p>
      <w:pPr>
        <w:pStyle w:val="0"/>
        <w:spacing w:before="200" w:line-rule="auto"/>
        <w:ind w:firstLine="540"/>
        <w:jc w:val="both"/>
      </w:pPr>
      <w:r>
        <w:rPr>
          <w:sz w:val="20"/>
        </w:rPr>
        <w:t xml:space="preserve">52. Члены экспертной комиссии осуществляют свою деятельность на добровольной и безвозмездной основе.</w:t>
      </w:r>
    </w:p>
    <w:p>
      <w:pPr>
        <w:pStyle w:val="0"/>
        <w:spacing w:before="200" w:line-rule="auto"/>
        <w:ind w:firstLine="540"/>
        <w:jc w:val="both"/>
      </w:pPr>
      <w:r>
        <w:rPr>
          <w:sz w:val="20"/>
        </w:rPr>
        <w:t xml:space="preserve">53. Основной функцией экспертной комиссии является оценка заявок в соответствии с </w:t>
      </w:r>
      <w:hyperlink w:history="0" w:anchor="P373" w:tooltip="Методика">
        <w:r>
          <w:rPr>
            <w:sz w:val="20"/>
            <w:color w:val="0000ff"/>
          </w:rPr>
          <w:t xml:space="preserve">методикой</w:t>
        </w:r>
      </w:hyperlink>
      <w:r>
        <w:rPr>
          <w:sz w:val="20"/>
        </w:rPr>
        <w:t xml:space="preserve"> оценки заявок на участие в конкурсе на предоставление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 изложенной в приложении к настоящему Порядку (далее - методика оценки заявок).</w:t>
      </w:r>
    </w:p>
    <w:p>
      <w:pPr>
        <w:pStyle w:val="0"/>
        <w:spacing w:before="200" w:line-rule="auto"/>
        <w:ind w:firstLine="540"/>
        <w:jc w:val="both"/>
      </w:pPr>
      <w:r>
        <w:rPr>
          <w:sz w:val="20"/>
        </w:rPr>
        <w:t xml:space="preserve">54. Оценка заявок членами экспертной комиссии осуществляется в электронной форме посредством заполнения соответствующих форм в информационной системе, доступ к которой осуществляется по уникальному идентификатору (логину) и паролю.</w:t>
      </w:r>
    </w:p>
    <w:p>
      <w:pPr>
        <w:pStyle w:val="0"/>
        <w:spacing w:before="200" w:line-rule="auto"/>
        <w:ind w:firstLine="540"/>
        <w:jc w:val="both"/>
      </w:pPr>
      <w:r>
        <w:rPr>
          <w:sz w:val="20"/>
        </w:rPr>
        <w:t xml:space="preserve">55. Оценка заявок членами экспертной комиссии должна быть проведена в течение 15 рабочих дней, следующих за днем получения членами экспертной комиссии доступа к заявкам.</w:t>
      </w:r>
    </w:p>
    <w:p>
      <w:pPr>
        <w:pStyle w:val="0"/>
        <w:spacing w:before="200" w:line-rule="auto"/>
        <w:ind w:firstLine="540"/>
        <w:jc w:val="both"/>
      </w:pPr>
      <w:r>
        <w:rPr>
          <w:sz w:val="20"/>
        </w:rPr>
        <w:t xml:space="preserve">56. Член экспертной комиссии оценивает заявку лично и не вправе сообщать другому лицу свои уникальный идентификатор (логин) и пароль для доступа к информационной системе.</w:t>
      </w:r>
    </w:p>
    <w:p>
      <w:pPr>
        <w:pStyle w:val="0"/>
        <w:spacing w:before="200" w:line-rule="auto"/>
        <w:ind w:firstLine="540"/>
        <w:jc w:val="both"/>
      </w:pPr>
      <w:r>
        <w:rPr>
          <w:sz w:val="20"/>
        </w:rPr>
        <w:t xml:space="preserve">57. Член экспертной комиссии при оценке заявки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 а также совершать иные действия, на основе которых участник конкурса может определить члена экспертной комиссии, оценивающего его заявку.</w:t>
      </w:r>
    </w:p>
    <w:bookmarkStart w:id="261" w:name="P261"/>
    <w:bookmarkEnd w:id="261"/>
    <w:p>
      <w:pPr>
        <w:pStyle w:val="0"/>
        <w:spacing w:before="200" w:line-rule="auto"/>
        <w:ind w:firstLine="540"/>
        <w:jc w:val="both"/>
      </w:pPr>
      <w:r>
        <w:rPr>
          <w:sz w:val="20"/>
        </w:rPr>
        <w:t xml:space="preserve">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w:t>
      </w:r>
    </w:p>
    <w:p>
      <w:pPr>
        <w:pStyle w:val="0"/>
        <w:spacing w:before="200" w:line-rule="auto"/>
        <w:ind w:firstLine="540"/>
        <w:jc w:val="both"/>
      </w:pPr>
      <w:r>
        <w:rPr>
          <w:sz w:val="20"/>
        </w:rPr>
        <w:t xml:space="preserve">При наличии случая, указанного в настоящем пункте Порядка, член экспертной комиссии должен отказаться от оценки заявки посредством использования соответствующего функционала информационной системы.</w:t>
      </w:r>
    </w:p>
    <w:p>
      <w:pPr>
        <w:pStyle w:val="0"/>
        <w:spacing w:before="200" w:line-rule="auto"/>
        <w:ind w:firstLine="540"/>
        <w:jc w:val="both"/>
      </w:pPr>
      <w:r>
        <w:rPr>
          <w:sz w:val="20"/>
        </w:rPr>
        <w:t xml:space="preserve">59. Каждая заявка оценивается тремя членами экспертной комиссии.</w:t>
      </w:r>
    </w:p>
    <w:p>
      <w:pPr>
        <w:pStyle w:val="0"/>
        <w:spacing w:before="200" w:line-rule="auto"/>
        <w:ind w:firstLine="540"/>
        <w:jc w:val="both"/>
      </w:pPr>
      <w:r>
        <w:rPr>
          <w:sz w:val="20"/>
        </w:rPr>
        <w:t xml:space="preserve">60. Распределение заявок между членами экспертной комиссии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61. Член экспертной комиссии при оценке заявки проводит полное исследование представленных в ее составе информации и документов.</w:t>
      </w:r>
    </w:p>
    <w:p>
      <w:pPr>
        <w:pStyle w:val="0"/>
        <w:spacing w:before="200" w:line-rule="auto"/>
        <w:ind w:firstLine="540"/>
        <w:jc w:val="both"/>
      </w:pPr>
      <w:r>
        <w:rPr>
          <w:sz w:val="20"/>
        </w:rPr>
        <w:t xml:space="preserve">62. Член экспертной комиссии оценивает заявку по критериям, указанным в </w:t>
      </w:r>
      <w:hyperlink w:history="0" w:anchor="P206"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настоящего Порядка, присваивая по каждому из них от 1 до 10 баллов (целым числом).</w:t>
      </w:r>
    </w:p>
    <w:p>
      <w:pPr>
        <w:pStyle w:val="0"/>
        <w:spacing w:before="200" w:line-rule="auto"/>
        <w:ind w:firstLine="540"/>
        <w:jc w:val="both"/>
      </w:pPr>
      <w:r>
        <w:rPr>
          <w:sz w:val="20"/>
        </w:rPr>
        <w:t xml:space="preserve">63. Значение количества баллов по соответствующему критерию оценки заявки рассчитывается в информационной системе автоматически и определяется путем умножения количества баллов, присвоенных членом экспертной комиссии по данному критерию, на коэффициент значимости этого критерия (с округлением полученных чисел до сотых).</w:t>
      </w:r>
    </w:p>
    <w:p>
      <w:pPr>
        <w:pStyle w:val="0"/>
        <w:spacing w:before="200" w:line-rule="auto"/>
        <w:ind w:firstLine="540"/>
        <w:jc w:val="both"/>
      </w:pPr>
      <w:r>
        <w:rPr>
          <w:sz w:val="20"/>
        </w:rPr>
        <w:t xml:space="preserve">64.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65. Общая оценка (в баллах) члена экспертной комиссии по заявке рассчитывается в информационной системе автоматически и определяется как сумма баллов по каждому критерию.</w:t>
      </w:r>
    </w:p>
    <w:p>
      <w:pPr>
        <w:pStyle w:val="0"/>
        <w:spacing w:before="200" w:line-rule="auto"/>
        <w:ind w:firstLine="540"/>
        <w:jc w:val="both"/>
      </w:pPr>
      <w:r>
        <w:rPr>
          <w:sz w:val="20"/>
        </w:rPr>
        <w:t xml:space="preserve">66.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bookmarkStart w:id="272" w:name="P272"/>
    <w:bookmarkEnd w:id="272"/>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В случае если членом экспертной комиссии сделан вывод, предусмотренный </w:t>
      </w:r>
      <w:hyperlink w:history="0" w:anchor="P272" w:tooltip="б) проект не рекомендуется к поддержке.">
        <w:r>
          <w:rPr>
            <w:sz w:val="20"/>
            <w:color w:val="0000ff"/>
          </w:rPr>
          <w:t xml:space="preserve">подпунктом "б"</w:t>
        </w:r>
      </w:hyperlink>
      <w:r>
        <w:rPr>
          <w:sz w:val="20"/>
        </w:rPr>
        <w:t xml:space="preserve"> настоящего пункта, член экспертной комиссии излагает причины, являющиеся обоснованием нецелесообразности проекта.</w:t>
      </w:r>
    </w:p>
    <w:p>
      <w:pPr>
        <w:pStyle w:val="0"/>
        <w:spacing w:before="200" w:line-rule="auto"/>
        <w:ind w:firstLine="540"/>
        <w:jc w:val="both"/>
      </w:pPr>
      <w:r>
        <w:rPr>
          <w:sz w:val="20"/>
        </w:rPr>
        <w:t xml:space="preserve">67. По результатам оценки заявки членом экспертной комиссии в информационной системе формируется экспертное заключение, состоящее из оценок, комментариев и вывода члена экспертной комиссии по заявке.</w:t>
      </w:r>
    </w:p>
    <w:p>
      <w:pPr>
        <w:pStyle w:val="0"/>
        <w:spacing w:before="200" w:line-rule="auto"/>
        <w:ind w:firstLine="540"/>
        <w:jc w:val="both"/>
      </w:pPr>
      <w:r>
        <w:rPr>
          <w:sz w:val="20"/>
        </w:rPr>
        <w:t xml:space="preserve">68. По результатам оценки заявки членами экспертной комиссии в информационной системе автоматически рассчитывается итоговый балл заявки, который определяется как среднее арифметическое общих оценок (в баллах) членов экспертной комиссии, оценивших заявку (с округлением полученных чисел до сотых).</w:t>
      </w:r>
    </w:p>
    <w:p>
      <w:pPr>
        <w:pStyle w:val="0"/>
        <w:spacing w:before="200" w:line-rule="auto"/>
        <w:ind w:firstLine="540"/>
        <w:jc w:val="both"/>
      </w:pPr>
      <w:r>
        <w:rPr>
          <w:sz w:val="20"/>
        </w:rPr>
        <w:t xml:space="preserve">69. Экспертная комиссия до окончания срока проведения оценки заявок вправе обратиться в департамент с мотивированным предложением о продлении данного срока не более чем на пять рабочих дней с указанием причин, препятствующих членам экспертной комиссии своевременно провести оценку заявок.</w:t>
      </w:r>
    </w:p>
    <w:p>
      <w:pPr>
        <w:pStyle w:val="0"/>
        <w:spacing w:before="200" w:line-rule="auto"/>
        <w:ind w:firstLine="540"/>
        <w:jc w:val="both"/>
      </w:pPr>
      <w:r>
        <w:rPr>
          <w:sz w:val="20"/>
        </w:rPr>
        <w:t xml:space="preserve">70. В случае наличия объективных причин, препятствующих членам экспертной комиссии своевременно провести оценку заявок, департамент не позднее дня, следующего за днем получения мотивированного предложения от экспертной комиссии, вправе принять решение о продлении срока оценки заявок не более чем на пять рабочих дней путем издания соответствующего приказа.</w:t>
      </w:r>
    </w:p>
    <w:bookmarkStart w:id="278" w:name="P278"/>
    <w:bookmarkEnd w:id="278"/>
    <w:p>
      <w:pPr>
        <w:pStyle w:val="0"/>
        <w:spacing w:before="200" w:line-rule="auto"/>
        <w:ind w:firstLine="540"/>
        <w:jc w:val="both"/>
      </w:pPr>
      <w:r>
        <w:rPr>
          <w:sz w:val="20"/>
        </w:rPr>
        <w:t xml:space="preserve">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w:t>
      </w:r>
    </w:p>
    <w:bookmarkStart w:id="279" w:name="P279"/>
    <w:bookmarkEnd w:id="279"/>
    <w:p>
      <w:pPr>
        <w:pStyle w:val="0"/>
        <w:spacing w:before="200" w:line-rule="auto"/>
        <w:ind w:firstLine="540"/>
        <w:jc w:val="both"/>
      </w:pPr>
      <w:r>
        <w:rPr>
          <w:sz w:val="20"/>
        </w:rPr>
        <w:t xml:space="preserve">72. Результаты оценки заявок членами экспертной комиссии оформляются протоколом, в котором в том числе указывается следующая информация:</w:t>
      </w:r>
    </w:p>
    <w:p>
      <w:pPr>
        <w:pStyle w:val="0"/>
        <w:spacing w:before="200" w:line-rule="auto"/>
        <w:ind w:firstLine="540"/>
        <w:jc w:val="both"/>
      </w:pPr>
      <w:r>
        <w:rPr>
          <w:sz w:val="20"/>
        </w:rPr>
        <w:t xml:space="preserve">а) дата, время и место оценки заявок;</w:t>
      </w:r>
    </w:p>
    <w:p>
      <w:pPr>
        <w:pStyle w:val="0"/>
        <w:spacing w:before="200" w:line-rule="auto"/>
        <w:ind w:firstLine="540"/>
        <w:jc w:val="both"/>
      </w:pPr>
      <w:r>
        <w:rPr>
          <w:sz w:val="20"/>
        </w:rPr>
        <w:t xml:space="preserve">б) информация о СОНКО, заявки которых были оценены;</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73. Протокол, предусмотренный </w:t>
      </w:r>
      <w:hyperlink w:history="0" w:anchor="P279" w:tooltip="72. Результаты оценки заявок членами экспертной комиссии оформляются протоколом, в котором в том числе указывается следующая информация:">
        <w:r>
          <w:rPr>
            <w:sz w:val="20"/>
            <w:color w:val="0000ff"/>
          </w:rPr>
          <w:t xml:space="preserve">пунктом 72</w:t>
        </w:r>
      </w:hyperlink>
      <w:r>
        <w:rPr>
          <w:sz w:val="20"/>
        </w:rPr>
        <w:t xml:space="preserve"> настоящего Порядка, и экспертные заключения членов экспертной комиссии передаются экспертной комиссией в департамент в течение трех рабочих дней, следующих за днем проведения заседания экспертной комиссии, предусмотренного </w:t>
      </w:r>
      <w:hyperlink w:history="0" w:anchor="P278" w:tooltip="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
        <w:r>
          <w:rPr>
            <w:sz w:val="20"/>
            <w:color w:val="0000ff"/>
          </w:rPr>
          <w:t xml:space="preserve">пунктом 71</w:t>
        </w:r>
      </w:hyperlink>
      <w:r>
        <w:rPr>
          <w:sz w:val="20"/>
        </w:rPr>
        <w:t xml:space="preserve"> настоящего Порядка.</w:t>
      </w:r>
    </w:p>
    <w:bookmarkStart w:id="285" w:name="P285"/>
    <w:bookmarkEnd w:id="285"/>
    <w:p>
      <w:pPr>
        <w:pStyle w:val="0"/>
        <w:spacing w:before="200" w:line-rule="auto"/>
        <w:ind w:firstLine="540"/>
        <w:jc w:val="both"/>
      </w:pPr>
      <w:r>
        <w:rPr>
          <w:sz w:val="20"/>
        </w:rPr>
        <w:t xml:space="preserve">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w:t>
      </w:r>
      <w:hyperlink w:history="0" w:anchor="P261"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методики оценки заявок.</w:t>
      </w:r>
    </w:p>
    <w:p>
      <w:pPr>
        <w:pStyle w:val="0"/>
        <w:spacing w:before="200" w:line-rule="auto"/>
        <w:ind w:firstLine="540"/>
        <w:jc w:val="both"/>
      </w:pPr>
      <w:r>
        <w:rPr>
          <w:sz w:val="20"/>
        </w:rPr>
        <w:t xml:space="preserve">Решение о проведении проверки, предусмотренной настоящим пунктом, принимается департаментом не позднее дня, следующего за днем получения протокола экспертной комиссии, предусмотренного пунктом 72 настоящего Порядка, путем издания соответствующего приказа.</w:t>
      </w:r>
    </w:p>
    <w:p>
      <w:pPr>
        <w:pStyle w:val="0"/>
        <w:spacing w:before="200" w:line-rule="auto"/>
        <w:ind w:firstLine="540"/>
        <w:jc w:val="both"/>
      </w:pPr>
      <w:r>
        <w:rPr>
          <w:sz w:val="20"/>
        </w:rPr>
        <w:t xml:space="preserve">75. Проведение проверки, предусмотренной </w:t>
      </w:r>
      <w:hyperlink w:history="0" w:anchor="P285" w:tooltip="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пунктом 58 настоящего Порядка, и методики оценки заявок.">
        <w:r>
          <w:rPr>
            <w:sz w:val="20"/>
            <w:color w:val="0000ff"/>
          </w:rPr>
          <w:t xml:space="preserve">пунктом 74</w:t>
        </w:r>
      </w:hyperlink>
      <w:r>
        <w:rPr>
          <w:sz w:val="20"/>
        </w:rPr>
        <w:t xml:space="preserve"> настоящего Порядка, обеспечивается рабочей группой, сформированной департаментом на основании </w:t>
      </w:r>
      <w:hyperlink w:history="0" w:anchor="P181" w:tooltip="33. Рассмотрение поступивших заявок и их проверка осуществляются рабочей группой конкурса на предоставление субсидий СОНКО Брянской области на реализацию регионального проекта &quot;Укрепление общественного здоровья (Брянская область)&quot; (далее - рабочая группа), сформированной приказом департамента из числа его сотрудников.">
        <w:r>
          <w:rPr>
            <w:sz w:val="20"/>
            <w:color w:val="0000ff"/>
          </w:rPr>
          <w:t xml:space="preserve">пункта 33</w:t>
        </w:r>
      </w:hyperlink>
      <w:r>
        <w:rPr>
          <w:sz w:val="20"/>
        </w:rPr>
        <w:t xml:space="preserve"> настоящего Порядка.</w:t>
      </w:r>
    </w:p>
    <w:bookmarkStart w:id="288" w:name="P288"/>
    <w:bookmarkEnd w:id="288"/>
    <w:p>
      <w:pPr>
        <w:pStyle w:val="0"/>
        <w:spacing w:before="200" w:line-rule="auto"/>
        <w:ind w:firstLine="540"/>
        <w:jc w:val="both"/>
      </w:pPr>
      <w:r>
        <w:rPr>
          <w:sz w:val="20"/>
        </w:rPr>
        <w:t xml:space="preserve">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w:t>
      </w:r>
      <w:hyperlink w:history="0" w:anchor="P261"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w:t>
      </w:r>
    </w:p>
    <w:bookmarkStart w:id="289" w:name="P289"/>
    <w:bookmarkEnd w:id="289"/>
    <w:p>
      <w:pPr>
        <w:pStyle w:val="0"/>
        <w:spacing w:before="200" w:line-rule="auto"/>
        <w:ind w:firstLine="540"/>
        <w:jc w:val="both"/>
      </w:pPr>
      <w:r>
        <w:rPr>
          <w:sz w:val="20"/>
        </w:rPr>
        <w:t xml:space="preserve">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Решение о проведении повторной оценки заявки, предусмотренной настоящим пунктом, принимается департаментом путем издания соответствующего приказа не позднее дня, следующего за днем составления рабочей группой акта, предусмотренного </w:t>
      </w:r>
      <w:hyperlink w:history="0" w:anchor="P288"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w:t>
      </w:r>
    </w:p>
    <w:p>
      <w:pPr>
        <w:pStyle w:val="0"/>
        <w:spacing w:before="200" w:line-rule="auto"/>
        <w:ind w:firstLine="540"/>
        <w:jc w:val="both"/>
      </w:pPr>
      <w:r>
        <w:rPr>
          <w:sz w:val="20"/>
        </w:rPr>
        <w:t xml:space="preserve">Повторная оценка заявки, предусмотренная настоящим пунктом, осуществляется членом экспертной комиссии в течение трех рабочих дней после дня получения доступа к заявке в информационной системе с соблюдением требований, установленных настоящим Порядком.</w:t>
      </w:r>
    </w:p>
    <w:bookmarkStart w:id="292" w:name="P292"/>
    <w:bookmarkEnd w:id="292"/>
    <w:p>
      <w:pPr>
        <w:pStyle w:val="0"/>
        <w:spacing w:before="200" w:line-rule="auto"/>
        <w:ind w:firstLine="540"/>
        <w:jc w:val="both"/>
      </w:pPr>
      <w:r>
        <w:rPr>
          <w:sz w:val="20"/>
        </w:rPr>
        <w:t xml:space="preserve">78. В течение трех рабочих дней после завершения срока проведения повторной оценки заявок, предусмотренной </w:t>
      </w:r>
      <w:hyperlink w:history="0" w:anchor="P289" w:tooltip="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
        <w:r>
          <w:rPr>
            <w:sz w:val="20"/>
            <w:color w:val="0000ff"/>
          </w:rPr>
          <w:t xml:space="preserve">пунктом 77</w:t>
        </w:r>
      </w:hyperlink>
      <w:r>
        <w:rPr>
          <w:sz w:val="20"/>
        </w:rPr>
        <w:t xml:space="preserve"> настоящего Порядка, экспертная комиссия проводит заседание, на котором утверждаются повторные результаты оценки заявок членами экспертной комиссии.</w:t>
      </w:r>
    </w:p>
    <w:bookmarkStart w:id="293" w:name="P293"/>
    <w:bookmarkEnd w:id="293"/>
    <w:p>
      <w:pPr>
        <w:pStyle w:val="0"/>
        <w:spacing w:before="200" w:line-rule="auto"/>
        <w:ind w:firstLine="540"/>
        <w:jc w:val="both"/>
      </w:pPr>
      <w:r>
        <w:rPr>
          <w:sz w:val="20"/>
        </w:rPr>
        <w:t xml:space="preserve">79. Повторные результаты оценки заявок членами экспертной комиссии оформляются протоколом, в котором в том числе указывается следующая информация:</w:t>
      </w:r>
    </w:p>
    <w:p>
      <w:pPr>
        <w:pStyle w:val="0"/>
        <w:spacing w:before="200" w:line-rule="auto"/>
        <w:ind w:firstLine="540"/>
        <w:jc w:val="both"/>
      </w:pPr>
      <w:r>
        <w:rPr>
          <w:sz w:val="20"/>
        </w:rPr>
        <w:t xml:space="preserve">а) дата, время и место повторной оценки заявок;</w:t>
      </w:r>
    </w:p>
    <w:p>
      <w:pPr>
        <w:pStyle w:val="0"/>
        <w:spacing w:before="200" w:line-rule="auto"/>
        <w:ind w:firstLine="540"/>
        <w:jc w:val="both"/>
      </w:pPr>
      <w:r>
        <w:rPr>
          <w:sz w:val="20"/>
        </w:rPr>
        <w:t xml:space="preserve">б) информация о СОНКО, заявки которых были оценены повторно;</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повторный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80. Протокол, предусмотренный </w:t>
      </w:r>
      <w:hyperlink w:history="0" w:anchor="P293" w:tooltip="79. Повторные результаты оценки заявок членами экспертной комиссии оформляются протоколом, в котором в том числе указывается следующая информация:">
        <w:r>
          <w:rPr>
            <w:sz w:val="20"/>
            <w:color w:val="0000ff"/>
          </w:rPr>
          <w:t xml:space="preserve">пунктом 79</w:t>
        </w:r>
      </w:hyperlink>
      <w:r>
        <w:rPr>
          <w:sz w:val="20"/>
        </w:rPr>
        <w:t xml:space="preserve"> настоящего Порядка, передается экспертной комиссией в департамент в течение трех рабочих дней, следующих за днем проведения заседания экспертной комиссии, предусмотренного </w:t>
      </w:r>
      <w:hyperlink w:history="0" w:anchor="P292" w:tooltip="78. В течение трех рабочих дней после завершения срока проведения повторной оценки заявок, предусмотренной пунктом 77 настоящего Порядка, экспертная комиссия проводит заседание, на котором утверждаются повторные результаты оценки заявок членами экспертной комиссии.">
        <w:r>
          <w:rPr>
            <w:sz w:val="20"/>
            <w:color w:val="0000ff"/>
          </w:rPr>
          <w:t xml:space="preserve">пунктом 78</w:t>
        </w:r>
      </w:hyperlink>
      <w:r>
        <w:rPr>
          <w:sz w:val="20"/>
        </w:rPr>
        <w:t xml:space="preserve"> настоящего Порядка.</w:t>
      </w:r>
    </w:p>
    <w:p>
      <w:pPr>
        <w:pStyle w:val="0"/>
        <w:spacing w:before="200" w:line-rule="auto"/>
        <w:ind w:firstLine="540"/>
        <w:jc w:val="both"/>
      </w:pPr>
      <w:r>
        <w:rPr>
          <w:sz w:val="20"/>
        </w:rPr>
        <w:t xml:space="preserve">81. Информация о результатах оценки заявок подлежит размещению на платформе, а также на официальном сайте департамента в течение пяти рабочих дней, следующих за днем получения департаментом соответствующего протокола экспертной комиссии о результатах оценки (о повторных результатах оценки заявок).</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СОНКО, заявки которых были оценены;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82. Департамент посредством издания соответствующего приказа определяет результаты конкурса в течение пяти рабочих дней, следующих за днем получения соответствующего протокола экспертной комиссии о результатах оценки (о повторных результатах оценки заявок), либо в течение пяти рабочих дней, следующих за днем составления рабочей группой акта, предусмотренного </w:t>
      </w:r>
      <w:hyperlink w:history="0" w:anchor="P288"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 отражающего информацию об отсутствии установленных фактов несоблюдения членами экспертной комиссии требования, установленного </w:t>
      </w:r>
      <w:hyperlink w:history="0" w:anchor="P261"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w:t>
      </w:r>
    </w:p>
    <w:p>
      <w:pPr>
        <w:pStyle w:val="0"/>
        <w:spacing w:before="200" w:line-rule="auto"/>
        <w:ind w:firstLine="540"/>
        <w:jc w:val="both"/>
      </w:pPr>
      <w:r>
        <w:rPr>
          <w:sz w:val="20"/>
        </w:rPr>
        <w:t xml:space="preserve">Приказом, предусматривающим определение результатов конкурса, в том числе утверждаются:</w:t>
      </w:r>
    </w:p>
    <w:p>
      <w:pPr>
        <w:pStyle w:val="0"/>
        <w:spacing w:before="200" w:line-rule="auto"/>
        <w:ind w:firstLine="540"/>
        <w:jc w:val="both"/>
      </w:pPr>
      <w:r>
        <w:rPr>
          <w:sz w:val="20"/>
        </w:rPr>
        <w:t xml:space="preserve">а) рейтинг заявок, сформированный исходя из итоговых баллов заявок (от наибольшего к наименьшему), в котором каждой заявке присваивается порядковый номер. В случае если в нескольких заявках содержатся одинаковые итоговые баллы, меньший порядковый номер присваивается заявке, которая поступила ранее других заявок, содержащих такие же итоговые баллы;</w:t>
      </w:r>
    </w:p>
    <w:p>
      <w:pPr>
        <w:pStyle w:val="0"/>
        <w:spacing w:before="200" w:line-rule="auto"/>
        <w:ind w:firstLine="540"/>
        <w:jc w:val="both"/>
      </w:pPr>
      <w:r>
        <w:rPr>
          <w:sz w:val="20"/>
        </w:rPr>
        <w:t xml:space="preserve">б) перечень СОНКО - получателей субсидий, с указанием размеров субсидий, предоставляемых на реализацию каждого проекта. При определении результатов конкурса размеры субсидий определяются исходя из бюджета проекта, заявленного СОНКО при подаче заявки, в пределах суммы, установленной </w:t>
      </w:r>
      <w:hyperlink w:history="0" w:anchor="P74" w:tooltip="10. Максимальный размер субсидии, запрашиваемой СОНКО на реализацию проекта, не должен превышать 2000000,00 рубл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Распределение субсидий между получателями субсидий производится в пределах лимитов бюджетных обязательств, доведенных до департамента как получателя средств областного бюджета в соответствующем финансовом году, с учетом рейтинга заявок.</w:t>
      </w:r>
    </w:p>
    <w:p>
      <w:pPr>
        <w:pStyle w:val="0"/>
        <w:spacing w:before="200" w:line-rule="auto"/>
        <w:ind w:firstLine="540"/>
        <w:jc w:val="both"/>
      </w:pPr>
      <w:r>
        <w:rPr>
          <w:sz w:val="20"/>
        </w:rPr>
        <w:t xml:space="preserve">83. Информация о результатах конкурса размещается на платформе, а также на официальном сайте департамента не позднее 14-го календарного дня, следующего за днем их определения.</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рейтинг заявок (от наибольшего итогового балла к наименьшему);</w:t>
      </w:r>
    </w:p>
    <w:p>
      <w:pPr>
        <w:pStyle w:val="0"/>
        <w:spacing w:before="200" w:line-rule="auto"/>
        <w:ind w:firstLine="540"/>
        <w:jc w:val="both"/>
      </w:pPr>
      <w:r>
        <w:rPr>
          <w:sz w:val="20"/>
        </w:rPr>
        <w:t xml:space="preserve">наименование СОНКО - получателей субсидий, с которыми заключаются соглашения, и размер предоставляемой субсидии.</w:t>
      </w:r>
    </w:p>
    <w:p>
      <w:pPr>
        <w:pStyle w:val="0"/>
        <w:spacing w:before="200" w:line-rule="auto"/>
        <w:ind w:firstLine="540"/>
        <w:jc w:val="both"/>
      </w:pPr>
      <w:r>
        <w:rPr>
          <w:sz w:val="20"/>
        </w:rPr>
        <w:t xml:space="preserve">84. В случае если ранее доведенные до департамента лимиты бюджетных обязательств отозваны, департамент до определения результатов конкурса принимает решение о прекращении проведения конкурса посредством издания соответствующего приказа. Информация о прекращении проведения конкурса с указанием причины размещается на платформе и официальном сайте департамента в день принятия такого решения.</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85. Предоставление субсидии осуществляется на основании соглашения о предоставлении из областного бюджета субсидии (далее - соглашение), заключаемого между департаментом и СОНКО - получателем субсидии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86. СОНКО - получатель субсидии должна соответствовать требованиям, указанным в </w:t>
      </w:r>
      <w:hyperlink w:history="0" w:anchor="P157" w:tooltip="22. Участник конкурса должен соответствовать следующим требованиям:">
        <w:r>
          <w:rPr>
            <w:sz w:val="20"/>
            <w:color w:val="0000ff"/>
          </w:rPr>
          <w:t xml:space="preserve">пункте 22</w:t>
        </w:r>
      </w:hyperlink>
      <w:r>
        <w:rPr>
          <w:sz w:val="20"/>
        </w:rPr>
        <w:t xml:space="preserve"> настоящего Порядка, проверка на соответствие которым проводится на этапе рассмотрения заявок.</w:t>
      </w:r>
    </w:p>
    <w:p>
      <w:pPr>
        <w:pStyle w:val="0"/>
        <w:spacing w:before="200" w:line-rule="auto"/>
        <w:ind w:firstLine="540"/>
        <w:jc w:val="both"/>
      </w:pPr>
      <w:r>
        <w:rPr>
          <w:sz w:val="20"/>
        </w:rPr>
        <w:t xml:space="preserve">87. При согласии на получение субсидии СОНКО, вошедшая в перечень получателей субсидий, в течение пяти рабочих дней, следующих за днем размещения результатов конкурса на платформе, направляет в департамент согласие о предоставлении субсидии и заключении соглашения, подписанное лицом, уполномоченным на совершение соответствующих действий от имени данной СОНКО.</w:t>
      </w:r>
    </w:p>
    <w:bookmarkStart w:id="321" w:name="P321"/>
    <w:bookmarkEnd w:id="321"/>
    <w:p>
      <w:pPr>
        <w:pStyle w:val="0"/>
        <w:spacing w:before="200" w:line-rule="auto"/>
        <w:ind w:firstLine="540"/>
        <w:jc w:val="both"/>
      </w:pPr>
      <w:r>
        <w:rPr>
          <w:sz w:val="20"/>
        </w:rPr>
        <w:t xml:space="preserve">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уведомление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w:t>
      </w:r>
    </w:p>
    <w:p>
      <w:pPr>
        <w:pStyle w:val="0"/>
        <w:spacing w:before="200" w:line-rule="auto"/>
        <w:ind w:firstLine="540"/>
        <w:jc w:val="both"/>
      </w:pPr>
      <w:r>
        <w:rPr>
          <w:sz w:val="20"/>
        </w:rPr>
        <w:t xml:space="preserve">СОНКО, отказавшаяся от предоставления субсидии и заключения соглашения, исключается департаментом из перечня СОНКО - получателей субсидий путем издания соответствующего приказа.</w:t>
      </w:r>
    </w:p>
    <w:bookmarkStart w:id="323" w:name="P323"/>
    <w:bookmarkEnd w:id="323"/>
    <w:p>
      <w:pPr>
        <w:pStyle w:val="0"/>
        <w:spacing w:before="200" w:line-rule="auto"/>
        <w:ind w:firstLine="540"/>
        <w:jc w:val="both"/>
      </w:pPr>
      <w:r>
        <w:rPr>
          <w:sz w:val="20"/>
        </w:rPr>
        <w:t xml:space="preserve">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w:t>
      </w:r>
    </w:p>
    <w:p>
      <w:pPr>
        <w:pStyle w:val="0"/>
        <w:spacing w:before="200" w:line-rule="auto"/>
        <w:ind w:firstLine="540"/>
        <w:jc w:val="both"/>
      </w:pPr>
      <w:r>
        <w:rPr>
          <w:sz w:val="20"/>
        </w:rPr>
        <w:t xml:space="preserve">90. Предоставление субсидии осуществляется в сроки и в порядке, установленные соглашением.</w:t>
      </w:r>
    </w:p>
    <w:p>
      <w:pPr>
        <w:pStyle w:val="0"/>
        <w:spacing w:before="200" w:line-rule="auto"/>
        <w:ind w:firstLine="540"/>
        <w:jc w:val="both"/>
      </w:pPr>
      <w:r>
        <w:rPr>
          <w:sz w:val="20"/>
        </w:rPr>
        <w:t xml:space="preserve">91. В течение 15 рабочих дней, следующих за днем получения департаментом от СОНКО согласия о предоставлении субсидии и заключении соглашения, департамент формирует в государственной интегрированной информационной системе управления общественными финансами "Электронный бюджет" соглашение и подписывает его усиленной квалифицированной электронной подписью лица, имеющего право действовать от имени департамента.</w:t>
      </w:r>
    </w:p>
    <w:bookmarkStart w:id="326" w:name="P326"/>
    <w:bookmarkEnd w:id="326"/>
    <w:p>
      <w:pPr>
        <w:pStyle w:val="0"/>
        <w:spacing w:before="200" w:line-rule="auto"/>
        <w:ind w:firstLine="540"/>
        <w:jc w:val="both"/>
      </w:pPr>
      <w:r>
        <w:rPr>
          <w:sz w:val="20"/>
        </w:rPr>
        <w:t xml:space="preserve">92. В течение пяти рабочих дней, следующих за днем размещения департаментом соглашения в государственной интегрированной информационной системе управления общественными финансами "Электронный бюджет", СОНКО подписывает соглашение усиленной квалификационной электронной подписью лица, имеющего право действовать от имени данной СОНКО.</w:t>
      </w:r>
    </w:p>
    <w:p>
      <w:pPr>
        <w:pStyle w:val="0"/>
        <w:spacing w:before="200" w:line-rule="auto"/>
        <w:ind w:firstLine="540"/>
        <w:jc w:val="both"/>
      </w:pPr>
      <w:r>
        <w:rPr>
          <w:sz w:val="20"/>
        </w:rPr>
        <w:t xml:space="preserve">93. В случае если СОНКО, с которой заключается соглашение, не выполнено требование, предусмотренное </w:t>
      </w:r>
      <w:hyperlink w:history="0" w:anchor="P326" w:tooltip="92. В течение пяти рабочих дней, следующих за днем размещения департаментом соглашения в государственной интегрированной информационной системе управления общественными финансами &quot;Электронный бюджет&quot;, СОНКО подписывает соглашение усиленной квалификационной электронной подписью лица, имеющего право действовать от имени данной СОНКО.">
        <w:r>
          <w:rPr>
            <w:sz w:val="20"/>
            <w:color w:val="0000ff"/>
          </w:rPr>
          <w:t xml:space="preserve">пунктом 92</w:t>
        </w:r>
      </w:hyperlink>
      <w:r>
        <w:rPr>
          <w:sz w:val="20"/>
        </w:rPr>
        <w:t xml:space="preserve"> настоящего Порядка, такая СОНКО считается уклонившейся от заключения соглашения.</w:t>
      </w:r>
    </w:p>
    <w:p>
      <w:pPr>
        <w:pStyle w:val="0"/>
        <w:spacing w:before="200" w:line-rule="auto"/>
        <w:ind w:firstLine="540"/>
        <w:jc w:val="both"/>
      </w:pPr>
      <w:r>
        <w:rPr>
          <w:sz w:val="20"/>
        </w:rPr>
        <w:t xml:space="preserve">94. В случаях, предусмотренных </w:t>
      </w:r>
      <w:hyperlink w:history="0" w:anchor="P321" w:tooltip="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уведомл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
        <w:r>
          <w:rPr>
            <w:sz w:val="20"/>
            <w:color w:val="0000ff"/>
          </w:rPr>
          <w:t xml:space="preserve">пунктами 88</w:t>
        </w:r>
      </w:hyperlink>
      <w:r>
        <w:rPr>
          <w:sz w:val="20"/>
        </w:rPr>
        <w:t xml:space="preserve">, </w:t>
      </w:r>
      <w:hyperlink w:history="0" w:anchor="P323" w:tooltip="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
        <w:r>
          <w:rPr>
            <w:sz w:val="20"/>
            <w:color w:val="0000ff"/>
          </w:rPr>
          <w:t xml:space="preserve">89</w:t>
        </w:r>
      </w:hyperlink>
      <w:r>
        <w:rPr>
          <w:sz w:val="20"/>
        </w:rPr>
        <w:t xml:space="preserve"> настоящего Порядка,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Решение, предусмотренное настоящим пунктом, принимается департаментом путем издания соответствующего приказа.</w:t>
      </w:r>
    </w:p>
    <w:p>
      <w:pPr>
        <w:pStyle w:val="0"/>
        <w:spacing w:before="200" w:line-rule="auto"/>
        <w:ind w:firstLine="540"/>
        <w:jc w:val="both"/>
      </w:pPr>
      <w:r>
        <w:rPr>
          <w:sz w:val="20"/>
        </w:rPr>
        <w:t xml:space="preserve">95.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департамент и получатель субсидии согласовывают новые условия соглашения. В случае недостижения согласия по новым условиям соглашение подлежит расторжению.</w:t>
      </w:r>
    </w:p>
    <w:p>
      <w:pPr>
        <w:pStyle w:val="0"/>
        <w:spacing w:before="200" w:line-rule="auto"/>
        <w:ind w:firstLine="540"/>
        <w:jc w:val="both"/>
      </w:pPr>
      <w:r>
        <w:rPr>
          <w:sz w:val="20"/>
        </w:rPr>
        <w:t xml:space="preserve">Если при расторжении соглашения по основанию, предусмотренному настоящим пунктом, образовалась невостребованная субсидия,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96. При перераспределении субсидий между участниками конкурса, не вошедшими в перечень СОНКО - получателей субсидий, в случае если запрашиваемый размер субсидии участника конкурса превышает остаток лимитов бюджетных обязательств, с письменного согласия такого участника конкурса размер предоставляемой субсидии уменьшается до размера остатка лимитов бюджетных обязательств.</w:t>
      </w:r>
    </w:p>
    <w:p>
      <w:pPr>
        <w:pStyle w:val="0"/>
        <w:spacing w:before="200" w:line-rule="auto"/>
        <w:ind w:firstLine="540"/>
        <w:jc w:val="both"/>
      </w:pPr>
      <w:r>
        <w:rPr>
          <w:sz w:val="20"/>
        </w:rPr>
        <w:t xml:space="preserve">97. Изменение соглашения возможно в случаях, предусмотренных соглашением, посредством заключения дополнительного соглашения, оформленного по форме, утвержденной Министерством финансов Российской Федерации.</w:t>
      </w:r>
    </w:p>
    <w:p>
      <w:pPr>
        <w:pStyle w:val="0"/>
        <w:spacing w:before="200" w:line-rule="auto"/>
        <w:ind w:firstLine="540"/>
        <w:jc w:val="both"/>
      </w:pPr>
      <w:r>
        <w:rPr>
          <w:sz w:val="20"/>
        </w:rPr>
        <w:t xml:space="preserve">98. Расторжение соглашения возможно в случаях, предусмотренных соглашением, посредством заключения соглашения о расторжении, оформленного по форме, утвержденной Министерством финансов Российской Федерации.</w:t>
      </w:r>
    </w:p>
    <w:p>
      <w:pPr>
        <w:pStyle w:val="0"/>
        <w:spacing w:before="200" w:line-rule="auto"/>
        <w:ind w:firstLine="540"/>
        <w:jc w:val="both"/>
      </w:pPr>
      <w:r>
        <w:rPr>
          <w:sz w:val="20"/>
        </w:rPr>
        <w:t xml:space="preserve">99. Расторжение соглашения возможно в одностороннем порядке в случаях, предусмотренных соглашением.</w:t>
      </w:r>
    </w:p>
    <w:p>
      <w:pPr>
        <w:pStyle w:val="0"/>
        <w:spacing w:before="200" w:line-rule="auto"/>
        <w:ind w:firstLine="540"/>
        <w:jc w:val="both"/>
      </w:pPr>
      <w:r>
        <w:rPr>
          <w:sz w:val="20"/>
        </w:rPr>
        <w:t xml:space="preserve">100. Перечисление субсидии осуществляется в соответствии с планом-графиком перечисления субсидии, являющимся неотъемлемой частью соглашения, на счет получателя субсидии, открытый в российской кредитной организации.</w:t>
      </w:r>
    </w:p>
    <w:p>
      <w:pPr>
        <w:pStyle w:val="0"/>
        <w:spacing w:before="200" w:line-rule="auto"/>
        <w:ind w:firstLine="540"/>
        <w:jc w:val="both"/>
      </w:pPr>
      <w:r>
        <w:rPr>
          <w:sz w:val="20"/>
        </w:rPr>
        <w:t xml:space="preserve">101. Средства субсидии, предоставленной СОНКО на реализацию проекта, должны быть использованы в сроки, предусмотренные соглашением, но не позднее 10 декабря финансового года, в котором предоставляется субсидия.</w:t>
      </w:r>
    </w:p>
    <w:p>
      <w:pPr>
        <w:pStyle w:val="0"/>
        <w:spacing w:before="200" w:line-rule="auto"/>
        <w:ind w:firstLine="540"/>
        <w:jc w:val="both"/>
      </w:pPr>
      <w:r>
        <w:rPr>
          <w:sz w:val="20"/>
        </w:rPr>
        <w:t xml:space="preserve">102. В случае если в период срока действия соглашения при реализации проекта в результате экономии образовался неиспользованный остаток средств субсидии, указанный остаток при наличии у получателя субсидии потребности в неиспользованном остатке средств субсидии по согласованию с департаментом может быть использован получателем субсидии для обеспечения расходов, соответствующих целям предоставления субсидии.</w:t>
      </w:r>
    </w:p>
    <w:p>
      <w:pPr>
        <w:pStyle w:val="0"/>
        <w:spacing w:before="200" w:line-rule="auto"/>
        <w:ind w:firstLine="540"/>
        <w:jc w:val="both"/>
      </w:pPr>
      <w:r>
        <w:rPr>
          <w:sz w:val="20"/>
        </w:rPr>
        <w:t xml:space="preserve">103. В случае отсутствия у получателя субсидии потребности в неиспользованном остатке средств субсидии образовавшийся в результате экономии остаток средств подлежит возврату в областной бюджет в порядке, установленном законодательством Российской Федерации и Брянской области.</w:t>
      </w:r>
    </w:p>
    <w:p>
      <w:pPr>
        <w:pStyle w:val="0"/>
        <w:spacing w:before="200" w:line-rule="auto"/>
        <w:ind w:firstLine="540"/>
        <w:jc w:val="both"/>
      </w:pPr>
      <w:r>
        <w:rPr>
          <w:sz w:val="20"/>
        </w:rPr>
        <w:t xml:space="preserve">104. Получатель субсидии с момента заключения соглашения до окончания срока его действия размещает на своих информационных ресурсах в информационно-телекоммуникационной сети "Интернет" (сайт и (или) страницы в социальных сетях) информацию о том, что реализация проекта осуществляется им за счет средств субсидии, а также информацию о результатах, достигнутых в рамках реализации данного проекта.</w:t>
      </w:r>
    </w:p>
    <w:p>
      <w:pPr>
        <w:pStyle w:val="0"/>
        <w:spacing w:before="200" w:line-rule="auto"/>
        <w:ind w:firstLine="540"/>
        <w:jc w:val="both"/>
      </w:pPr>
      <w:r>
        <w:rPr>
          <w:sz w:val="20"/>
        </w:rPr>
        <w:t xml:space="preserve">105.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pPr>
        <w:pStyle w:val="0"/>
        <w:jc w:val="both"/>
      </w:pPr>
      <w:r>
        <w:rPr>
          <w:sz w:val="20"/>
        </w:rPr>
      </w:r>
    </w:p>
    <w:p>
      <w:pPr>
        <w:pStyle w:val="2"/>
        <w:outlineLvl w:val="1"/>
        <w:jc w:val="center"/>
      </w:pPr>
      <w:r>
        <w:rPr>
          <w:sz w:val="20"/>
        </w:rPr>
        <w:t xml:space="preserve">IV. Требования к отчетности, предоставляемой</w:t>
      </w:r>
    </w:p>
    <w:p>
      <w:pPr>
        <w:pStyle w:val="2"/>
        <w:jc w:val="center"/>
      </w:pPr>
      <w:r>
        <w:rPr>
          <w:sz w:val="20"/>
        </w:rPr>
        <w:t xml:space="preserve">получателями субсидии</w:t>
      </w:r>
    </w:p>
    <w:p>
      <w:pPr>
        <w:pStyle w:val="0"/>
        <w:jc w:val="both"/>
      </w:pPr>
      <w:r>
        <w:rPr>
          <w:sz w:val="20"/>
        </w:rPr>
      </w:r>
    </w:p>
    <w:bookmarkStart w:id="346" w:name="P346"/>
    <w:bookmarkEnd w:id="346"/>
    <w:p>
      <w:pPr>
        <w:pStyle w:val="0"/>
        <w:ind w:firstLine="540"/>
        <w:jc w:val="both"/>
      </w:pPr>
      <w:r>
        <w:rPr>
          <w:sz w:val="20"/>
        </w:rPr>
        <w:t xml:space="preserve">106.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Министерством финансов Российской Федерации, являющимся неотъемлемой частью соглашения, с приложением подтверждающих документов.</w:t>
      </w:r>
    </w:p>
    <w:p>
      <w:pPr>
        <w:pStyle w:val="0"/>
        <w:spacing w:before="200" w:line-rule="auto"/>
        <w:ind w:firstLine="540"/>
        <w:jc w:val="both"/>
      </w:pPr>
      <w:r>
        <w:rPr>
          <w:sz w:val="20"/>
        </w:rPr>
        <w:t xml:space="preserve">107. Департамент в установленные соглашением сроки проводит проверку отчетов, указанных в пункте 106 настоящего Порядка.</w:t>
      </w:r>
    </w:p>
    <w:p>
      <w:pPr>
        <w:pStyle w:val="0"/>
        <w:spacing w:before="200" w:line-rule="auto"/>
        <w:ind w:firstLine="540"/>
        <w:jc w:val="both"/>
      </w:pPr>
      <w:r>
        <w:rPr>
          <w:sz w:val="20"/>
        </w:rPr>
        <w:t xml:space="preserve">108. В случае непредставления получателем субсидии отчетов, указанных в </w:t>
      </w:r>
      <w:hyperlink w:history="0" w:anchor="P346" w:tooltip="106.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Министерством финансов Российской Федерации, являющимся неотъемлемой частью соглашения, с приложением подтверждающих документов.">
        <w:r>
          <w:rPr>
            <w:sz w:val="20"/>
            <w:color w:val="0000ff"/>
          </w:rPr>
          <w:t xml:space="preserve">пункте 106</w:t>
        </w:r>
      </w:hyperlink>
      <w:r>
        <w:rPr>
          <w:sz w:val="20"/>
        </w:rPr>
        <w:t xml:space="preserve"> настоящего Порядка, информацию о таком получателе субсидии департамент размещает в разделе "Недобросовестные получатели субсидии" на официальном сайте департамента с указанием причины, послужившей основанием для такого действия, и принимает решение об ограничении участия получателя субсидии в отборе на получение субсидий в течение одного года.</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109. Результатом предоставления субсидии является реализация проекта. Целевые значения показателей, необходимых для достижения результата предоставления субсидии, устанавливаются в соглашении в соответствии с целями и задачами каждого проекта. Значение результата предоставления субсидии и точная дата его достижения устанавливаются департаментом в соглашении.</w:t>
      </w:r>
    </w:p>
    <w:p>
      <w:pPr>
        <w:pStyle w:val="0"/>
        <w:spacing w:before="200" w:line-rule="auto"/>
        <w:ind w:firstLine="540"/>
        <w:jc w:val="both"/>
      </w:pPr>
      <w:r>
        <w:rPr>
          <w:sz w:val="20"/>
        </w:rPr>
        <w:t xml:space="preserve">110. 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111. В ходе использования средств предоставленной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112.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pPr>
        <w:pStyle w:val="0"/>
        <w:spacing w:before="200" w:line-rule="auto"/>
        <w:ind w:firstLine="540"/>
        <w:jc w:val="both"/>
      </w:pPr>
      <w:r>
        <w:rPr>
          <w:sz w:val="20"/>
        </w:rPr>
        <w:t xml:space="preserve">113. При заключении соглашения получатель субсидии дает согласие на осуществление в отношении него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114. 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115. В случае установления департаментом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и (или) соглашением, в том числе указания в документах, представленных получателем субсидии в соответствии с настоящим Порядком и (или) соглашением, недостоверных сведений, а также в случае недостижения значений результатов департамент направляет получателю субсидии требование об обеспечении возврата субсидии в областной бюджет в размере и в сроки, определенные в указанном требовании.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Брянской области на реализацию регионального</w:t>
      </w:r>
    </w:p>
    <w:p>
      <w:pPr>
        <w:pStyle w:val="0"/>
        <w:jc w:val="right"/>
      </w:pPr>
      <w:r>
        <w:rPr>
          <w:sz w:val="20"/>
        </w:rPr>
        <w:t xml:space="preserve">проекта "Укрепление общественного здоровья</w:t>
      </w:r>
    </w:p>
    <w:p>
      <w:pPr>
        <w:pStyle w:val="0"/>
        <w:jc w:val="right"/>
      </w:pPr>
      <w:r>
        <w:rPr>
          <w:sz w:val="20"/>
        </w:rPr>
        <w:t xml:space="preserve">(Брянская область)"</w:t>
      </w:r>
    </w:p>
    <w:p>
      <w:pPr>
        <w:pStyle w:val="0"/>
        <w:jc w:val="both"/>
      </w:pPr>
      <w:r>
        <w:rPr>
          <w:sz w:val="20"/>
        </w:rPr>
      </w:r>
    </w:p>
    <w:bookmarkStart w:id="373" w:name="P373"/>
    <w:bookmarkEnd w:id="373"/>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субсидии социально ориентированным некоммерческим</w:t>
      </w:r>
    </w:p>
    <w:p>
      <w:pPr>
        <w:pStyle w:val="2"/>
        <w:jc w:val="center"/>
      </w:pPr>
      <w:r>
        <w:rPr>
          <w:sz w:val="20"/>
        </w:rPr>
        <w:t xml:space="preserve">организациям Брянской области на реализацию регионального</w:t>
      </w:r>
    </w:p>
    <w:p>
      <w:pPr>
        <w:pStyle w:val="2"/>
        <w:jc w:val="center"/>
      </w:pPr>
      <w:r>
        <w:rPr>
          <w:sz w:val="20"/>
        </w:rPr>
        <w:t xml:space="preserve">проекта "Укрепление общественного здоровья</w:t>
      </w:r>
    </w:p>
    <w:p>
      <w:pPr>
        <w:pStyle w:val="2"/>
        <w:jc w:val="center"/>
      </w:pPr>
      <w:r>
        <w:rPr>
          <w:sz w:val="20"/>
        </w:rPr>
        <w:t xml:space="preserve">(Брянская область)"</w:t>
      </w:r>
    </w:p>
    <w:p>
      <w:pPr>
        <w:pStyle w:val="0"/>
        <w:jc w:val="both"/>
      </w:pPr>
      <w:r>
        <w:rPr>
          <w:sz w:val="20"/>
        </w:rPr>
      </w:r>
    </w:p>
    <w:p>
      <w:pPr>
        <w:pStyle w:val="0"/>
        <w:ind w:firstLine="540"/>
        <w:jc w:val="both"/>
      </w:pPr>
      <w:r>
        <w:rPr>
          <w:sz w:val="20"/>
        </w:rPr>
        <w:t xml:space="preserve">1. Настоящей методикой оценки заявок на участие в конкурсе на предоставление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 (далее - методика) определяется процедура оценки допущенных к оценке заявок участников конкурса, в том числе рекомендуемый подход к присвоению количества баллов заявке по соответствующим критериям.</w:t>
      </w:r>
    </w:p>
    <w:p>
      <w:pPr>
        <w:pStyle w:val="0"/>
        <w:spacing w:before="200" w:line-rule="auto"/>
        <w:ind w:firstLine="540"/>
        <w:jc w:val="both"/>
      </w:pPr>
      <w:r>
        <w:rPr>
          <w:sz w:val="20"/>
        </w:rPr>
        <w:t xml:space="preserve">2. Член экспертной комиссии оценивает заявку по критериям, указанным в </w:t>
      </w:r>
      <w:hyperlink w:history="0" w:anchor="P206"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Порядка, приложением к которому является настоящая методика, присваивая по каждому из них от 1 до 10 баллов (целым числом).</w:t>
      </w:r>
    </w:p>
    <w:p>
      <w:pPr>
        <w:pStyle w:val="0"/>
        <w:spacing w:before="200" w:line-rule="auto"/>
        <w:ind w:firstLine="540"/>
        <w:jc w:val="both"/>
      </w:pPr>
      <w:r>
        <w:rPr>
          <w:sz w:val="20"/>
        </w:rPr>
        <w:t xml:space="preserve">3.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4.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left="540"/>
        <w:jc w:val="both"/>
      </w:pPr>
      <w:r>
        <w:rPr>
          <w:sz w:val="20"/>
        </w:rPr>
        <w:t xml:space="preserve">а) проект рекомендуется к поддержке;</w:t>
      </w:r>
    </w:p>
    <w:p>
      <w:pPr>
        <w:pStyle w:val="0"/>
        <w:spacing w:before="200" w:line-rule="auto"/>
        <w:ind w:left="540"/>
        <w:jc w:val="both"/>
      </w:pPr>
      <w:r>
        <w:rPr>
          <w:sz w:val="20"/>
        </w:rPr>
        <w:t xml:space="preserve">б) проект не рекомендуется к поддержке.</w:t>
      </w:r>
    </w:p>
    <w:p>
      <w:pPr>
        <w:pStyle w:val="0"/>
        <w:spacing w:before="200" w:line-rule="auto"/>
        <w:ind w:firstLine="540"/>
        <w:jc w:val="both"/>
      </w:pPr>
      <w:r>
        <w:rPr>
          <w:sz w:val="20"/>
        </w:rPr>
        <w:t xml:space="preserve">5. Оценка заявок членами экспертной комиссии осуществляется с учетом следующих рекомендаций:</w:t>
      </w:r>
    </w:p>
    <w:p>
      <w:pPr>
        <w:pStyle w:val="0"/>
        <w:spacing w:before="200" w:line-rule="auto"/>
        <w:ind w:firstLine="540"/>
        <w:jc w:val="both"/>
      </w:pPr>
      <w:r>
        <w:rPr>
          <w:sz w:val="20"/>
        </w:rPr>
        <w:t xml:space="preserve">5.1. Рекомендации по определению оценки заявки по критерию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Актуальность и социальная значимость проекта убедительно доказаны:</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проект направлен в полной мере на решение именно тех проблем, которые обозначены как значимые</w:t>
            </w:r>
          </w:p>
        </w:tc>
        <w:tc>
          <w:tcPr>
            <w:tcW w:w="1729" w:type="dxa"/>
          </w:tcPr>
          <w:p>
            <w:pPr>
              <w:pStyle w:val="0"/>
              <w:jc w:val="center"/>
            </w:pPr>
            <w:r>
              <w:rPr>
                <w:sz w:val="20"/>
              </w:rPr>
              <w:t xml:space="preserve">9</w:t>
            </w:r>
          </w:p>
        </w:tc>
      </w:tr>
      <w:tr>
        <w:tblPrEx>
          <w:tblBorders>
            <w:insideH w:val="nil"/>
          </w:tblBorders>
        </w:tblPrEx>
        <w:tc>
          <w:tcPr>
            <w:tcW w:w="7313" w:type="dxa"/>
            <w:tcBorders>
              <w:bottom w:val="nil"/>
            </w:tcBorders>
          </w:tcPr>
          <w:p>
            <w:pPr>
              <w:pStyle w:val="0"/>
            </w:pPr>
            <w:r>
              <w:rPr>
                <w:sz w:val="20"/>
              </w:rPr>
              <w:t xml:space="preserve">Актуальность и социальная значимость проекта в целом доказаны, однако имеются несущественные замечания члена экспертной комиссии:</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1729" w:type="dxa"/>
            <w:tcBorders>
              <w:top w:val="nil"/>
            </w:tcBorders>
          </w:tcPr>
          <w:p>
            <w:pPr>
              <w:pStyle w:val="0"/>
              <w:jc w:val="center"/>
            </w:pPr>
            <w:r>
              <w:rPr>
                <w:sz w:val="20"/>
              </w:rPr>
              <w:t xml:space="preserve">8</w:t>
            </w:r>
          </w:p>
        </w:tc>
      </w:tr>
      <w:tr>
        <w:tc>
          <w:tcPr>
            <w:tcW w:w="7313" w:type="dxa"/>
          </w:tcPr>
          <w:p>
            <w:pPr>
              <w:pStyle w:val="0"/>
              <w:ind w:firstLine="384"/>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c>
          <w:tcPr>
            <w:tcW w:w="1729" w:type="dxa"/>
          </w:tcPr>
          <w:p>
            <w:pPr>
              <w:pStyle w:val="0"/>
              <w:jc w:val="center"/>
            </w:pPr>
            <w:r>
              <w:rPr>
                <w:sz w:val="20"/>
              </w:rPr>
              <w:t xml:space="preserve">7</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Актуальность и социальная значимость проекта доказаны недостаточно убедительно:</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проблема не имеет острой значимости для целевой группы или территории реализации проекта</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Актуальность и социальная значимость проекта не доказаны:</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проблема, которой посвящен проект, не относится к разряду востребованных обществом либо слабо обоснована авторами</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большая часть мероприятий проекта не связана с выбранным субсидийным направлением</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5.2. Рекомендации по определению оценки заявки по критерию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Проект полностью соответствует данному критерию: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календарный план хорошо структурирован, детализирован, содержит описание конкретных мероприятий</w:t>
            </w:r>
          </w:p>
        </w:tc>
        <w:tc>
          <w:tcPr>
            <w:tcW w:w="1729" w:type="dxa"/>
          </w:tcPr>
          <w:p>
            <w:pPr>
              <w:pStyle w:val="0"/>
              <w:jc w:val="center"/>
            </w:pPr>
            <w:r>
              <w:rPr>
                <w:sz w:val="20"/>
              </w:rPr>
              <w:t xml:space="preserve">9</w:t>
            </w:r>
          </w:p>
        </w:tc>
      </w:tr>
      <w:tr>
        <w:tc>
          <w:tcPr>
            <w:tcW w:w="7313" w:type="dxa"/>
          </w:tcPr>
          <w:p>
            <w:pPr>
              <w:pStyle w:val="0"/>
              <w:ind w:firstLine="384"/>
            </w:pPr>
            <w:r>
              <w:rPr>
                <w:sz w:val="20"/>
              </w:rPr>
              <w:t xml:space="preserve">указаны конкретные и разумные сроки, позволяющие в полной мере решить задачи проекта</w:t>
            </w:r>
          </w:p>
        </w:tc>
        <w:tc>
          <w:tcPr>
            <w:tcW w:w="1729" w:type="dxa"/>
          </w:tcPr>
          <w:p>
            <w:pPr>
              <w:pStyle w:val="0"/>
              <w:jc w:val="center"/>
            </w:pPr>
            <w:r>
              <w:rPr>
                <w:sz w:val="20"/>
              </w:rPr>
              <w:t xml:space="preserve">8</w:t>
            </w:r>
          </w:p>
        </w:tc>
      </w:tr>
      <w:tr>
        <w:tblPrEx>
          <w:tblBorders>
            <w:insideH w:val="nil"/>
          </w:tblBorders>
        </w:tblPrEx>
        <w:tc>
          <w:tcPr>
            <w:tcW w:w="7313" w:type="dxa"/>
            <w:tcBorders>
              <w:bottom w:val="nil"/>
            </w:tcBorders>
          </w:tcPr>
          <w:p>
            <w:pPr>
              <w:pStyle w:val="0"/>
              <w:ind w:firstLine="384"/>
            </w:pPr>
            <w:r>
              <w:rPr>
                <w:sz w:val="20"/>
              </w:rPr>
              <w:t xml:space="preserve">По данному критерию проект в целом проработан, однако имеются несущественные замечания члена экспертной комиссии:</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tc>
        <w:tc>
          <w:tcPr>
            <w:tcW w:w="1729" w:type="dxa"/>
            <w:tcBorders>
              <w:top w:val="nil"/>
            </w:tcBorders>
          </w:tcPr>
          <w:p>
            <w:pPr>
              <w:pStyle w:val="0"/>
              <w:jc w:val="center"/>
            </w:pPr>
            <w:r>
              <w:rPr>
                <w:sz w:val="20"/>
              </w:rPr>
              <w:t xml:space="preserve">7</w:t>
            </w:r>
          </w:p>
        </w:tc>
      </w:tr>
      <w:tr>
        <w:tc>
          <w:tcPr>
            <w:tcW w:w="7313" w:type="dxa"/>
          </w:tcPr>
          <w:p>
            <w:pPr>
              <w:pStyle w:val="0"/>
              <w:ind w:firstLine="384"/>
            </w:pPr>
            <w:r>
              <w:rPr>
                <w:sz w:val="20"/>
              </w:rPr>
              <w:t xml:space="preserve">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Проект по данному критерию проработан недостаточно, имеются замечания члена экспертной комиссии, которые обязательно необходимо устранить:</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имеются устранимые нарушения логической связи между задачами, мероприятиями и предполагаемыми результатами</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Проект не соответствует данному критерию: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5.3. Рекомендации по определению оценки заявки по критерию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Проект является инновационным, уникальным:</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проект направлен на внедрение новых или значительно улучшенных практик, методов в деятельность организации и (или) ее партнеров, что позволит улучшить такую деятельность</w:t>
            </w:r>
          </w:p>
        </w:tc>
        <w:tc>
          <w:tcPr>
            <w:tcW w:w="1729" w:type="dxa"/>
          </w:tcPr>
          <w:p>
            <w:pPr>
              <w:pStyle w:val="0"/>
              <w:jc w:val="center"/>
            </w:pPr>
            <w:r>
              <w:rPr>
                <w:sz w:val="20"/>
              </w:rPr>
              <w:t xml:space="preserve">9</w:t>
            </w:r>
          </w:p>
        </w:tc>
      </w:tr>
      <w:tr>
        <w:tblPrEx>
          <w:tblBorders>
            <w:insideH w:val="nil"/>
          </w:tblBorders>
        </w:tblPrEx>
        <w:tc>
          <w:tcPr>
            <w:tcW w:w="7313" w:type="dxa"/>
            <w:tcBorders>
              <w:bottom w:val="nil"/>
            </w:tcBorders>
          </w:tcPr>
          <w:p>
            <w:pPr>
              <w:pStyle w:val="0"/>
              <w:ind w:firstLine="384"/>
            </w:pPr>
            <w:r>
              <w:rPr>
                <w:sz w:val="20"/>
              </w:rPr>
              <w:t xml:space="preserve">Проект имеет признаки инновационности, уникальности, но эти признаки несущественно влияют на его ожидаемые результаты:</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tc>
        <w:tc>
          <w:tcPr>
            <w:tcW w:w="1729" w:type="dxa"/>
            <w:tcBorders>
              <w:top w:val="nil"/>
            </w:tcBorders>
          </w:tcPr>
          <w:p>
            <w:pPr>
              <w:pStyle w:val="0"/>
              <w:jc w:val="center"/>
            </w:pPr>
            <w:r>
              <w:rPr>
                <w:sz w:val="20"/>
              </w:rPr>
              <w:t xml:space="preserve">8</w:t>
            </w:r>
          </w:p>
        </w:tc>
      </w:tr>
      <w:tr>
        <w:tc>
          <w:tcPr>
            <w:tcW w:w="7313" w:type="dxa"/>
          </w:tcPr>
          <w:p>
            <w:pPr>
              <w:pStyle w:val="0"/>
              <w:ind w:firstLine="384"/>
            </w:pPr>
            <w:r>
              <w:rPr>
                <w:sz w:val="20"/>
              </w:rPr>
              <w:t xml:space="preserve">у участника конкурса есть ресурсы и опыт, чтобы успешно внедрить описанные инновации</w:t>
            </w:r>
          </w:p>
        </w:tc>
        <w:tc>
          <w:tcPr>
            <w:tcW w:w="1729" w:type="dxa"/>
          </w:tcPr>
          <w:p>
            <w:pPr>
              <w:pStyle w:val="0"/>
              <w:jc w:val="center"/>
            </w:pPr>
            <w:r>
              <w:rPr>
                <w:sz w:val="20"/>
              </w:rPr>
              <w:t xml:space="preserve">7</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Проект практически не имеет признаков инновационности, уникальности:</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практики и методики, указанные в заявке, не являются инновационными</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313"/>
        <w:gridCol w:w="1729"/>
      </w:tblGrid>
      <w:tr>
        <w:tc>
          <w:tcPr>
            <w:tcW w:w="7313" w:type="dxa"/>
            <w:tcBorders>
              <w:top w:val="single" w:sz="4"/>
              <w:bottom w:val="nil"/>
            </w:tcBorders>
          </w:tcPr>
          <w:p>
            <w:pPr>
              <w:pStyle w:val="0"/>
            </w:pPr>
            <w:r>
              <w:rPr>
                <w:sz w:val="20"/>
              </w:rPr>
              <w:t xml:space="preserve">Проект не является инновационным, уникальным:</w:t>
            </w:r>
          </w:p>
        </w:tc>
        <w:tc>
          <w:tcPr>
            <w:tcW w:w="1729" w:type="dxa"/>
            <w:tcBorders>
              <w:top w:val="single" w:sz="4"/>
              <w:bottom w:val="nil"/>
            </w:tcBorders>
          </w:tcPr>
          <w:p>
            <w:pPr>
              <w:pStyle w:val="0"/>
            </w:pPr>
            <w:r>
              <w:rPr>
                <w:sz w:val="20"/>
              </w:rPr>
            </w:r>
          </w:p>
        </w:tc>
      </w:tr>
      <w:tr>
        <w:tc>
          <w:tcPr>
            <w:tcW w:w="7313" w:type="dxa"/>
            <w:tcBorders>
              <w:top w:val="nil"/>
              <w:bottom w:val="single" w:sz="4"/>
            </w:tcBorders>
          </w:tcPr>
          <w:p>
            <w:pPr>
              <w:pStyle w:val="0"/>
              <w:ind w:firstLine="384"/>
            </w:pPr>
            <w:r>
              <w:rPr>
                <w:sz w:val="20"/>
              </w:rPr>
              <w:t xml:space="preserve">проект, по сути, является продолжением уже осуществляемой (ранее осуществлявшейся) деятельности организации</w:t>
            </w:r>
          </w:p>
        </w:tc>
        <w:tc>
          <w:tcPr>
            <w:tcW w:w="1729" w:type="dxa"/>
            <w:tcBorders>
              <w:top w:val="nil"/>
              <w:bottom w:val="single" w:sz="4"/>
            </w:tcBorders>
          </w:tcPr>
          <w:p>
            <w:pPr>
              <w:pStyle w:val="0"/>
              <w:jc w:val="center"/>
            </w:pPr>
            <w:r>
              <w:rPr>
                <w:sz w:val="20"/>
              </w:rPr>
              <w:t xml:space="preserve">2</w:t>
            </w:r>
          </w:p>
        </w:tc>
      </w:tr>
      <w:tr>
        <w:tblPrEx>
          <w:tblBorders>
            <w:insideH w:val="single" w:sz="4"/>
          </w:tblBorders>
        </w:tblPrEx>
        <w:tc>
          <w:tcPr>
            <w:tcW w:w="7313" w:type="dxa"/>
            <w:tcBorders>
              <w:top w:val="single" w:sz="4"/>
              <w:bottom w:val="single" w:sz="4"/>
            </w:tcBorders>
          </w:tcPr>
          <w:p>
            <w:pPr>
              <w:pStyle w:val="0"/>
              <w:ind w:firstLine="384"/>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729" w:type="dxa"/>
            <w:tcBorders>
              <w:top w:val="single" w:sz="4"/>
              <w:bottom w:val="single" w:sz="4"/>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5.4. Рекомендации по определению оценки заявки по критерию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Данный критерий отлично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социального проекта соразмерно и обоснованно</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в заявке изложены результаты проекта; их получение за общую сумму предполагаемых расходов на реализацию проекта обоснованно</w:t>
            </w:r>
          </w:p>
        </w:tc>
        <w:tc>
          <w:tcPr>
            <w:tcW w:w="1729" w:type="dxa"/>
          </w:tcPr>
          <w:p>
            <w:pPr>
              <w:pStyle w:val="0"/>
              <w:jc w:val="center"/>
            </w:pPr>
            <w:r>
              <w:rPr>
                <w:sz w:val="20"/>
              </w:rPr>
              <w:t xml:space="preserve">9</w:t>
            </w:r>
          </w:p>
        </w:tc>
      </w:tr>
      <w:tr>
        <w:tc>
          <w:tcPr>
            <w:tcW w:w="7313" w:type="dxa"/>
          </w:tcPr>
          <w:p>
            <w:pPr>
              <w:pStyle w:val="0"/>
              <w:ind w:firstLine="384"/>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tc>
        <w:tc>
          <w:tcPr>
            <w:tcW w:w="1729" w:type="dxa"/>
          </w:tcPr>
          <w:p>
            <w:pPr>
              <w:pStyle w:val="0"/>
              <w:jc w:val="center"/>
            </w:pPr>
            <w:r>
              <w:rPr>
                <w:sz w:val="20"/>
              </w:rPr>
              <w:t xml:space="preserve">8</w:t>
            </w:r>
          </w:p>
        </w:tc>
      </w:tr>
      <w:tr>
        <w:tblPrEx>
          <w:tblBorders>
            <w:insideH w:val="nil"/>
          </w:tblBorders>
        </w:tblPrEx>
        <w:tc>
          <w:tcPr>
            <w:tcW w:w="7313" w:type="dxa"/>
            <w:tcBorders>
              <w:bottom w:val="nil"/>
            </w:tcBorders>
          </w:tcPr>
          <w:p>
            <w:pPr>
              <w:pStyle w:val="0"/>
            </w:pPr>
            <w:r>
              <w:rPr>
                <w:sz w:val="20"/>
              </w:rPr>
              <w:t xml:space="preserve">Данный критерий хорошо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заявке изложены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оптимальным</w:t>
            </w:r>
          </w:p>
        </w:tc>
        <w:tc>
          <w:tcPr>
            <w:tcW w:w="1729" w:type="dxa"/>
            <w:tcBorders>
              <w:top w:val="nil"/>
            </w:tcBorders>
          </w:tcPr>
          <w:p>
            <w:pPr>
              <w:pStyle w:val="0"/>
              <w:jc w:val="center"/>
            </w:pPr>
            <w:r>
              <w:rPr>
                <w:sz w:val="20"/>
              </w:rPr>
              <w:t xml:space="preserve">7</w:t>
            </w:r>
          </w:p>
        </w:tc>
      </w:tr>
      <w:tr>
        <w:tc>
          <w:tcPr>
            <w:tcW w:w="7313" w:type="dxa"/>
          </w:tcPr>
          <w:p>
            <w:pPr>
              <w:pStyle w:val="0"/>
              <w:ind w:firstLine="384"/>
            </w:pPr>
            <w:r>
              <w:rPr>
                <w:sz w:val="20"/>
              </w:rPr>
              <w:t xml:space="preserve">по описанию запланированных результатов у члена экспертной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Данный критерий удовлетворительно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запланированные результаты могут быть достигнуты при меньших затратах</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Данный критерий плохо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ожидаемые результаты проекта изложены неконкретно</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предполагаемые затраты на достижение результатов социального проекта явно завышены</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5.5. Рекомендации по определению оценки заявки по критерию "Реалистичность бюджета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Проект полностью соответствует данному критерию: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все планируемые расходы реалистичны и обоснованы</w:t>
            </w:r>
          </w:p>
        </w:tc>
        <w:tc>
          <w:tcPr>
            <w:tcW w:w="1729" w:type="dxa"/>
          </w:tcPr>
          <w:p>
            <w:pPr>
              <w:pStyle w:val="0"/>
              <w:jc w:val="center"/>
            </w:pPr>
            <w:r>
              <w:rPr>
                <w:sz w:val="20"/>
              </w:rPr>
              <w:t xml:space="preserve">9</w:t>
            </w:r>
          </w:p>
        </w:tc>
      </w:tr>
      <w:tr>
        <w:tc>
          <w:tcPr>
            <w:tcW w:w="7313" w:type="dxa"/>
          </w:tcPr>
          <w:p>
            <w:pPr>
              <w:pStyle w:val="0"/>
              <w:ind w:firstLine="384"/>
            </w:pPr>
            <w:r>
              <w:rPr>
                <w:sz w:val="20"/>
              </w:rPr>
              <w:t xml:space="preserve">прилагаются коммерческие предложения (не менее двух) на приобретение товаров, оказание работ/услуг</w:t>
            </w:r>
          </w:p>
        </w:tc>
        <w:tc>
          <w:tcPr>
            <w:tcW w:w="1729" w:type="dxa"/>
          </w:tcPr>
          <w:p>
            <w:pPr>
              <w:pStyle w:val="0"/>
              <w:jc w:val="center"/>
            </w:pPr>
            <w:r>
              <w:rPr>
                <w:sz w:val="20"/>
              </w:rPr>
              <w:t xml:space="preserve">8</w:t>
            </w:r>
          </w:p>
        </w:tc>
      </w:tr>
      <w:tr>
        <w:tblPrEx>
          <w:tblBorders>
            <w:insideH w:val="nil"/>
          </w:tblBorders>
        </w:tblPrEx>
        <w:tc>
          <w:tcPr>
            <w:tcW w:w="7313" w:type="dxa"/>
            <w:tcBorders>
              <w:bottom w:val="nil"/>
            </w:tcBorders>
          </w:tcPr>
          <w:p>
            <w:pPr>
              <w:pStyle w:val="0"/>
            </w:pPr>
            <w:r>
              <w:rPr>
                <w:sz w:val="20"/>
              </w:rPr>
              <w:t xml:space="preserve">Проект в целом соответствует данному критерию, однако имеются несущественные замечания члена экспертной комиссии:</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c>
          <w:tcPr>
            <w:tcW w:w="1729" w:type="dxa"/>
            <w:tcBorders>
              <w:top w:val="nil"/>
            </w:tcBorders>
          </w:tcPr>
          <w:p>
            <w:pPr>
              <w:pStyle w:val="0"/>
              <w:jc w:val="center"/>
            </w:pPr>
            <w:r>
              <w:rPr>
                <w:sz w:val="20"/>
              </w:rPr>
              <w:t xml:space="preserve">7</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Проект в целом соответствует данному критерию, однако имеются замечания члена экспертной комиссии, которые обязательно необходимо устранить:</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не все предполагаемые расходы непосредственно связаны с мероприятиями проекта и достижением ожидаемых результатов</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в бюджете проекта предусмотрены побочные, не имеющие прямого отношения к реализации проекта расходы</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Проект не соответствует данному критерию: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отбора</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отсутствуют коммерческие предложения к смете на приобретение товаров, оказание работ/услуг</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5.6. Рекомендации по определению оценки заявки по критерию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Проект по данному критерию проработан отлично:</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c>
          <w:tcPr>
            <w:tcW w:w="1729" w:type="dxa"/>
          </w:tcPr>
          <w:p>
            <w:pPr>
              <w:pStyle w:val="0"/>
              <w:jc w:val="center"/>
            </w:pPr>
            <w:r>
              <w:rPr>
                <w:sz w:val="20"/>
              </w:rPr>
              <w:t xml:space="preserve">9</w:t>
            </w:r>
          </w:p>
        </w:tc>
      </w:tr>
      <w:tr>
        <w:tblPrEx>
          <w:tblBorders>
            <w:insideH w:val="nil"/>
          </w:tblBorders>
        </w:tblPrEx>
        <w:tc>
          <w:tcPr>
            <w:tcW w:w="7313" w:type="dxa"/>
            <w:tcBorders>
              <w:bottom w:val="nil"/>
            </w:tcBorders>
          </w:tcPr>
          <w:p>
            <w:pPr>
              <w:pStyle w:val="0"/>
            </w:pPr>
            <w:r>
              <w:rPr>
                <w:sz w:val="20"/>
              </w:rPr>
              <w:t xml:space="preserve">Проект по данному критерию проработан хорошо:</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tc>
        <w:tc>
          <w:tcPr>
            <w:tcW w:w="1729" w:type="dxa"/>
            <w:tcBorders>
              <w:top w:val="nil"/>
            </w:tcBorders>
          </w:tcPr>
          <w:p>
            <w:pPr>
              <w:pStyle w:val="0"/>
              <w:jc w:val="center"/>
            </w:pPr>
            <w:r>
              <w:rPr>
                <w:sz w:val="20"/>
              </w:rPr>
              <w:t xml:space="preserve">8</w:t>
            </w:r>
          </w:p>
        </w:tc>
      </w:tr>
      <w:tr>
        <w:tc>
          <w:tcPr>
            <w:tcW w:w="7313" w:type="dxa"/>
          </w:tcPr>
          <w:p>
            <w:pPr>
              <w:pStyle w:val="0"/>
              <w:ind w:firstLine="384"/>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c>
          <w:tcPr>
            <w:tcW w:w="1729" w:type="dxa"/>
          </w:tcPr>
          <w:p>
            <w:pPr>
              <w:pStyle w:val="0"/>
              <w:jc w:val="center"/>
            </w:pPr>
            <w:r>
              <w:rPr>
                <w:sz w:val="20"/>
              </w:rPr>
              <w:t xml:space="preserve">7</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Проект по данному критерию проработан удовлетворительно:</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Проект по данному критерию проработан плохо:</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заявленная территория реализации проекта не подтверждается содержанием заявки</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не доказано взаимодействие с территориями, обозначенными в заявке</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5.7. Рекомендации по определению оценки заявки по критерию "Собственный вклад участника конкурса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более 30% бюджета проекта:</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tc>
        <w:tc>
          <w:tcPr>
            <w:tcW w:w="1729" w:type="dxa"/>
          </w:tcPr>
          <w:p>
            <w:pPr>
              <w:pStyle w:val="0"/>
              <w:jc w:val="center"/>
            </w:pPr>
            <w:r>
              <w:rPr>
                <w:sz w:val="20"/>
              </w:rPr>
              <w:t xml:space="preserve">9</w:t>
            </w:r>
          </w:p>
        </w:tc>
      </w:tr>
      <w:tr>
        <w:tblPrEx>
          <w:tblBorders>
            <w:insideH w:val="nil"/>
          </w:tblBorders>
        </w:tblPrEx>
        <w:tc>
          <w:tcPr>
            <w:tcW w:w="7313"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от 20 до 30% бюджета проекта:</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1729" w:type="dxa"/>
            <w:tcBorders>
              <w:top w:val="nil"/>
            </w:tcBorders>
          </w:tcPr>
          <w:p>
            <w:pPr>
              <w:pStyle w:val="0"/>
              <w:jc w:val="center"/>
            </w:pPr>
            <w:r>
              <w:rPr>
                <w:sz w:val="20"/>
              </w:rPr>
              <w:t xml:space="preserve">8</w:t>
            </w:r>
          </w:p>
        </w:tc>
      </w:tr>
      <w:tr>
        <w:tc>
          <w:tcPr>
            <w:tcW w:w="7313" w:type="dxa"/>
          </w:tcPr>
          <w:p>
            <w:pPr>
              <w:pStyle w:val="0"/>
              <w:ind w:firstLine="384"/>
            </w:pPr>
            <w:r>
              <w:rPr>
                <w:sz w:val="20"/>
              </w:rPr>
              <w:t xml:space="preserve">уровень собственного вклада и дополнительных ресурсов составляет от 20 до 30% бюджета проекта, при этом он в целом корректно рассчитан</w:t>
            </w:r>
          </w:p>
        </w:tc>
        <w:tc>
          <w:tcPr>
            <w:tcW w:w="1729" w:type="dxa"/>
          </w:tcPr>
          <w:p>
            <w:pPr>
              <w:pStyle w:val="0"/>
              <w:jc w:val="center"/>
            </w:pPr>
            <w:r>
              <w:rPr>
                <w:sz w:val="20"/>
              </w:rPr>
              <w:t xml:space="preserve">7</w:t>
            </w:r>
          </w:p>
        </w:tc>
      </w:tr>
      <w:tr>
        <w:tc>
          <w:tcPr>
            <w:tcW w:w="7313" w:type="dxa"/>
          </w:tcPr>
          <w:p>
            <w:pPr>
              <w:pStyle w:val="0"/>
              <w:ind w:firstLine="384"/>
            </w:pPr>
            <w:r>
              <w:rPr>
                <w:sz w:val="20"/>
              </w:rPr>
              <w:t xml:space="preserve">в заявке в целом описаны механизмы дальнейшего развития проекта, источники ресурсного обеспечения после завершения субсидийной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продолжение реализации проекта после окончания финансирования описано общими фразами</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Реализация проекта предполагается практически только за счет субсидии:</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отсутствует описание работы по выбранному направлению после завершения субсидийной поддержки</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5.8. Рекомендации по определению оценки заявки по критерию "Опыт участника конкурса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У участника конкурса отличный опыт проектной работы по выбранному субсидийному направлению: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участник конкурса имеет опыт устойчивой активной деятельности по выбранному субсидийному направлению на протяжении более 3 лет</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tc>
        <w:tc>
          <w:tcPr>
            <w:tcW w:w="1729" w:type="dxa"/>
          </w:tcPr>
          <w:p>
            <w:pPr>
              <w:pStyle w:val="0"/>
              <w:jc w:val="center"/>
            </w:pPr>
            <w:r>
              <w:rPr>
                <w:sz w:val="20"/>
              </w:rPr>
              <w:t xml:space="preserve">9</w:t>
            </w:r>
          </w:p>
        </w:tc>
      </w:tr>
      <w:tr>
        <w:tblPrEx>
          <w:tblBorders>
            <w:insideH w:val="nil"/>
          </w:tblBorders>
        </w:tblPrEx>
        <w:tc>
          <w:tcPr>
            <w:tcW w:w="7313" w:type="dxa"/>
            <w:tcBorders>
              <w:bottom w:val="nil"/>
            </w:tcBorders>
          </w:tcPr>
          <w:p>
            <w:pPr>
              <w:pStyle w:val="0"/>
            </w:pPr>
            <w:r>
              <w:rPr>
                <w:sz w:val="20"/>
              </w:rPr>
              <w:t xml:space="preserve">У участника конкурса хороший опыт проектной работы по выбранному субсидийному направлению: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 участника конкурса имеется сопоставимый с содержанием заявки опыт системной и устойчивой проектной деятельности по выбранному субсидийному направлению (по масштабу и количеству мероприятий)</w:t>
            </w:r>
          </w:p>
        </w:tc>
        <w:tc>
          <w:tcPr>
            <w:tcW w:w="1729" w:type="dxa"/>
            <w:tcBorders>
              <w:top w:val="nil"/>
            </w:tcBorders>
          </w:tcPr>
          <w:p>
            <w:pPr>
              <w:pStyle w:val="0"/>
              <w:jc w:val="center"/>
            </w:pPr>
            <w:r>
              <w:rPr>
                <w:sz w:val="20"/>
              </w:rPr>
              <w:t xml:space="preserve">8</w:t>
            </w:r>
          </w:p>
        </w:tc>
      </w:tr>
      <w:tr>
        <w:tc>
          <w:tcPr>
            <w:tcW w:w="7313" w:type="dxa"/>
          </w:tcPr>
          <w:p>
            <w:pPr>
              <w:pStyle w:val="0"/>
              <w:ind w:firstLine="384"/>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успешность опыта участника отбора подтверждается наградами, отзывами, публикациями в средствах массовой информации и информационно-телекоммуникационной сети "Интернет"</w:t>
            </w:r>
          </w:p>
        </w:tc>
        <w:tc>
          <w:tcPr>
            <w:tcW w:w="1729" w:type="dxa"/>
          </w:tcPr>
          <w:p>
            <w:pPr>
              <w:pStyle w:val="0"/>
              <w:jc w:val="center"/>
            </w:pPr>
            <w:r>
              <w:rPr>
                <w:sz w:val="20"/>
              </w:rPr>
              <w:t xml:space="preserve">7</w:t>
            </w:r>
          </w:p>
        </w:tc>
      </w:tr>
      <w:tr>
        <w:tc>
          <w:tcPr>
            <w:tcW w:w="7313" w:type="dxa"/>
          </w:tcPr>
          <w:p>
            <w:pPr>
              <w:pStyle w:val="0"/>
              <w:ind w:firstLine="384"/>
            </w:pPr>
            <w:r>
              <w:rPr>
                <w:sz w:val="20"/>
              </w:rPr>
              <w:t xml:space="preserve">участник конкурса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У участника конкурса удовлетворительный опыт проектной работы по выбранному субсидийному направлению: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заявке приведено описание собственного опыта организации по реализации программ, проектов по выбранному субсидийному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участник конкурса имеет опыт реализации менее масштабных проектов по выбранному субсидийному направлению и не имеет опыта работы с соизмеримыми (с запрашиваемой суммой субсидии) объемами целевых средств</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участник конкурса имеет опыт управления соизмеримыми (с запрашиваемой суммой субсидии) объемами целевых средств, однако информация о реализованных социальных проектах (программах) не освещена на сайте участника отбора, заявленные достигнутые результаты не представлены</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У участника конкурса практически отсутствует опыт работы по выбранному субсидийному направлению:</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участник конкурса не имеет опыта активной деятельности либо подтвержденной деятельности за последний год</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опыт проектной работы участника конкурса в заявке практически не описан</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5.9. Рекомендации по определению оценки заявки по критерию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Данный критерий отлично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проект обеспечен специалистами по всем необходимым для реализации проекта профилям</w:t>
            </w:r>
          </w:p>
        </w:tc>
        <w:tc>
          <w:tcPr>
            <w:tcW w:w="1729" w:type="dxa"/>
          </w:tcPr>
          <w:p>
            <w:pPr>
              <w:pStyle w:val="0"/>
              <w:jc w:val="center"/>
            </w:pPr>
            <w:r>
              <w:rPr>
                <w:sz w:val="20"/>
              </w:rPr>
              <w:t xml:space="preserve">9</w:t>
            </w:r>
          </w:p>
        </w:tc>
      </w:tr>
      <w:tr>
        <w:tc>
          <w:tcPr>
            <w:tcW w:w="7313" w:type="dxa"/>
          </w:tcPr>
          <w:p>
            <w:pPr>
              <w:pStyle w:val="0"/>
              <w:ind w:firstLine="384"/>
            </w:pPr>
            <w:r>
              <w:rPr>
                <w:sz w:val="20"/>
              </w:rPr>
              <w:t xml:space="preserve">в проекте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1729" w:type="dxa"/>
          </w:tcPr>
          <w:p>
            <w:pPr>
              <w:pStyle w:val="0"/>
              <w:jc w:val="center"/>
            </w:pPr>
            <w:r>
              <w:rPr>
                <w:sz w:val="20"/>
              </w:rPr>
              <w:t xml:space="preserve">8</w:t>
            </w:r>
          </w:p>
        </w:tc>
      </w:tr>
      <w:tr>
        <w:tblPrEx>
          <w:tblBorders>
            <w:insideH w:val="nil"/>
          </w:tblBorders>
        </w:tblPrEx>
        <w:tc>
          <w:tcPr>
            <w:tcW w:w="7313" w:type="dxa"/>
            <w:tcBorders>
              <w:bottom w:val="nil"/>
            </w:tcBorders>
          </w:tcPr>
          <w:p>
            <w:pPr>
              <w:pStyle w:val="0"/>
            </w:pPr>
            <w:r>
              <w:rPr>
                <w:sz w:val="20"/>
              </w:rPr>
              <w:t xml:space="preserve">Данный критерий хорошо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tc>
        <w:tc>
          <w:tcPr>
            <w:tcW w:w="1729" w:type="dxa"/>
            <w:tcBorders>
              <w:top w:val="nil"/>
            </w:tcBorders>
          </w:tcPr>
          <w:p>
            <w:pPr>
              <w:pStyle w:val="0"/>
              <w:jc w:val="center"/>
            </w:pPr>
            <w:r>
              <w:rPr>
                <w:sz w:val="20"/>
              </w:rPr>
              <w:t xml:space="preserve">7</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Данный критерий удовлетворительно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социального проекта</w:t>
            </w:r>
          </w:p>
        </w:tc>
        <w:tc>
          <w:tcPr>
            <w:tcW w:w="1729" w:type="dxa"/>
          </w:tcPr>
          <w:p>
            <w:pPr>
              <w:pStyle w:val="0"/>
              <w:jc w:val="center"/>
            </w:pPr>
            <w:r>
              <w:rPr>
                <w:sz w:val="20"/>
              </w:rPr>
              <w:t xml:space="preserve">4</w:t>
            </w:r>
          </w:p>
        </w:tc>
      </w:tr>
      <w:tr>
        <w:tc>
          <w:tcPr>
            <w:tcW w:w="7313" w:type="dxa"/>
          </w:tcPr>
          <w:p>
            <w:pPr>
              <w:pStyle w:val="0"/>
              <w:ind w:firstLine="384"/>
            </w:pPr>
            <w:r>
              <w:rPr>
                <w:sz w:val="20"/>
              </w:rPr>
              <w:t xml:space="preserve">имеются другие замечания члена экспертной комиссии</w:t>
            </w:r>
          </w:p>
        </w:tc>
        <w:tc>
          <w:tcPr>
            <w:tcW w:w="1729" w:type="dxa"/>
          </w:tcPr>
          <w:p>
            <w:pPr>
              <w:pStyle w:val="0"/>
              <w:jc w:val="center"/>
            </w:pPr>
            <w:r>
              <w:rPr>
                <w:sz w:val="20"/>
              </w:rPr>
              <w:t xml:space="preserve">3</w:t>
            </w:r>
          </w:p>
        </w:tc>
      </w:tr>
      <w:tr>
        <w:tblPrEx>
          <w:tblBorders>
            <w:insideH w:val="nil"/>
          </w:tblBorders>
        </w:tblPrEx>
        <w:tc>
          <w:tcPr>
            <w:tcW w:w="7313" w:type="dxa"/>
            <w:tcBorders>
              <w:bottom w:val="nil"/>
            </w:tcBorders>
          </w:tcPr>
          <w:p>
            <w:pPr>
              <w:pStyle w:val="0"/>
            </w:pPr>
            <w:r>
              <w:rPr>
                <w:sz w:val="20"/>
              </w:rPr>
              <w:t xml:space="preserve">Данный критерий плохо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описание команды проекта, ее квалификации, опыта работы в заявке практически отсутствует</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имеются высокие риски реализации проекта в силу недостаточности опыта и низкой квалификации команды проекта</w:t>
            </w:r>
          </w:p>
        </w:tc>
        <w:tc>
          <w:tcPr>
            <w:tcW w:w="1729"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5.10. Рекомендации по определению оценки заявки по критерию "Информационная открытость участника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29"/>
      </w:tblGrid>
      <w:tr>
        <w:tc>
          <w:tcPr>
            <w:tcW w:w="7313" w:type="dxa"/>
          </w:tcPr>
          <w:p>
            <w:pPr>
              <w:pStyle w:val="0"/>
              <w:jc w:val="center"/>
            </w:pPr>
            <w:r>
              <w:rPr>
                <w:sz w:val="20"/>
              </w:rPr>
              <w:t xml:space="preserve">Рекомендации по определению оценок по критерию</w:t>
            </w:r>
          </w:p>
        </w:tc>
        <w:tc>
          <w:tcPr>
            <w:tcW w:w="1729" w:type="dxa"/>
          </w:tcPr>
          <w:p>
            <w:pPr>
              <w:pStyle w:val="0"/>
              <w:jc w:val="center"/>
            </w:pPr>
            <w:r>
              <w:rPr>
                <w:sz w:val="20"/>
              </w:rPr>
              <w:t xml:space="preserve">Количество присваиваемых баллов</w:t>
            </w:r>
          </w:p>
        </w:tc>
      </w:tr>
      <w:tr>
        <w:tblPrEx>
          <w:tblBorders>
            <w:insideH w:val="nil"/>
          </w:tblBorders>
        </w:tblPrEx>
        <w:tc>
          <w:tcPr>
            <w:tcW w:w="7313" w:type="dxa"/>
            <w:tcBorders>
              <w:bottom w:val="nil"/>
            </w:tcBorders>
          </w:tcPr>
          <w:p>
            <w:pPr>
              <w:pStyle w:val="0"/>
            </w:pPr>
            <w:r>
              <w:rPr>
                <w:sz w:val="20"/>
              </w:rPr>
              <w:t xml:space="preserve">Данный критерий отлично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информацию о деятельности легко найти в Интернете с помощью поисковых запросов</w:t>
            </w:r>
          </w:p>
        </w:tc>
        <w:tc>
          <w:tcPr>
            <w:tcW w:w="1729" w:type="dxa"/>
            <w:tcBorders>
              <w:top w:val="nil"/>
            </w:tcBorders>
          </w:tcPr>
          <w:p>
            <w:pPr>
              <w:pStyle w:val="0"/>
              <w:jc w:val="center"/>
            </w:pPr>
            <w:r>
              <w:rPr>
                <w:sz w:val="20"/>
              </w:rPr>
              <w:t xml:space="preserve">10</w:t>
            </w:r>
          </w:p>
        </w:tc>
      </w:tr>
      <w:tr>
        <w:tc>
          <w:tcPr>
            <w:tcW w:w="7313" w:type="dxa"/>
          </w:tcPr>
          <w:p>
            <w:pPr>
              <w:pStyle w:val="0"/>
              <w:ind w:firstLine="384"/>
            </w:pPr>
            <w:r>
              <w:rPr>
                <w:sz w:val="20"/>
              </w:rPr>
              <w:t xml:space="preserve">участник конкурса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tc>
        <w:tc>
          <w:tcPr>
            <w:tcW w:w="1729" w:type="dxa"/>
          </w:tcPr>
          <w:p>
            <w:pPr>
              <w:pStyle w:val="0"/>
              <w:jc w:val="center"/>
            </w:pPr>
            <w:r>
              <w:rPr>
                <w:sz w:val="20"/>
              </w:rPr>
              <w:t xml:space="preserve">9</w:t>
            </w:r>
          </w:p>
        </w:tc>
      </w:tr>
      <w:tr>
        <w:tblPrEx>
          <w:tblBorders>
            <w:insideH w:val="nil"/>
          </w:tblBorders>
        </w:tblPrEx>
        <w:tc>
          <w:tcPr>
            <w:tcW w:w="7313" w:type="dxa"/>
            <w:tcBorders>
              <w:bottom w:val="nil"/>
            </w:tcBorders>
          </w:tcPr>
          <w:p>
            <w:pPr>
              <w:pStyle w:val="0"/>
            </w:pPr>
            <w:r>
              <w:rPr>
                <w:sz w:val="20"/>
              </w:rPr>
              <w:t xml:space="preserve">Данный критерий хорошо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участник конкурса имеет действующий сайт, страницы (группы) в социальных сетях с актуальной информацией, однако без подробных сведений о работе участника конкурса, привлекаемых им ресурсах, составе органов управления, реализованных программах, проектах</w:t>
            </w:r>
          </w:p>
        </w:tc>
        <w:tc>
          <w:tcPr>
            <w:tcW w:w="1729" w:type="dxa"/>
            <w:tcBorders>
              <w:top w:val="nil"/>
            </w:tcBorders>
          </w:tcPr>
          <w:p>
            <w:pPr>
              <w:pStyle w:val="0"/>
              <w:jc w:val="center"/>
            </w:pPr>
            <w:r>
              <w:rPr>
                <w:sz w:val="20"/>
              </w:rPr>
              <w:t xml:space="preserve">8</w:t>
            </w:r>
          </w:p>
        </w:tc>
      </w:tr>
      <w:tr>
        <w:tc>
          <w:tcPr>
            <w:tcW w:w="7313" w:type="dxa"/>
          </w:tcPr>
          <w:p>
            <w:pPr>
              <w:pStyle w:val="0"/>
              <w:ind w:firstLine="384"/>
            </w:pPr>
            <w:r>
              <w:rPr>
                <w:sz w:val="20"/>
              </w:rPr>
              <w:t xml:space="preserve">информацию о деятельности легко найти в информационно-телекоммуникационной сети "Интернет" с помощью поисковых запросов</w:t>
            </w:r>
          </w:p>
        </w:tc>
        <w:tc>
          <w:tcPr>
            <w:tcW w:w="1729" w:type="dxa"/>
          </w:tcPr>
          <w:p>
            <w:pPr>
              <w:pStyle w:val="0"/>
              <w:jc w:val="center"/>
            </w:pPr>
            <w:r>
              <w:rPr>
                <w:sz w:val="20"/>
              </w:rPr>
              <w:t xml:space="preserve">7</w:t>
            </w:r>
          </w:p>
        </w:tc>
      </w:tr>
      <w:tr>
        <w:tc>
          <w:tcPr>
            <w:tcW w:w="7313" w:type="dxa"/>
          </w:tcPr>
          <w:p>
            <w:pPr>
              <w:pStyle w:val="0"/>
              <w:ind w:firstLine="384"/>
            </w:pPr>
            <w:r>
              <w:rPr>
                <w:sz w:val="20"/>
              </w:rPr>
              <w:t xml:space="preserve">деятельность участника конкурса периодически освещается в средствах массовой информации</w:t>
            </w:r>
          </w:p>
        </w:tc>
        <w:tc>
          <w:tcPr>
            <w:tcW w:w="1729" w:type="dxa"/>
          </w:tcPr>
          <w:p>
            <w:pPr>
              <w:pStyle w:val="0"/>
              <w:jc w:val="center"/>
            </w:pPr>
            <w:r>
              <w:rPr>
                <w:sz w:val="20"/>
              </w:rPr>
              <w:t xml:space="preserve">6</w:t>
            </w:r>
          </w:p>
        </w:tc>
      </w:tr>
      <w:tr>
        <w:tblPrEx>
          <w:tblBorders>
            <w:insideH w:val="nil"/>
          </w:tblBorders>
        </w:tblPrEx>
        <w:tc>
          <w:tcPr>
            <w:tcW w:w="7313" w:type="dxa"/>
            <w:tcBorders>
              <w:bottom w:val="nil"/>
            </w:tcBorders>
          </w:tcPr>
          <w:p>
            <w:pPr>
              <w:pStyle w:val="0"/>
            </w:pPr>
            <w:r>
              <w:rPr>
                <w:sz w:val="20"/>
              </w:rPr>
              <w:t xml:space="preserve">Данный критерий удовлетворительно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деятельность участника конкурса мало освещается в средствах массовой информации и информационно-телекоммуникационной сети "Интернет"</w:t>
            </w:r>
          </w:p>
        </w:tc>
        <w:tc>
          <w:tcPr>
            <w:tcW w:w="1729" w:type="dxa"/>
            <w:tcBorders>
              <w:top w:val="nil"/>
            </w:tcBorders>
          </w:tcPr>
          <w:p>
            <w:pPr>
              <w:pStyle w:val="0"/>
              <w:jc w:val="center"/>
            </w:pPr>
            <w:r>
              <w:rPr>
                <w:sz w:val="20"/>
              </w:rPr>
              <w:t xml:space="preserve">5</w:t>
            </w:r>
          </w:p>
        </w:tc>
      </w:tr>
      <w:tr>
        <w:tc>
          <w:tcPr>
            <w:tcW w:w="7313" w:type="dxa"/>
          </w:tcPr>
          <w:p>
            <w:pPr>
              <w:pStyle w:val="0"/>
              <w:ind w:firstLine="384"/>
            </w:pPr>
            <w:r>
              <w:rPr>
                <w:sz w:val="20"/>
              </w:rPr>
              <w:t xml:space="preserve">у участника конкурса есть сайт и (или) страница (группа) в социальной сети, которые содержат неактуальную (устаревшую) информацию</w:t>
            </w:r>
          </w:p>
        </w:tc>
        <w:tc>
          <w:tcPr>
            <w:tcW w:w="1729" w:type="dxa"/>
          </w:tcPr>
          <w:p>
            <w:pPr>
              <w:pStyle w:val="0"/>
            </w:pPr>
            <w:r>
              <w:rPr>
                <w:sz w:val="20"/>
              </w:rPr>
            </w:r>
          </w:p>
        </w:tc>
      </w:tr>
      <w:tr>
        <w:tc>
          <w:tcPr>
            <w:tcW w:w="7313" w:type="dxa"/>
          </w:tcPr>
          <w:p>
            <w:pPr>
              <w:pStyle w:val="0"/>
              <w:ind w:firstLine="384"/>
            </w:pPr>
            <w:r>
              <w:rPr>
                <w:sz w:val="20"/>
              </w:rPr>
              <w:t xml:space="preserve">отчеты о деятельности участника конкурса отсутствуют в открытом доступе</w:t>
            </w:r>
          </w:p>
        </w:tc>
        <w:tc>
          <w:tcPr>
            <w:tcW w:w="1729" w:type="dxa"/>
          </w:tcPr>
          <w:p>
            <w:pPr>
              <w:pStyle w:val="0"/>
            </w:pPr>
            <w:r>
              <w:rPr>
                <w:sz w:val="20"/>
              </w:rPr>
            </w:r>
          </w:p>
        </w:tc>
      </w:tr>
      <w:tr>
        <w:tblPrEx>
          <w:tblBorders>
            <w:insideH w:val="nil"/>
          </w:tblBorders>
        </w:tblPrEx>
        <w:tc>
          <w:tcPr>
            <w:tcW w:w="7313" w:type="dxa"/>
            <w:tcBorders>
              <w:bottom w:val="nil"/>
            </w:tcBorders>
          </w:tcPr>
          <w:p>
            <w:pPr>
              <w:pStyle w:val="0"/>
            </w:pPr>
            <w:r>
              <w:rPr>
                <w:sz w:val="20"/>
              </w:rPr>
              <w:t xml:space="preserve">Данный критерий плохо выражен в заявке:</w:t>
            </w:r>
          </w:p>
        </w:tc>
        <w:tc>
          <w:tcPr>
            <w:tcW w:w="1729" w:type="dxa"/>
            <w:tcBorders>
              <w:bottom w:val="nil"/>
            </w:tcBorders>
          </w:tcPr>
          <w:p>
            <w:pPr>
              <w:pStyle w:val="0"/>
            </w:pPr>
            <w:r>
              <w:rPr>
                <w:sz w:val="20"/>
              </w:rPr>
            </w:r>
          </w:p>
        </w:tc>
      </w:tr>
      <w:tr>
        <w:tblPrEx>
          <w:tblBorders>
            <w:insideH w:val="nil"/>
          </w:tblBorders>
        </w:tblPrEx>
        <w:tc>
          <w:tcPr>
            <w:tcW w:w="7313" w:type="dxa"/>
            <w:tcBorders>
              <w:top w:val="nil"/>
            </w:tcBorders>
          </w:tcPr>
          <w:p>
            <w:pPr>
              <w:pStyle w:val="0"/>
              <w:ind w:firstLine="384"/>
            </w:pPr>
            <w:r>
              <w:rPr>
                <w:sz w:val="20"/>
              </w:rPr>
              <w:t xml:space="preserve">информация о деятельности участника конкурса практически отсутствует в информационно-телекоммуникационной сети "Интернет"</w:t>
            </w:r>
          </w:p>
        </w:tc>
        <w:tc>
          <w:tcPr>
            <w:tcW w:w="1729" w:type="dxa"/>
            <w:tcBorders>
              <w:top w:val="nil"/>
            </w:tcBorders>
          </w:tcPr>
          <w:p>
            <w:pPr>
              <w:pStyle w:val="0"/>
              <w:jc w:val="center"/>
            </w:pPr>
            <w:r>
              <w:rPr>
                <w:sz w:val="20"/>
              </w:rPr>
              <w:t xml:space="preserve">2</w:t>
            </w:r>
          </w:p>
        </w:tc>
      </w:tr>
      <w:tr>
        <w:tc>
          <w:tcPr>
            <w:tcW w:w="7313" w:type="dxa"/>
          </w:tcPr>
          <w:p>
            <w:pPr>
              <w:pStyle w:val="0"/>
              <w:ind w:firstLine="384"/>
            </w:pPr>
            <w:r>
              <w:rPr>
                <w:sz w:val="20"/>
              </w:rPr>
              <w:t xml:space="preserve">имеются другие серьезные замечания члена экспертной комиссии</w:t>
            </w:r>
          </w:p>
        </w:tc>
        <w:tc>
          <w:tcPr>
            <w:tcW w:w="1729"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04.09.2023 N 416-п</w:t>
            <w:br/>
            <w:t>"Об утверждении Порядка предоставления субсидий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1CAA352EE3D7A1044D47580FEF69C18981DB0611FF90730F163986684CA3844746EF49943D70ADE3E750379F469E16A9530D18875EE8C6eBx6P" TargetMode = "External"/>
	<Relationship Id="rId8" Type="http://schemas.openxmlformats.org/officeDocument/2006/relationships/hyperlink" Target="consultantplus://offline/ref=161CAA352EE3D7A1044D47580FEF69C18982D90518FC90730F163986684CA3844746EF49903A7EFEB7A8516BD9128D15A9530E199Be5xFP" TargetMode = "External"/>
	<Relationship Id="rId9" Type="http://schemas.openxmlformats.org/officeDocument/2006/relationships/hyperlink" Target="consultantplus://offline/ref=161CAA352EE3D7A1044D47580FEF69C18984DF0511FB90730F163986684CA3844746EF49943521FBA2B90964DA0D9215B64F0C1Be9xAP" TargetMode = "External"/>
	<Relationship Id="rId10" Type="http://schemas.openxmlformats.org/officeDocument/2006/relationships/hyperlink" Target="consultantplus://offline/ref=161CAA352EE3D7A1044D5955198335CC8C8C840B1CFD9A20534962DB3F45A9D30009B60BD03374AAE6EC0163D047C250FD400E18875DE9DAB7B137e2x0P" TargetMode = "External"/>
	<Relationship Id="rId11" Type="http://schemas.openxmlformats.org/officeDocument/2006/relationships/hyperlink" Target="consultantplus://offline/ref=161CAA352EE3D7A1044D5955198335CC8C8C840B1EFA9F20504962DB3F45A9D30009B619D06B78A8E7F20567C5119316eAxBP" TargetMode = "External"/>
	<Relationship Id="rId12" Type="http://schemas.openxmlformats.org/officeDocument/2006/relationships/hyperlink" Target="consultantplus://offline/ref=161CAA352EE3D7A1044D5955198335CC8C8C840B1EFA9A235B4962DB3F45A9D30009B619D06B78A8E7F20567C5119316eAxBP" TargetMode = "External"/>
	<Relationship Id="rId13" Type="http://schemas.openxmlformats.org/officeDocument/2006/relationships/hyperlink" Target="consultantplus://offline/ref=161CAA352EE3D7A1044D47580FEF69C18982D90518FC90730F163986684CA3845546B745963F6BABE7F20666D9e1x0P" TargetMode = "External"/>
	<Relationship Id="rId14" Type="http://schemas.openxmlformats.org/officeDocument/2006/relationships/hyperlink" Target="consultantplus://offline/ref=161CAA352EE3D7A1044D5955198335CC8C8C840B1EFC93205A4962DB3F45A9D30009B60BD03374ABE1EA0667D047C250FD400E18875DE9DAB7B137e2x0P" TargetMode = "External"/>
	<Relationship Id="rId15" Type="http://schemas.openxmlformats.org/officeDocument/2006/relationships/hyperlink" Target="consultantplus://offline/ref=161CAA352EE3D7A1044D47580FEF69C18982D90518FC90730F163986684CA3844746EF49903A7EFEB7A8516BD9128D15A9530E199Be5xFP" TargetMode = "External"/>
	<Relationship Id="rId16" Type="http://schemas.openxmlformats.org/officeDocument/2006/relationships/hyperlink" Target="consultantplus://offline/ref=161CAA352EE3D7A1044D47580FEF69C18982D90518FC90730F163986684CA3844746EF49943E76AEE4E750379F469E16A9530D18875EE8C6eBx6P" TargetMode = "External"/>
	<Relationship Id="rId17" Type="http://schemas.openxmlformats.org/officeDocument/2006/relationships/hyperlink" Target="consultantplus://offline/ref=161CAA352EE3D7A1044D47580FEF69C18981DB0611FF90730F163986684CA3844746EF4B933E71A1B2BD4033D611920AA94C121B995EeExBP" TargetMode = "External"/>
	<Relationship Id="rId18" Type="http://schemas.openxmlformats.org/officeDocument/2006/relationships/hyperlink" Target="consultantplus://offline/ref=161CAA352EE3D7A1044D47580FEF69C18981DB0611FF90730F163986684CA3844746EF4B933C77A1B2BD4033D611920AA94C121B995EeExBP" TargetMode = "External"/>
	<Relationship Id="rId19" Type="http://schemas.openxmlformats.org/officeDocument/2006/relationships/hyperlink" Target="consultantplus://offline/ref=161CAA352EE3D7A1044D47580FEF69C18981DB0611FF90730F163986684CA3844746EF4B933E71A1B2BD4033D611920AA94C121B995EeExBP" TargetMode = "External"/>
	<Relationship Id="rId20" Type="http://schemas.openxmlformats.org/officeDocument/2006/relationships/hyperlink" Target="consultantplus://offline/ref=161CAA352EE3D7A1044D47580FEF69C18981DB0611FF90730F163986684CA3844746EF4B933C77A1B2BD4033D611920AA94C121B995EeEx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04.09.2023 N 416-п
"Об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"Укрепление общественного здоровья (Брянская область)"</dc:title>
  <dcterms:created xsi:type="dcterms:W3CDTF">2023-11-21T15:49:30Z</dcterms:created>
</cp:coreProperties>
</file>