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по молодежной политике Иркутской области от 19.04.2023 N 63-13-мпр</w:t>
              <w:br/>
              <w:t xml:space="preserve">"Об утверждении Положения о проведении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МОЛОДЕЖНОЙ ПОЛИТИКЕ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апреля 2023 г. N 63-13-мпр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ПРОВЕДЕНИИ ОТКРЫТОГО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ТЕРРИТОРИИ ИРКУТСКОЙ ОБЛАСТИ В РАМКАХ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ВОЛОНТЕРСТВА 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Постановление Правительства Иркутской области от 16.03.2016 N 131-пп (ред. от 01.02.2023) &quot;О министерстве по молодежной политике Иркутской области&quot; (вместе с &quot;Положением о министерстве по молодежной политике Иркут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по молодежной политике Иркутской области, утвержденным постановлением Правительства Иркутской области от 16 марта 2016 года N 131-пп, </w:t>
      </w:r>
      <w:hyperlink w:history="0" r:id="rId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Иркутской области,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со дня его государственной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Настоящий приказ вступает в силу через 10 календарных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М.М.ЦЫГАНОВА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по молодежной</w:t>
      </w:r>
    </w:p>
    <w:p>
      <w:pPr>
        <w:pStyle w:val="0"/>
        <w:jc w:val="right"/>
      </w:pPr>
      <w:r>
        <w:rPr>
          <w:sz w:val="20"/>
        </w:rPr>
        <w:t xml:space="preserve">политике Иркутской области</w:t>
      </w:r>
    </w:p>
    <w:p>
      <w:pPr>
        <w:pStyle w:val="0"/>
        <w:jc w:val="right"/>
      </w:pPr>
      <w:r>
        <w:rPr>
          <w:sz w:val="20"/>
        </w:rPr>
        <w:t xml:space="preserve">от 19 апреля 2023 г. N 63-13-мпр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ОТКРЫТОГО КОНКУРСНОГО ОТБОРА НА ТЕРРИТОРИИ</w:t>
      </w:r>
    </w:p>
    <w:p>
      <w:pPr>
        <w:pStyle w:val="2"/>
        <w:jc w:val="center"/>
      </w:pPr>
      <w:r>
        <w:rPr>
          <w:sz w:val="20"/>
        </w:rPr>
        <w:t xml:space="preserve">ИРКУТСКОЙ ОБЛАСТИ В РАМКАХ ВСЕРОССИЙСКОГО КОНКУРСА</w:t>
      </w:r>
    </w:p>
    <w:p>
      <w:pPr>
        <w:pStyle w:val="2"/>
        <w:jc w:val="center"/>
      </w:pPr>
      <w:r>
        <w:rPr>
          <w:sz w:val="20"/>
        </w:rPr>
        <w:t xml:space="preserve">ЛУЧШИХ РЕГИОНАЛЬНЫХ ПРАКТИК ПОДДЕРЖКИ ВОЛОНТЕРСТВА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задачи, порядок проведения и условия участия в открытом конкурсном отборе на территории Иркутской области в рамках Всероссийского конкурса лучших региональных практик поддержки волонтерства "Регион добрых дел" (далее - Областной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Областной конкурс проводится на территории Иркутской области в рамках подготовки заявки от Иркутской области на участие во Всероссийском конкурсе лучших региональных практик поддержки волонтерства "Регион добрых дел" (далее - Всероссийский конкурс), организатором которого является Федеральное агентство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Организатором Областного конкурса на территории Иркутской области является министерство по молодежной политике Иркутской области (далее соответственно - Организатор,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Оператором Областного конкурса на территории Иркутской области является областное государственное бюджетное учреждение "Центр социальных и информационных услуг для молодежи" (далее - Оператор).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И ЗАДАЧИ ОБЛАСТНОГО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Цель Областного конкурса - создание условий для устойчивого развития добровольческих (волонтерских) инициатив на территории Иркутской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Задачи Областного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деятельности существующих и создание условий для возникновения новых добровольческих (волонтерских) организаций и инициатив, повышение престижа добровольчества (волонтерства) в обществе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увеличение численности граждан, вовлеченных в добровольческую (волонтерскую) деятельность на территории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НАПРАВЛЕНИЯ ПОДДЕРЖКИ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7. Областной конкурс проводится по следующим направлениям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школьное добровольчество (волонтерство) - содействие вовлечению обучающихся общеобразовательных организаций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студенческое добровольчество (волонтерство) -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добровольчество (волонтерство) трудоспособного населения - продвижение добровольчества (волонтерства) среди населения трудоспособного возраста, 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 со стороны компании/организации);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"серебряное" добровольчество (волонтерство) - обеспечение самореализации граждан старшего поколения (в возрасте от 56 лет и старше) через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УЧАСТНИКИ ОБЛАСТНОГО КОНКУРСА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9. В Областном конкурсе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зарегистрированные некоммерческие неправительственные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и муниципальные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зарегистрированные органы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Областном конкурсе не могут принимать участие: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политические партии 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государственной и муниципальной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инициативные группы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ПРОВЕДЕНИЯ ОБЛАСТНОГО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Областной конкурс проводится на территории Иркутской области ежегодно в течение 50 календарных дней со дня представления заявок для участия в Областном конкурсе, указанного в извещении о проведении Областного конкурса (далее - извещение). Извещение размещается на официальном сайте министерства в информационно-телекоммуникационной сети "Интернет" (</w:t>
      </w:r>
      <w:r>
        <w:rPr>
          <w:sz w:val="20"/>
        </w:rPr>
        <w:t xml:space="preserve">mmp38.ru</w:t>
      </w:r>
      <w:r>
        <w:rPr>
          <w:sz w:val="20"/>
        </w:rPr>
        <w:t xml:space="preserve">) (далее - официальный сайт министерства) в срок не менее чем за пять календарных дней до дня начала приема заявок для участия в Областном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Извещение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наименование, место нахождения, почтовый адрес, номера контактных телефонов Организатора и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 Областного конкурса, предусматривающие перечень номинаций и критериев оценки, применяемых при проведении Областного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документов, которые необходимо представить для участия в Областном конкурсе, способ (способы) их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ссылку подачу заявки на Областной конкурс на онлайн-платформе "Битрикс24" в информационно-телекоммуникационной сети "Интернет" (www.bitrix24.ru) (далее - Система);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 порядок представления документов для участия в Областном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и сроки объявления результатов Областного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Заявки представляются заявителем Оператору посредством их размещения в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допуске к участию в Областном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заявки после срока подачи заявок, указанного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подача заявки, не соответствующей требованиям к заявкам, указанным в </w:t>
      </w:r>
      <w:hyperlink w:history="0" w:anchor="P157" w:tooltip="23. Заявка должна содержать:">
        <w:r>
          <w:rPr>
            <w:sz w:val="20"/>
            <w:color w:val="0000ff"/>
          </w:rPr>
          <w:t xml:space="preserve">пунктах 23</w:t>
        </w:r>
      </w:hyperlink>
      <w:r>
        <w:rPr>
          <w:sz w:val="20"/>
        </w:rPr>
        <w:t xml:space="preserve">, </w:t>
      </w:r>
      <w:hyperlink w:history="0" w:anchor="P161" w:tooltip="24. Полный объем заявки, включающий все приложения к настоящему Положению, должен составлять не более 15 страниц, шрифт - Times New Roman, размер шрифта - не менее 14 кегль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(представление не в полном объеме) документов, указанных в </w:t>
      </w:r>
      <w:hyperlink w:history="0" w:anchor="P157" w:tooltip="23. Заявка должна содержать:">
        <w:r>
          <w:rPr>
            <w:sz w:val="20"/>
            <w:color w:val="0000ff"/>
          </w:rPr>
          <w:t xml:space="preserve">пунктах 23</w:t>
        </w:r>
      </w:hyperlink>
      <w:r>
        <w:rPr>
          <w:sz w:val="20"/>
        </w:rPr>
        <w:t xml:space="preserve">, </w:t>
      </w:r>
      <w:hyperlink w:history="0" w:anchor="P163" w:tooltip="25. К заявке в Систему необходимо загрузить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70" w:tooltip="26. Заявителям, не получившим статус юридического лица, но планирующим получение статуса на момент предоставления субсидии, необходимо приложить к заявке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заявителя категории, установленной </w:t>
      </w:r>
      <w:hyperlink w:history="0" w:anchor="P64" w:tooltip="9. В Областном конкурсе могут принимать участи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факта недостоверности представленной заявителем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ЭТАПЫ ПРОВЕДЕНИЯ ОБЛАСТНОГО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Областной конкурс проводится в пять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в течение 15 календарных дней со дня представления заявок для участия в Областном конкурсе, указанного в извещении - подача заявок на Областной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в течение пяти календарных дней со дня окончания приема заявок - первичное рассмотрение Оператором поступивших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в течение 10 календарных дней со дня окончания первичного рассмотрения Оператором поступивших заявок - этап оценки заявок экспертной комиссией Областного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в течение 10 календарных дней со дня окончания этапа оценки заявок экспертной комиссией Областного конкурса - подведение итогов Областного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в течение 10 календарных дней со дня подведения итогов Областного конкурса - объявление Оператором победителей Областного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УСЛОВИЯ ФИНАНСИРОВАНИЯ ОБЛАСТНОГО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Проекты победителей Областного конкурса будут включены в заявку Правительства Иркутской области для участия во Всероссийском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победы заявки во Всероссийском конкурсе проекты победителей Областного конкурса получат субсидию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Минимальный размер финансирования проекта победителей Областного конкурса - 10 000,00 рубля.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Максимальный размер финансирования проекта победителей Областного конкурса - 500 000,00 рубля.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расходов,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коммунальных отходов и иных), за исключением арендных платежей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расходов на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расходов на осуществление капитального ремонта уже имеющихся зданий и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расходов на приобретение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расходов на 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расходов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расходов на оплату труда сотрудников государственных и муниципальных органов власти, а также организаций, оплата труда которых определена выполняемым государственным заданием;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командировочных расходов сотрудников организации, реализующих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представительских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расходов на предоставление премий, благотворительные пожертвования в денежной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расходов на приобретение призов, подарков стоимостью более 4 000 (четырех тысяч)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оплата организационных взносов за участие в различных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расходов на приобретение продуктов питания с целью их раздачи в виде материальной (благотворительной)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непредвиденных расходов, а также недетализированных "прочих расходов";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финансирование текущей деятельности отдельных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Допускается внесение в смету проекта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закупки в целях материально-технического обеспечения, необходимого для реализации проекта,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косметический ремонт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компьютеров, многофункциональных устройств, камер, фотоаппаратов, принтеров, сканеров и другого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ремонт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товары и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специализированного оборудования, связанного с реализацией проекта, направленного на развитие отдельных направлений добровольческой (волонтерской) деятельности (добровольчество (волонтерство) в сфере здравоохранения, предупреждения чрезвычайных ситуаций и ликвидации последствий стихийных бедствий, поиска пропавших людей, благоустройства территорий и формирования комфортной городской среды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труда штатных сотрудников, за исключением случаев, указанных в </w:t>
      </w:r>
      <w:hyperlink w:history="0" w:anchor="P107" w:tooltip="18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организацию и проведение мероприятий и образовательных программ проекта,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услуг по организации и проведению мероприятий, услуг по подготовке образовательных программ и сценарных планов;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проезд к месту проведения мероприятий и в обратном направлении, проживание и питание участников мероприятий, а также, если такие расходы не предусмотрены статьей "Командировочные расходы" (софинансируемые из регионального бюджета), участников деятельности по подготовке и проведению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приглашенных экспертов и спикеров мероприятия (включая оплату транспортных расходов, гонорар, питание и проживание);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привлеченных специалистов (фотографы, видеооператоры, дизайнеры, приглашенные артисты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различных исследований, касающихся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рекламной и информационной кампании,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разработкой и изготовлением методических рекомендаций, сборников, брошюр, афиш и других информационных материалов, не имеющих федеральных аналогов;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брендирование и размещение рекламы на различных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поддержание сайтов, изготовление и распространение фото, видео-, аудиоматериалов о добровольческой (волонтерской) деятельности в средствах массовой информации и социальных сетях, а также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расходы, связанные с оказанием услуг страхования жизни и здоровья участников проекта, возникающие в связи с реализацией участниками проекта действий и мероприятий, в рамках которых существуют риски наступления страхового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расходы, необходимые для реализации проекта, за исключением расходов, указанных в </w:t>
      </w:r>
      <w:hyperlink w:history="0" w:anchor="P107" w:tooltip="18. Не допускается внесение в смету проекта следующих расходов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ПОРЯДОК ПОДАЧИ И ОБЩИЕ ТРЕБОВАНИЯ К ЗАЯВКАМ</w:t>
      </w:r>
    </w:p>
    <w:p>
      <w:pPr>
        <w:pStyle w:val="2"/>
        <w:jc w:val="center"/>
      </w:pPr>
      <w:r>
        <w:rPr>
          <w:sz w:val="20"/>
        </w:rPr>
        <w:t xml:space="preserve">ДЛЯ УЧАСТИЯ В ОБЛАСТНОМ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Для участия в Областном конкурсе подается заявка, оформленная в виде проекта. Под проектом в целях настоящего Положения понимается комплекс взаимосвязанных мероприятий, направленных на развитие добровольческой (волонтерской) деятельности и достижение конкретных общественно полезных результатов в рамках определенного срока и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Каждый участник Областного конкурса может представить на рассмотрение не более трех заявок по разным направлениям поддержки Областного конкурса, указанным в </w:t>
      </w:r>
      <w:hyperlink w:history="0" w:anchor="P55" w:tooltip="7. Областной конкурс проводится по следующим направлениям поддержки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Положения. Реализация проектов должна осуществляться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Руководителем проекта не может являться работник органов государственной власти Иркутской области и органов местного самоуправления муниципальных образований Иркутской области.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Заявка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3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Областной конкурс, составленную в формате png.* или jpg.*, по форме, установленной приложением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73" w:tooltip="ПАСПОРТ">
        <w:r>
          <w:rPr>
            <w:sz w:val="20"/>
            <w:color w:val="0000ff"/>
          </w:rPr>
          <w:t xml:space="preserve">паспорт</w:t>
        </w:r>
      </w:hyperlink>
      <w:r>
        <w:rPr>
          <w:sz w:val="20"/>
        </w:rPr>
        <w:t xml:space="preserve"> проекта в формате png.* или jpg.*, включая план мероприятий по реализации проекта в формате doc.* или docx.*, составленный по форме, установленной приложением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483" w:tooltip="СМЕТА ПРОЕК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проекта в формате png.* или jpg.*, составленную по форме, установленной приложением 3 к настоящему Положению.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Полный объем </w:t>
      </w:r>
      <w:hyperlink w:history="0" w:anchor="P234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, включающий все приложения к настоящему Положению, должен составлять не более 15 страниц, шрифт - Times New Roman, размер шрифта - не менее 14 кегль.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приложения к заявке в редактируемом формате также направляются на почту: dobro@mmp38.ru.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 заявке в Систему необходимо загрузить: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копию свидетельства о регистрации организации-заявителя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организацией-заявителем);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письма поддержки, рекомендательные письма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другие документы, подтверждающие опыт организации-заявителя, исполнителей или значимость проекта (при наличии).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Заявителям,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соглашение (протокол) о создании инициативной группы и намерении получить статус юридического лица до 1 января года, следующего за годом проведения Областного конкурса, а также о принятии решения об участии в Областном конкурсе. В протоколе указывается Ф.И.О. руководителя инициативной группы, который ставит свою подпись в заявке на Областном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удостоверяющего личность руководителя инициативной группы (паспорт);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коллективное заявление о партнерстве,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 - юридическим лицом);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письма поддержки, рекомендательные письма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другие документы, подтверждающие опыт исполнителей или значимость проекта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Оператор Областного конкурса оставляет за собой право затребовать у заявителя заявки дополнительные документы в случае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Расходы, связанные с подготовкой и представлением заявок, несут участники Областного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Документы, представленные на Областной конкурс, не рецензируются 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Оператор регистрирует заявку в журнале учета заявок на участие в Областном конкурсе в день ее поступления и проводит оценку ее соответствия требованиям Областного конкурса в течение пяти календарных дней со дня окончания приема заявок. По результатам рассмотрения заявок заявители, заявки которых не прошли отбор Областного конкурса, получают письменное уведомление на электронную почту в течение семи календарных дней со дня проведения оценок заявок Оператором.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ПОРЯДОК РАССМОТРЕНИЯ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Все заявки, поступившие на Областной конкурс, оцениваются экспертами в очном и заочном форматах. В качестве экспертов привлекаются представители некоммерческих организаций, органов государственной власти, бизнеса и СМИ, имеющие опыт в сфере социального проектирования (далее - экспертная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Представители некоммерческих организаций, подавших заявку на участие в Областном конкурсе, к участию в экспертизе не допускаются. Члены экспертной комиссии подписывают заявление об отсутствии конфликта интересов. Конфликт интересов возникает в том случае, если независимый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состав экспертной комиссии входят представители органов государственной власти и органов местного самоуправления,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имеющих свои программы по поддержке добровольчества (волонтерства) или желающие поддерживать проекты, направленные на развитие добровольчества (волонтерства); представители СМИ, заинтересованные в освещении добровольческой (волонтерской) деятельности на территории Иркутской области. В состав экспертной комиссии также могут входить эксперты, проводившие оценку заявок. Состав экспертной комиссии утверждается правовым актом Организатора в течение 10 календарных дней со дня начала Областного конкурса. В состав экспертной комиссии входит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Оператор в течение 10 календарных дней со дня окончания первичного рассмотрения Оператором поступивших заявок направляет заявки, соответствующие требованиям Областного конкурса, экспертам в электронном виде. На основании оценок, полученных от экспертов, составляется рейтинг проектов, который представляется на рассмотрение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Члены экспертной комиссии знакомятся с результатами экспертной оценки проектов, поступивших на Областной конкурс, и принимают решение на очной защите проектов на заседании экспертной комиссии. Заседание экспертной комиссии считается правомочным, если на нем присутствуют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Члены экспертной комиссии имеют право рекомендовать участнику Областного конкурса внести изменения в план реализации проекта и бюджет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 рассматриваемым проектам экспертная комиссия дает одну из следующих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включить проект в заявку на Всероссийский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предложить включение проекта в заявку на Всероссийский конкурс с учетом изменений, рекомендованных экспертной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рекомендовать включение проекта в заявку на Всероссийский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 экспертной комиссии принимаются большинством голосов и оформляются протоколом в течение пяти календарных дней со дня заседания экспертной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КРИТЕРИИ ОЦЕНКИ ЗАЯВОК ОБЛАСТНОГО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При оценке заявок экспертная комиссия руководствуется следующими </w:t>
      </w:r>
      <w:hyperlink w:history="0" w:anchor="P574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, указанными в приложении 4 к настоящему Положению: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описанной проблемной ситуации, социальная значимость практики и обоснованность предлагаемых решений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системность подхода, целесообразность, логическая последовательность деятельности и ее нацеленность на достижение поставленных целей и задач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системы в сфере добровольчества (волонтерства) при реализации проекта, представленного в заявке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реалистичность бюджета проекта и обоснованность планируемых расходов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соответствие опыта организаций и компетенций членов команды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масштаб развития проекта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инновационность, уникальность мероприятий, механизмов и подходов, используемых в представленной заявке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дополнительные ресурсы, в том числе финансовые, организационные и нематериальные, привлекаемые на реализацию проекта (0 - 5 баллов): в представленных документах отсутствует информация, позволяющая оценить соответствие критерию, - ноль баллов, в представленных документах содержится обобщенная информация, без дополнительной детализации, позволяющей оценить соответствие критерию, - от одного до трех баллов, в представленных документах содержится полный объем информации, позволяющей оценить соответствие критерию, с дополнительными описаниями и подтверждающими документами, - от четырех до пяти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11. ПОДВЕДЕНИЕ ИТОГОВ ОБЛАСТНОГО КОНКУРСА И РЕАЛИЗАЦИЯ</w:t>
      </w:r>
    </w:p>
    <w:p>
      <w:pPr>
        <w:pStyle w:val="2"/>
        <w:jc w:val="center"/>
      </w:pPr>
      <w:r>
        <w:rPr>
          <w:sz w:val="20"/>
        </w:rPr>
        <w:t xml:space="preserve">ПРОЕКТОВ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По результатам заседания экспертной комиссии участники Областного конкурса получают письменное уведомление на электронную почту о принятом решении в течение семи календарных дней со дня подведения итогов Областного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Организатор оставляет за собой право выбрать любое число победителей Областного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Итоги Областного конкурса публикуются на официальном сайте министерства в течение семи календарных дней со дня подведения итогов Областного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Проекты победителей Областного конкурса включаются в заявку Правительства Иркутской области для участия во Всероссийском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получения Иркутской областью субсидии на реализацию практик поддержки добровольчества (волонтерства) в субъектах Российской Федерации по итогам Всероссийского конкурса с организациями-победителями Областного конкурса будут заключены соглашения не позднее чем за 30 календарных дней до начала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ходе реализации проекта Организаторы и представители Оператора имеют право контролировать работу по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Ежеквартально победители Областного конкурса должны предоставлять план реализации проекта на следующий квартал по установленной Оператором форме, а также размещать информацию о реализации проекта в социальных сетях в информационно-телекоммуникационной сети "Интернет" с упоминанием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Ежеквартально победители Областного конкурса должны предоставлять Оператору краткий отчет с фото- и видеоматериалами о проведенных мероприятиях в течение отчетного квартала.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По окончании реализации проектов победителю Областного конкурса необходимо предоставить Оператору в течение двух недель содержательный и финансовый отчеты за весь период осуществления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Иркутской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волонтерства 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234" w:name="P234"/>
    <w:bookmarkEnd w:id="23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открытом конкурсном отборе на территории</w:t>
      </w:r>
    </w:p>
    <w:p>
      <w:pPr>
        <w:pStyle w:val="0"/>
        <w:jc w:val="center"/>
      </w:pPr>
      <w:r>
        <w:rPr>
          <w:sz w:val="20"/>
        </w:rPr>
        <w:t xml:space="preserve">Иркутской области в рамках Всероссийского конкурса лучших</w:t>
      </w:r>
    </w:p>
    <w:p>
      <w:pPr>
        <w:pStyle w:val="0"/>
        <w:jc w:val="center"/>
      </w:pPr>
      <w:r>
        <w:rPr>
          <w:sz w:val="20"/>
        </w:rPr>
        <w:t xml:space="preserve">региональных практик поддержки волонтерства</w:t>
      </w:r>
    </w:p>
    <w:p>
      <w:pPr>
        <w:pStyle w:val="0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Общая информация о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76"/>
        <w:gridCol w:w="3628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и должность руководителя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руководителя проекта (с указанием кода города)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Мобильный телефон руководителя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адрес руководителя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софинансирования проекта, рублей (указать значение до двух знаков после запятой)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стоимость проекта, рублей (указать значение до двух знаков после запятой)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Информация об организации-заявителе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76"/>
        <w:gridCol w:w="3628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форма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регистрации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Фактический адрес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организации-заявителя (с указанием кода города)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адрес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сайта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руководителя организации-заявителя (с указанием кода города)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Мобильный телефон руководителя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адрес руководителя организации-заявителя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ответственного за финансово-экономический блок проекта (с указанием кода города) (финансист/бухгалтер организации-заявителя)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Мобильный телефон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Электронный адрес ответственного за финансово-экономический блок проекта (финансист/бухгалтер организации-заявителя)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вышестоящей организации (если имеется)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организовать рассмотрение настоящей заявки в рамках проведения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дел". С условиями и требованиями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 ознакомлен и согласен. Достоверность представленной в составе заявки информации гарантирую.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к заявке: на ____ л. в 1 экз.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1871"/>
        <w:gridCol w:w="344"/>
        <w:gridCol w:w="2608"/>
      </w:tblGrid>
      <w:tr>
        <w:tblPrEx>
          <w:tblBorders>
            <w:insideH w:val="single" w:sz="4"/>
          </w:tblBorders>
        </w:tblPrEx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организации-заявителя: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 проекта: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______________ 20__ 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Иркутской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волонтерства 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0"/>
        <w:jc w:val="center"/>
      </w:pPr>
      <w:r>
        <w:rPr>
          <w:sz w:val="20"/>
        </w:rPr>
        <w:t xml:space="preserve">ПАСПОРТ</w:t>
      </w:r>
    </w:p>
    <w:p>
      <w:pPr>
        <w:pStyle w:val="0"/>
        <w:jc w:val="center"/>
      </w:pPr>
      <w:r>
        <w:rPr>
          <w:sz w:val="20"/>
        </w:rPr>
        <w:t xml:space="preserve">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Краткая текстовая презентация проекта, дающая целостное представление о сути проекта и отражающая основную идею проекта, цель, содержание и наиболее значимые ожидаемые результаты (заполняются по 2 - 5 предложений). Текст краткого описания проекта-победителя открытого конкурсного отбора на территории Иркутской области будет использован для публикации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Описание проекта поддержки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726"/>
      </w:tblGrid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Приоритетное направление конкурса, которым соответствует проект (указать только один пункт)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школьное добровольчество (волонтерство);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студенческое добровольчество (волонтерство);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добровольчество (волонтерство) трудоспособного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"серебряное" добровольчество (волонтерство)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Допускается до 10 предложений, кратко описывающих содержание проекта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проблемы, на решение которой направлен проект, обоснование актуальности и социальной значимость проекта и предлагаемых решений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Основная целевая группа и ее количественный состав (на кого направлен проект, сколько человек)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Указать только те категории организаций и людей, с которыми будет проводиться работа в рамках проекта. Если целевых групп несколько - необходимо описать каждую из них. Коротко описать целевую группу: ее состав и количество представителей на конкретной территории реализации проекта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(что именно будет сделано в рамках реализации проекта)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приобретается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поэтапного механизма реализации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Укажите всю последовательность мероприятий, которые вы хотите осуществить в ходе реализации проекта, с логической взаимосвязью каждого шага. Объясните, почему выбран именно такой набор мероприятий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количественные и качественные результаты от реализации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Указать следующие количественные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(волонтеров), участвующих в реализации проекта. Из них - количество добровольцев (волонтеров), относящихся к категории: школьники, студенты, трудоспособное население, "серебряные" добровольцы (волонтеры);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благополучателей, получивших добровольческую (волонтерскую) поддержку;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добровольческих (волонтерских) инициатив;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(волонтеров), прошедших образовательные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партнеров, привлеченных к реализации добровольческих (волонтерских) инициатив;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социальных сетях о добровольческих (волонтерских) инициативах и их результатах;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СМИ о добровольческих (волонтерских) инициативах и их результатах;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Качественные изменения - это те изменения, которые произойдут в жизни благополучателей/целевой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 Указать способы подтверждения достижения качественных результатов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Долгосрочные результаты реализации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Это те отсроченные долгосрочные количественные и качественные изменения, которые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Дальнейшее развитие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Если проект планируется продолжать, описать, что будет сделано для развития проекта и за счет каких средств. Если запрашивается финансовая помощь на приобретение какого-либо оборудования, описать, как оно будет использоваться в дальнейшем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Материально-технические ресурсы, привлекаемые для успешной реализации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Описать финансовые, материально-технические, нематериальные и организационные ресурсы организации, которые могут быть привлечены к реализации проекта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запрашиваемых средств. рублей (указать значение до двух знаков после запятой) и основные направления расходования средств субсидии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софинансирования, рублей (указать значение до двух знаков после запятой)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организации - ключевого исполнителя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Описать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(волонтерства), указать, когда, в какой сумме выделялись средства, что было сделано и с каким результатом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команды, реализующей проект, опыт и компетенции членов команды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Указать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Ключевые партнеры реализации проекта и их роль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Указать,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Также указать опыт организаций - партнеров проекта, подтверждающий способность успешно реализовать поставленные задачи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проекте его участников и в целом местного сообщества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"Интернет" для информирования местного сообщества о ходе реализации проекта и его результатах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Видеопаспорт проекта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- видеокамеры, мобильного устройства - и не имеет ограничений по техническим требованиям, за исключением требования к общему времени ролика (не более 3-х минут). Видеопаспорт размещается на любом ресурсе - сайте, Youtube, открытой странице в социальной сети, на дисковом хранилище (указывается ссылка на ресурс, где размещен видеопаспорт).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вашего региона и для вашей целевой группы, что именно планируется сделать и чем это отличается от того, что делают другие организации или уже сделано; показать материальные ресурсы организации, необходимые для реализации проекта -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План мероприятий по реализации проекта поддержки</w:t>
      </w:r>
    </w:p>
    <w:p>
      <w:pPr>
        <w:pStyle w:val="0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44"/>
        <w:gridCol w:w="2041"/>
        <w:gridCol w:w="1644"/>
        <w:gridCol w:w="164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 (наименование населенного пункта или полный адрес при наличии)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Организаторы и партнеры мероприятия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Иркутской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волонтерства 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483" w:name="P483"/>
    <w:bookmarkEnd w:id="483"/>
    <w:p>
      <w:pPr>
        <w:pStyle w:val="0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21"/>
        <w:gridCol w:w="1339"/>
        <w:gridCol w:w="1361"/>
        <w:gridCol w:w="1531"/>
        <w:gridCol w:w="1549"/>
      </w:tblGrid>
      <w:tr>
        <w:tc>
          <w:tcPr>
            <w:gridSpan w:val="6"/>
            <w:tcW w:w="906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объеме бюджетных ассигнований, необходимых для реализации проекта "..." </w:t>
            </w:r>
            <w:hyperlink w:history="0" w:anchor="P553" w:tooltip="&lt;*&gt; Сведения об объеме бюджетных ассигнований, необходимых для реализации Заявки предоставляются единой сметой всей Заявки на одном лист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рублей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8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Материально-техническое обеспечение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Моноблок (для коворкинг-офиса РЦ)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59 000,00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8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Административные расходы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Оплата труда руководителя проекта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4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8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привлеченных специалистов для организации семинаров (20 семинаров, по 6 часов, 120 часов)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1 271,00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152 520,00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образовательных программ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питания и проживания участников и организаторов выездных интенсивов (4 интенсива по 2 суток, на 500 человек: 200, 100, 50, 150 человек)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1 600,00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Иное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Футболка с фирменным нанесением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разделу: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98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ПРОЕКТУ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2 197 520,00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53" w:name="P553"/>
    <w:bookmarkEnd w:id="5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Сведения об объеме бюджетных ассигнований, необходимых для реализации Заявки предоставляются единой сметой всей Заявки на одном листе.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административные расходы (оплата труда штатных сотрудников за исключением случаев, указанных в п. 6.6 Положения о проведении Всероссийского Конкурса лучших региональных практик волонтерства "Регион добрых дел");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Просим обратить особое внимание на обоснованность включения в смету расходов на заработные платы сотрудников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 открытого</w:t>
      </w:r>
    </w:p>
    <w:p>
      <w:pPr>
        <w:pStyle w:val="0"/>
        <w:jc w:val="right"/>
      </w:pPr>
      <w:r>
        <w:rPr>
          <w:sz w:val="20"/>
        </w:rPr>
        <w:t xml:space="preserve">конкурсного отбора на территории</w:t>
      </w:r>
    </w:p>
    <w:p>
      <w:pPr>
        <w:pStyle w:val="0"/>
        <w:jc w:val="right"/>
      </w:pPr>
      <w:r>
        <w:rPr>
          <w:sz w:val="20"/>
        </w:rPr>
        <w:t xml:space="preserve">Иркутской области в рамках</w:t>
      </w:r>
    </w:p>
    <w:p>
      <w:pPr>
        <w:pStyle w:val="0"/>
        <w:jc w:val="right"/>
      </w:pPr>
      <w:r>
        <w:rPr>
          <w:sz w:val="20"/>
        </w:rPr>
        <w:t xml:space="preserve">Всероссийского конкурса лучших</w:t>
      </w:r>
    </w:p>
    <w:p>
      <w:pPr>
        <w:pStyle w:val="0"/>
        <w:jc w:val="right"/>
      </w:pPr>
      <w:r>
        <w:rPr>
          <w:sz w:val="20"/>
        </w:rPr>
        <w:t xml:space="preserve">региональных практик поддержки</w:t>
      </w:r>
    </w:p>
    <w:p>
      <w:pPr>
        <w:pStyle w:val="0"/>
        <w:jc w:val="right"/>
      </w:pPr>
      <w:r>
        <w:rPr>
          <w:sz w:val="20"/>
        </w:rPr>
        <w:t xml:space="preserve">волонтерства "Регион добрых дел"</w:t>
      </w:r>
    </w:p>
    <w:p>
      <w:pPr>
        <w:pStyle w:val="0"/>
        <w:jc w:val="both"/>
      </w:pPr>
      <w:r>
        <w:rPr>
          <w:sz w:val="20"/>
        </w:rPr>
      </w:r>
    </w:p>
    <w:bookmarkStart w:id="574" w:name="P574"/>
    <w:bookmarkEnd w:id="574"/>
    <w:p>
      <w:pPr>
        <w:pStyle w:val="0"/>
        <w:jc w:val="center"/>
      </w:pPr>
      <w:r>
        <w:rPr>
          <w:sz w:val="20"/>
        </w:rPr>
        <w:t xml:space="preserve">КРИТЕРИИ</w:t>
      </w:r>
    </w:p>
    <w:p>
      <w:pPr>
        <w:pStyle w:val="0"/>
        <w:jc w:val="center"/>
      </w:pPr>
      <w:r>
        <w:rPr>
          <w:sz w:val="20"/>
        </w:rPr>
        <w:t xml:space="preserve">ОЦЕНКИ ПРОЕКТОВ В РАМКАХ РЕГИОНАЛЬНОГО ЭТАПА ВСЕРОССИЙСКОГО</w:t>
      </w:r>
    </w:p>
    <w:p>
      <w:pPr>
        <w:pStyle w:val="0"/>
        <w:jc w:val="center"/>
      </w:pPr>
      <w:r>
        <w:rPr>
          <w:sz w:val="20"/>
        </w:rPr>
        <w:t xml:space="preserve">КОНКУРСА ЛУЧШИХ РЕГИОНАЛЬНЫХ ПРАКТИК ПОДДЕРЖКИ ВОЛОНТЕРСТВА</w:t>
      </w:r>
    </w:p>
    <w:p>
      <w:pPr>
        <w:pStyle w:val="0"/>
        <w:jc w:val="center"/>
      </w:pPr>
      <w:r>
        <w:rPr>
          <w:sz w:val="20"/>
        </w:rPr>
        <w:t xml:space="preserve">"РЕГИОН ДОБРЫХ ДЕЛ"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350"/>
        <w:gridCol w:w="221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оценивания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 (максимальный балл - 5 баллов)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описанной проблемной ситуации, социальная значимость проекта и обоснованность предлагаемых решений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системность подхода, целесообразность, логическая последовательность деятельности и ее нацеленность на достижение поставленных целей и задач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проектом развития добровольческой (волонтерской) активности граждан, вовлечения в добровольческую (волонтерскую) деятельность и повышение устойчивости добровольческой (волонтерской) деятельности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системы в сфере добровольчества (волонтерства) при реализации проекта, представленного в заявке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опыта организаций и компетенций членов команды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масштаб развития проекта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инновационность, уникальность мероприятий, механизмов и подходов, используемых в представленной заявке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 масштабность стратегии продвижения практики (в средствах массовой информации, социальных сетях, рекламная кампания и др.) и маркетинговой стратегии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35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ресурсы, в том числе финансовые, организационные и нематериальные, привлекаемые на реализацию проекта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молодежной политике Иркутской области от 19.04.2023 N 63-13-мпр</w:t>
            <w:br/>
            <w:t>"Об утверждении Положения о прове...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EE623845687918A555617EDE90E1766E20C8D5DC378CC6194330CBCD447A008BCAAF56352A859865EDAE354308997769BB1ACD4DAC1BA907C143D6tDfBG" TargetMode = "External"/>
	<Relationship Id="rId8" Type="http://schemas.openxmlformats.org/officeDocument/2006/relationships/hyperlink" Target="consultantplus://offline/ref=A0EE623845687918A555617EDE90E1766E20C8D5DC3783C71C4630CBCD447A008BCAAF56352A859865EDAF334508997769BB1ACD4DAC1BA907C143D6tDf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молодежной политике Иркутской области от 19.04.2023 N 63-13-мпр
"Об утверждении Положения о проведении открытого конкурсного отбора на территории Иркутской области в рамках Всероссийского конкурса лучших региональных практик поддержки волонтерства "Регион добрых дел"</dc:title>
  <dcterms:created xsi:type="dcterms:W3CDTF">2023-06-24T06:31:45Z</dcterms:created>
</cp:coreProperties>
</file>