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17.05.2022 N 359</w:t>
              <w:br/>
              <w:t xml:space="preserve">(ред. от 26.05.2023)</w:t>
              <w:br/>
              <w:t xml:space="preserve">"Об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участию в профилактике и (или) тушении пожаров и проведении аварийно-спасательных работ"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мая 2022 г. N 359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ПО УЧАСТИЮ В ПРОФИЛАКТИКЕ И (ИЛИ) ТУШЕНИИ ПОЖАРОВ</w:t>
      </w:r>
    </w:p>
    <w:p>
      <w:pPr>
        <w:pStyle w:val="2"/>
        <w:jc w:val="center"/>
      </w:pPr>
      <w:r>
        <w:rPr>
          <w:sz w:val="20"/>
        </w:rPr>
        <w:t xml:space="preserve">И ПРОВЕДЕНИИ АВАРИЙНО-СПАСАТЕЛЬНЫХ 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17.05.2022 </w:t>
            </w:r>
            <w:hyperlink w:history="0" w:anchor="P21" w:tooltip="3. Установить, что подпункт 2.3.1 пункта 2.3, подпункты 2.5.4, 2.5.5 пункта 2.5, подпункты 2.12.4, 2.12.5 пункта 2.12, подпункты 2.13.4, 2.13.5 пункта 2.13, пункт 4.3 (в части принятия министерством труда и социальной защиты Калужской области решения о внесении изменений в соглашение в части продления сроков достижения значений результатов предоставления субсидии) Положения действуют до 1 января 2023 года.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 от 26.05.2023 </w:t>
            </w:r>
            <w:hyperlink w:history="0" r:id="rId7" w:tooltip="Постановление Правительства Калужской области от 26.05.2023 N 339 &quot;О внесении изменений в постановление Правительства Калужской области от 17.05.2022 N 359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участию в профилактике и (или) тушении пожаров и проведении аварийно-спасательных работ&quot; {КонсультантПлюс}">
              <w:r>
                <w:rPr>
                  <w:sz w:val="20"/>
                  <w:color w:val="0000ff"/>
                </w:rPr>
                <w:t xml:space="preserve">N 339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</w:t>
      </w:r>
      <w:hyperlink w:history="0" r:id="rId11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</w:t>
      </w:r>
      <w:hyperlink w:history="0" r:id="rId12" w:tooltip="Постановление Правительства Калужской области от 31.01.2019 N 46 (ред. от 17.04.2023) &quot;Об утверждении государственной программы Калужской области &quot;Социальная поддержка граждан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31.01.2019 N 46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13.06.2019 N 361, от 02.10.2019 N 622, от 26.12.2019 N 856, от 10.03.2020 N 157, от 13.03.2020 N 187, от 10.07.2020 N 530, от 10.08.2020 N 612, от 09.11.2020 N 846, от 24.02.2021 N 85, от 29.04.2021 N 287, от 31.05.2021 N 345, от 15.07.2021 N 458, от 20.12.2021 N 904, от 01.03.2022 N 140, от 15.03.2022 N 185, от 23.06.2022 N 460, от 28.06.2022 N 482, от 17.08.2022 N 608, от 18.10.2022 N 795, от 07.03.2023 N 137, от 17.04.2023 N 272)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3" w:tooltip="Постановление Правительства Калужской области от 26.05.2023 N 339 &quot;О внесении изменений в постановление Правительства Калужской области от 17.05.2022 N 359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участию в профилактике и (или) тушении пожаров и проведении аварийно-спасательных рабо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26.05.2023 N 339)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определения объема и предоставления субсидий социально ориентированным некоммерческим организациям, осуществляющим деятельность по участию в профилактике и (или) тушении пожаров и проведении аварийно-спасательных работ, согласно приложению к настоящему Постановлению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опубликования, за исключением </w:t>
      </w:r>
      <w:hyperlink w:history="0" w:anchor="P35" w:tooltip="ПОЛОЖЕНИЕ">
        <w:r>
          <w:rPr>
            <w:sz w:val="20"/>
            <w:color w:val="0000ff"/>
          </w:rPr>
          <w:t xml:space="preserve">пункта 4.4</w:t>
        </w:r>
      </w:hyperlink>
      <w:r>
        <w:rPr>
          <w:sz w:val="20"/>
        </w:rPr>
        <w:t xml:space="preserve"> Положения, который вступает в силу с 1 января 2023 года.</w:t>
      </w:r>
    </w:p>
    <w:bookmarkStart w:id="21" w:name="P21"/>
    <w:bookmarkEnd w:id="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</w:t>
      </w:r>
      <w:hyperlink w:history="0" w:anchor="P35" w:tooltip="ПОЛОЖЕНИЕ">
        <w:r>
          <w:rPr>
            <w:sz w:val="20"/>
            <w:color w:val="0000ff"/>
          </w:rPr>
          <w:t xml:space="preserve">подпункт 2.3.1 пункта 2.3</w:t>
        </w:r>
      </w:hyperlink>
      <w:r>
        <w:rPr>
          <w:sz w:val="20"/>
        </w:rPr>
        <w:t xml:space="preserve">, </w:t>
      </w:r>
      <w:hyperlink w:history="0" w:anchor="P35" w:tooltip="ПОЛОЖЕНИЕ">
        <w:r>
          <w:rPr>
            <w:sz w:val="20"/>
            <w:color w:val="0000ff"/>
          </w:rPr>
          <w:t xml:space="preserve">подпункты 2.5.4</w:t>
        </w:r>
      </w:hyperlink>
      <w:r>
        <w:rPr>
          <w:sz w:val="20"/>
        </w:rPr>
        <w:t xml:space="preserve">, </w:t>
      </w:r>
      <w:hyperlink w:history="0" w:anchor="P35" w:tooltip="ПОЛОЖЕНИЕ">
        <w:r>
          <w:rPr>
            <w:sz w:val="20"/>
            <w:color w:val="0000ff"/>
          </w:rPr>
          <w:t xml:space="preserve">2.5.5 пункта 2.5</w:t>
        </w:r>
      </w:hyperlink>
      <w:r>
        <w:rPr>
          <w:sz w:val="20"/>
        </w:rPr>
        <w:t xml:space="preserve">, </w:t>
      </w:r>
      <w:hyperlink w:history="0" w:anchor="P35" w:tooltip="ПОЛОЖЕНИЕ">
        <w:r>
          <w:rPr>
            <w:sz w:val="20"/>
            <w:color w:val="0000ff"/>
          </w:rPr>
          <w:t xml:space="preserve">подпункты 2.12.4</w:t>
        </w:r>
      </w:hyperlink>
      <w:r>
        <w:rPr>
          <w:sz w:val="20"/>
        </w:rPr>
        <w:t xml:space="preserve">, </w:t>
      </w:r>
      <w:hyperlink w:history="0" w:anchor="P35" w:tooltip="ПОЛОЖЕНИЕ">
        <w:r>
          <w:rPr>
            <w:sz w:val="20"/>
            <w:color w:val="0000ff"/>
          </w:rPr>
          <w:t xml:space="preserve">2.12.5 пункта 2.12</w:t>
        </w:r>
      </w:hyperlink>
      <w:r>
        <w:rPr>
          <w:sz w:val="20"/>
        </w:rPr>
        <w:t xml:space="preserve">, </w:t>
      </w:r>
      <w:hyperlink w:history="0" w:anchor="P35" w:tooltip="ПОЛОЖЕНИЕ">
        <w:r>
          <w:rPr>
            <w:sz w:val="20"/>
            <w:color w:val="0000ff"/>
          </w:rPr>
          <w:t xml:space="preserve">подпункты 2.13.4</w:t>
        </w:r>
      </w:hyperlink>
      <w:r>
        <w:rPr>
          <w:sz w:val="20"/>
        </w:rPr>
        <w:t xml:space="preserve">, </w:t>
      </w:r>
      <w:hyperlink w:history="0" w:anchor="P35" w:tooltip="ПОЛОЖЕНИЕ">
        <w:r>
          <w:rPr>
            <w:sz w:val="20"/>
            <w:color w:val="0000ff"/>
          </w:rPr>
          <w:t xml:space="preserve">2.13.5 пункта 2.13</w:t>
        </w:r>
      </w:hyperlink>
      <w:r>
        <w:rPr>
          <w:sz w:val="20"/>
        </w:rPr>
        <w:t xml:space="preserve">, </w:t>
      </w:r>
      <w:hyperlink w:history="0" w:anchor="P35" w:tooltip="ПОЛОЖЕНИЕ">
        <w:r>
          <w:rPr>
            <w:sz w:val="20"/>
            <w:color w:val="0000ff"/>
          </w:rPr>
          <w:t xml:space="preserve">пункт 4.3</w:t>
        </w:r>
      </w:hyperlink>
      <w:r>
        <w:rPr>
          <w:sz w:val="20"/>
        </w:rPr>
        <w:t xml:space="preserve"> (в части принятия министерством труда и социальной защиты Калужской области решения о внесении изменений в соглашение в части продления сроков достижения значений результатов предоставления субсидии) Положения действуют до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В.В.Шапша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17 мая 2022 г. N 359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ПО УЧАСТИЮ В ПРОФИЛАКТИКЕ</w:t>
      </w:r>
    </w:p>
    <w:p>
      <w:pPr>
        <w:pStyle w:val="2"/>
        <w:jc w:val="center"/>
      </w:pPr>
      <w:r>
        <w:rPr>
          <w:sz w:val="20"/>
        </w:rPr>
        <w:t xml:space="preserve">И (ИЛИ) ТУШЕНИИ ПОЖАРОВ И ПРОВЕДЕНИИ АВАРИЙНО-СПАСАТЕЛЬНЫХ</w:t>
      </w:r>
    </w:p>
    <w:p>
      <w:pPr>
        <w:pStyle w:val="2"/>
        <w:jc w:val="center"/>
      </w:pPr>
      <w:r>
        <w:rPr>
          <w:sz w:val="20"/>
        </w:rPr>
        <w:t xml:space="preserve">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Калужской области от 26.05.2023 N 339 &quot;О внесении изменений в постановление Правительства Калужской области от 17.05.2022 N 359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участию в профилактике и (или) тушении пожаров и проведении аварийно-спасательных рабо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26.05.2023 N 339)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условия и порядок предоставления субсидий социально ориентированным некоммерческим организациям, осуществляющим деятельность по участию в профилактике и (или) тушении пожаров и проведении аварийно-спасательных работ (далее - субсидии), а также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Под социально ориентированными некоммерческими организациями понимаются организации, указанные в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подпункте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по участию в профилактике и (или) тушении пожаров и проведении аварийно-спасательных работ, указанных в </w:t>
      </w:r>
      <w:hyperlink w:history="0" w:anchor="P51" w:tooltip="1.5. Категории получателей субсидий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Порядка, в рамках </w:t>
      </w:r>
      <w:hyperlink w:history="0" r:id="rId16" w:tooltip="Постановление Правительства Калужской области от 31.01.2019 N 46 (ред. от 17.04.2023) &quot;Об утверждении государственной программы Калужской области &quot;Социальная поддержка граждан в Калуж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"Государственная поддержка социально ориентированных некоммерческих организаций" государственной программы Калужской области "Социальная поддержка граждан в Калужской области", утвержденной постановлением Правительства Калужской области от 31.01.2019 N 46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13.06.2019 N 361, от 02.10.2019 N 622, от 26.12.2019 N 856, от 10.03.2020 N 157, от 13.03.2020 N 187, от 10.07.2020 N 530, от 10.08.2020 N 612, от 09.11.2020 N 846, от 24.02.2021 N 85, от 29.04.2021 N 287, от 31.05.2021 N 345, от 15.07.2021 N 458, от 20.12.2021 N 904, от 01.03.2022 N 140, от 15.03.2022 N 185, от 23.06.2022 N 460, от 28.06.2022 N 482, от 17.08.2022 N 608, от 18.10.2022 N 795, от 07.03.2023 N 137, от 17.04.2023 N 272).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предусмотренные </w:t>
      </w:r>
      <w:hyperlink w:history="0" r:id="rId17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является министерство труда и социальной защиты Калужской области (далее - министерство).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Категории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субсидий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</w:t>
      </w:r>
      <w:hyperlink w:history="0" r:id="rId1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организациях", осуществляющие в соответствии с учредительными документами предусмотренную </w:t>
      </w:r>
      <w:hyperlink w:history="0" r:id="rId1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14 пункта 1 статьи 31.1</w:t>
        </w:r>
      </w:hyperlink>
      <w:r>
        <w:rPr>
          <w:sz w:val="20"/>
        </w:rPr>
        <w:t xml:space="preserve"> Федерального закона "О некоммерческих организациях" деятельность по участию в профилактике и (или) тушении пожаров и проведении аварийно-спасательных работ, зарегистрированные в качестве юридического лица на территории Калужской области и осуществляющие указанную деятельность не менее одного года, соответствующие требованиям, установленным </w:t>
      </w:r>
      <w:hyperlink w:history="0" w:anchor="P95" w:tooltip="2.13. Требования, которым должны соответствовать получатели на первое число месяца, предшествующего месяцу подачи заявления на предоставление субсидии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включаются в размещаемый на едином портале бюджетной системы Российской Федерации в информационно-телекоммуникационной сети "Интернет" (далее - единый портал) реестр субсидий, формирование и ведение которого согласно </w:t>
      </w:r>
      <w:hyperlink w:history="0" r:id="rId2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пункту 4(1)</w:t>
        </w:r>
      </w:hyperlink>
      <w:r>
        <w:rPr>
          <w:sz w:val="20"/>
        </w:rP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 осуществляется Министерством финансов Российской Федерации в установленном им порядке, и размещаются на едином портале (в разделе единого портала) не позднее 15-го рабочего дня, следующего за днем принятия закона об областном бюджете на текущий финансовый год и на плановый период (закона о внесении изменений в закон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на финансовое обеспечение затрат на предоставление гражданам услуг в сфере профилактики и (или) тушения пожаров и проведения аварийно-спасательных работ.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получатель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Заявление на предоставление субсидии по форме, разработанной министерством.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Копию устава получателя с предъявлением оригинала.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</w:t>
      </w:r>
      <w:hyperlink w:history="0" w:anchor="P49" w:tooltip="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по участию в профилактике и (или) тушении пожаров и проведении аварийно-спасательных работ, указанных в пункте 1.5 Порядка, в рамках подпрограммы &quot;Государственная поддержка социально ориентированных некоммерческих организаций&quot; государственной программы Калужской области &quot;Социальная поддержка граждан в Калужской области&quot;, утвержденной постановлением Пр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Калужской областью.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проверяет получателя на соответствие критериям, установленным в </w:t>
      </w:r>
      <w:hyperlink w:history="0" w:anchor="P51" w:tooltip="1.5. Категории получателей субсидий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 и документа, указанного в </w:t>
      </w:r>
      <w:hyperlink w:history="0" w:anchor="P60" w:tooltip="2.2.2. Копию устава получателя с предъявлением оригинала.">
        <w:r>
          <w:rPr>
            <w:sz w:val="20"/>
            <w:color w:val="0000ff"/>
          </w:rPr>
          <w:t xml:space="preserve">подпункте 2.2.2 пункта 2.2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проверяет получателя на соответствие требованиям, установленным: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В </w:t>
      </w:r>
      <w:hyperlink w:history="0" w:anchor="P96" w:tooltip="2.13.1. У получателе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2.13.1 пункта 2.13</w:t>
        </w:r>
      </w:hyperlink>
      <w:r>
        <w:rPr>
          <w:sz w:val="20"/>
        </w:rPr>
        <w:t xml:space="preserve"> Порядка, на основании документа, указанного в </w:t>
      </w:r>
      <w:hyperlink w:history="0" w:anchor="P63" w:tooltip="2.3.1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2.3.1 пункта 2.3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В </w:t>
      </w:r>
      <w:hyperlink w:history="0" w:anchor="P97" w:tooltip="2.13.2.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алужской областью.">
        <w:r>
          <w:rPr>
            <w:sz w:val="20"/>
            <w:color w:val="0000ff"/>
          </w:rPr>
          <w:t xml:space="preserve">подпункте 2.13.2 пункта 2.13</w:t>
        </w:r>
      </w:hyperlink>
      <w:r>
        <w:rPr>
          <w:sz w:val="20"/>
        </w:rPr>
        <w:t xml:space="preserve"> Порядка, на основании документа, указанного в </w:t>
      </w:r>
      <w:hyperlink w:history="0" w:anchor="P64" w:tooltip="2.3.2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ужской областью.">
        <w:r>
          <w:rPr>
            <w:sz w:val="20"/>
            <w:color w:val="0000ff"/>
          </w:rPr>
          <w:t xml:space="preserve">подпункте 2.3.2 пункта 2.3</w:t>
        </w:r>
      </w:hyperlink>
      <w:r>
        <w:rPr>
          <w:sz w:val="20"/>
        </w:rPr>
        <w:t xml:space="preserve"> Порядка.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В </w:t>
      </w:r>
      <w:hyperlink w:history="0" w:anchor="P98" w:tooltip="2.13.3. Получатель не должен находиться в процессе реорганизации (за исключением реорганизации в форме присоединения к юридическому лицу, являющемуся получателем)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.">
        <w:r>
          <w:rPr>
            <w:sz w:val="20"/>
            <w:color w:val="0000ff"/>
          </w:rPr>
          <w:t xml:space="preserve">подпункте 2.13.3 пункта 2.13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лиц, указанной в </w:t>
      </w:r>
      <w:hyperlink w:history="0" w:anchor="P65" w:tooltip="2.3.3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Порядка, сведений Единого федерального реестра сведений о банкротстве, размещенных в информационно-телекоммуникационной сети "Интернет" по адресу: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, банка данных исполнительных производств, размещенных на официальном интернет-сайте Федеральной службы судебных приставов.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В </w:t>
      </w:r>
      <w:hyperlink w:history="0" w:anchor="P99" w:tooltip="2.13.4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3 Порядка.">
        <w:r>
          <w:rPr>
            <w:sz w:val="20"/>
            <w:color w:val="0000ff"/>
          </w:rPr>
          <w:t xml:space="preserve">подпункте 2.13.4 пункта 2.13</w:t>
        </w:r>
      </w:hyperlink>
      <w:r>
        <w:rPr>
          <w:sz w:val="20"/>
        </w:rPr>
        <w:t xml:space="preserve"> Порядка, на основании справки, указанной в </w:t>
      </w:r>
      <w:hyperlink w:history="0" w:anchor="P61" w:tooltip="2.2.3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пункте 1.3 Порядка.">
        <w:r>
          <w:rPr>
            <w:sz w:val="20"/>
            <w:color w:val="0000ff"/>
          </w:rPr>
          <w:t xml:space="preserve">подпункте 2.2.3 пункта 2.2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В </w:t>
      </w:r>
      <w:hyperlink w:history="0" w:anchor="P100" w:tooltip="2.13.5.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.">
        <w:r>
          <w:rPr>
            <w:sz w:val="20"/>
            <w:color w:val="0000ff"/>
          </w:rPr>
          <w:t xml:space="preserve">подпункте 2.13.5 пункта 2.13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лиц, указанной в </w:t>
      </w:r>
      <w:hyperlink w:history="0" w:anchor="P65" w:tooltip="2.3.3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Порядка.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В </w:t>
      </w:r>
      <w:hyperlink w:history="0" w:anchor="P101" w:tooltip="2.13.6. Получатель не признан иностранным агентом в установленном законодательством порядке.">
        <w:r>
          <w:rPr>
            <w:sz w:val="20"/>
            <w:color w:val="0000ff"/>
          </w:rPr>
          <w:t xml:space="preserve">подпункте 2.13.6 пункта 2.13</w:t>
        </w:r>
      </w:hyperlink>
      <w:r>
        <w:rPr>
          <w:sz w:val="20"/>
        </w:rPr>
        <w:t xml:space="preserve"> Порядка,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Интернет по адресу: </w:t>
      </w:r>
      <w:r>
        <w:rPr>
          <w:sz w:val="20"/>
        </w:rPr>
        <w:t xml:space="preserve">www.minjust.gov.ru</w:t>
      </w:r>
      <w:r>
        <w:rPr>
          <w:sz w:val="20"/>
        </w:rPr>
        <w:t xml:space="preserve">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в течение десяти рабочих дней со дня получения документов, указанных в </w:t>
      </w:r>
      <w:hyperlink w:history="0" w:anchor="P58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Порядка, рассматривает представленные документы на их соответствие требованиям, установленным </w:t>
      </w:r>
      <w:hyperlink w:history="0" w:anchor="P58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Порядка, а также на основании документов, указанных в </w:t>
      </w:r>
      <w:hyperlink w:history="0" w:anchor="P58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62" w:tooltip="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и сведений, указанных </w:t>
      </w:r>
      <w:hyperlink w:history="0" w:anchor="P70" w:tooltip="2.5.3. В подпункте 2.13.3 пункта 2.13 Порядка, на основании выписки из Единого государственного реестра юридических лиц, указанной в подпункте 2.3.3 пункта 2.3 Порядка, сведений Единого федерального реестра сведений о банкротстве, размещенных в информационно-телекоммуникационной сети &quot;Интернет&quot;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подпунктах 2.5.3</w:t>
        </w:r>
      </w:hyperlink>
      <w:r>
        <w:rPr>
          <w:sz w:val="20"/>
        </w:rPr>
        <w:t xml:space="preserve">, </w:t>
      </w:r>
      <w:hyperlink w:history="0" w:anchor="P73" w:tooltip="2.5.6. В подпункте 2.13.6 пункта 2.13 Порядка,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Интернет по адресу: www.minjust.gov.ru.">
        <w:r>
          <w:rPr>
            <w:sz w:val="20"/>
            <w:color w:val="0000ff"/>
          </w:rPr>
          <w:t xml:space="preserve">2.5.6 пункта 2.5</w:t>
        </w:r>
      </w:hyperlink>
      <w:r>
        <w:rPr>
          <w:sz w:val="20"/>
        </w:rPr>
        <w:t xml:space="preserve"> Порядка, проверяет получателя на соответствие требованиям, указанным в </w:t>
      </w:r>
      <w:hyperlink w:history="0" w:anchor="P95" w:tooltip="2.13. Требования, которым должны соответствовать получатели на первое число месяца, предшествующего месяцу подачи заявления на предоставление субсидии: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Порядка, и в случае соответствия документов требованиям </w:t>
      </w:r>
      <w:hyperlink w:history="0" w:anchor="P58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Порядка, соответствия получателя критериям, установленным </w:t>
      </w:r>
      <w:hyperlink w:history="0" w:anchor="P51" w:tooltip="1.5. Категории получателей субсидий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Порядка, и требованиям, предусмотренным </w:t>
      </w:r>
      <w:hyperlink w:history="0" w:anchor="P95" w:tooltip="2.13. Требования, которым должны соответствовать получатели на первое число месяца, предшествующего месяцу подачи заявления на предоставление субсидии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Порядка, принимает решение о предоставлении субсидии либо на основании </w:t>
      </w:r>
      <w:hyperlink w:history="0" w:anchor="P81" w:tooltip="2.9. Министерство принимает решение об отказе в предоставлении субсидии в случаях:">
        <w:r>
          <w:rPr>
            <w:sz w:val="20"/>
            <w:color w:val="0000ff"/>
          </w:rPr>
          <w:t xml:space="preserve">пункта 2.9</w:t>
        </w:r>
      </w:hyperlink>
      <w:r>
        <w:rPr>
          <w:sz w:val="20"/>
        </w:rPr>
        <w:t xml:space="preserve"> Порядка -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министерства (о предоставлении субсидии либо об отказе в предоставлении субсидии)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принятия министерством решения о предоставлении субсидии заключение соглашения о предоставлении субсидии (далее - соглашение) и перечисление субсидии осуществляются министерством не позднее десятого рабочего дня, следующего за днем принятия министерством как получателем бюджетных средств по результатам рассмотрения им документов, указанных в </w:t>
      </w:r>
      <w:hyperlink w:history="0" w:anchor="P58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62" w:tooltip="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а также сведений, указанных в </w:t>
      </w:r>
      <w:hyperlink w:history="0" w:anchor="P70" w:tooltip="2.5.3. В подпункте 2.13.3 пункта 2.13 Порядка, на основании выписки из Единого государственного реестра юридических лиц, указанной в подпункте 2.3.3 пункта 2.3 Порядка, сведений Единого федерального реестра сведений о банкротстве, размещенных в информационно-телекоммуникационной сети &quot;Интернет&quot;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подпунктах 2.5.3</w:t>
        </w:r>
      </w:hyperlink>
      <w:r>
        <w:rPr>
          <w:sz w:val="20"/>
        </w:rPr>
        <w:t xml:space="preserve">, </w:t>
      </w:r>
      <w:hyperlink w:history="0" w:anchor="P73" w:tooltip="2.5.6. В подпункте 2.13.6 пункта 2.13 Порядка,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Интернет по адресу: www.minjust.gov.ru.">
        <w:r>
          <w:rPr>
            <w:sz w:val="20"/>
            <w:color w:val="0000ff"/>
          </w:rPr>
          <w:t xml:space="preserve">2.5.6 пункта 2.5</w:t>
        </w:r>
      </w:hyperlink>
      <w:r>
        <w:rPr>
          <w:sz w:val="20"/>
        </w:rPr>
        <w:t xml:space="preserve"> Порядка, в сроки, установленные </w:t>
      </w:r>
      <w:hyperlink w:history="0" w:anchor="P74" w:tooltip="2.6. Министерство в течение десяти рабочих дней со дня получения документов, указанных в пункте 2.2 Порядка, рассматривает представленные документы на их соответствие требованиям, установленным пунктом 2.2 Порядка, а также на основании документов, указанных в пунктах 2.2, 2.3 Порядка, и сведений, указанных подпунктах 2.5.3, 2.5.6 пункта 2.5 Порядка, проверяет получателя на соответствие требованиям, указанным в пункте 2.13 Порядка, и в случае соответствия документов требованиям пункта 2.2 Порядка, соответ..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Порядка, решения о предоставлении субсидии, на расчетный или корреспондентский счет получателя, открытый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Соглашение заключается с получателем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указывается точная дата завершения и конечное значение результата предоставления субсидии (конкретная количественная характеристика итогов).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0" w:tooltip="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предусмотренные Законом Калужской области &quot;Об областном бюджете на 2023 год и на плановый период 2024 и 2025 годов&quot;, является министерство труда и социальной защиты Калужской области (дал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Порядка, приводящего к невозможности предоставления субсидии в размере, определенном в соглашении, а также о согласии получателя на осуществление министерством, органом государственного финансового контроля проверок соблюдения получателем условий и порядка предоставления субсидий в соответствии со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принимает решение об отказе в предоставлении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Несоответствия представленных получателем документов требованиям </w:t>
      </w:r>
      <w:hyperlink w:history="0" w:anchor="P58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Порядка или непредставления (представления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Установления факта недостоверности представленной получателем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Несоответствия получателя критериям, установленным </w:t>
      </w:r>
      <w:hyperlink w:history="0" w:anchor="P51" w:tooltip="1.5. Категории получателей субсидий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Порядка, и требованиям, предусмотренным </w:t>
      </w:r>
      <w:hyperlink w:history="0" w:anchor="P95" w:tooltip="2.13. Требования, которым должны соответствовать получатели на первое число месяца, предшествующего месяцу подачи заявления на предоставление субсидии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принятия министерством решения об отказе в предоставлении субсидии министерство в течение десяти рабочих дней со дня принятия решения об отказе в предоставлении субсидии направляет получателю письменное уведомление об отказе в предоставлении субсидии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Размер предоставляемой субсидии для каждого получателя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23444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Si - размер субсидии на текущий финансовый год для одного получателя, но не более размера расходов получателя, указанных в заявлении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ассигнований, предусмотренных в областном бюджете министерству на предоставление субсидий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nko - размер потребности всех получателей в бюджетных ассигнованиях, указанный в заявлениях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4953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расходов всех получателей, указанных в заявлениях на предоставление субсидии, связанных с предоставлением гражданам услуг в сфере профилактики и (или) тушения пожаров и проведения аварийно-спасательных работ, в текущем финансовом году.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Требования, которым должны соответствовать получатели на первое число месяца, предшествующего месяцу подачи заявления на предоставление субсидии: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У получателей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Калужской областью.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Получатель не должен находиться в процессе реорганизации (за исключением реорганизации в форме присоединения к юридическому лицу, являющемуся получателем),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49" w:tooltip="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по участию в профилактике и (или) тушении пожаров и проведении аварийно-спасательных работ, указанных в пункте 1.5 Порядка, в рамках подпрограммы &quot;Государственная поддержка социально ориентированных некоммерческих организаций&quot; государственной программы Калужской области &quot;Социальная поддержка граждан в Калужской области&quot;, утвержденной постановлением Пр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2.13.6. Получатель не признан иностранным агентом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Получателю запрещено за счет полученных средств областного бюджета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Тип результата предоставления субсидии - оказание услуг: планируется оказание услуг по организации и осуществлению профилактики пожаров.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представляет в министерство по формам, определенным типовой формой соглашения, установленной министерством финансов Калужской области,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 достижении значения результата предоставления субсидии, указанного в соглашении, в срок не позднее 30 января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Об осуществлении расходов, источником финансового обеспечения которых является субсидия, ежеквартально в срок не позднее 25-го числа последнего месяца отчетного квартала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получателем условий и порядка предоставления субсидий, в том числе в части достижения результата предоставления субсидии, указанного в </w:t>
      </w:r>
      <w:hyperlink w:history="0" w:anchor="P103" w:tooltip="2.15. Тип результата предоставления субсидии - оказание услуг: планируется оказание услуг по организации и осуществлению профилактики пожаров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Порядка, а орган государственного финансового контроля осуществляет проверку в соответствии со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нарушений получателем условий и порядка предоставления субсидий, установленных при их предоставлении, выявленных в том числе по фактам проверок, проведенных министерством и органом государственного финансового контроля, получатель в срок не позднее двадцати двух рабочих дней со дня выявления указанных нарушений осуществляет возврат субсидии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недостижения значения результата предоставления субсидии, указанного в соглашении, получатель в срок не позднее 1 марта следующего финансового года осуществляет возврат субсидии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Мониторинг достижения результата предоставления субсидии, указанного в </w:t>
      </w:r>
      <w:hyperlink w:history="0" w:anchor="P103" w:tooltip="2.15. Тип результата предоставления субсидии - оказание услуг: планируется оказание услуг по организации и осуществлению профилактики пожаров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Порядка, проводится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17.05.2022 N 359</w:t>
            <w:br/>
            <w:t>(ред. от 26.05.2023)</w:t>
            <w:br/>
            <w:t>"Об утверждении Положения о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094BEA6D0580E684217DA261A4E5F3396FE5E48BCA82A953CC60FF21CF20337723A6FAC8BA6F14CA21FE31448D129EA1108D4A32D8EF472E49CF18t6CFN" TargetMode = "External"/>
	<Relationship Id="rId8" Type="http://schemas.openxmlformats.org/officeDocument/2006/relationships/hyperlink" Target="consultantplus://offline/ref=FB094BEA6D0580E6842163AF77C8BBFD3A67B9EB89CC89FE0D9166A87E9F26663763A0A989F9621E9E70BA644F8746D1E5439E4932C4tECCN" TargetMode = "External"/>
	<Relationship Id="rId9" Type="http://schemas.openxmlformats.org/officeDocument/2006/relationships/hyperlink" Target="consultantplus://offline/ref=FB094BEA6D0580E6842163AF77C8BBFD3A67BFE18BC489FE0D9166A87E9F26663763A0AA8EFF69419B65AB3C438658CFE35B824B30tCC5N" TargetMode = "External"/>
	<Relationship Id="rId10" Type="http://schemas.openxmlformats.org/officeDocument/2006/relationships/hyperlink" Target="consultantplus://offline/ref=FB094BEA6D0580E6842163AF77C8BBFD3A67BEEA82CD89FE0D9166A87E9F26663763A0AF8BF536448E74F330429846C9FB478049t3C1N" TargetMode = "External"/>
	<Relationship Id="rId11" Type="http://schemas.openxmlformats.org/officeDocument/2006/relationships/hyperlink" Target="consultantplus://offline/ref=FB094BEA6D0580E684217DA261A4E5F3396FE5E48BC987AB52C760FF21CF20337723A6FAC8BA6F14CA21FC33408D129EA1108D4A32D8EF472E49CF18t6CFN" TargetMode = "External"/>
	<Relationship Id="rId12" Type="http://schemas.openxmlformats.org/officeDocument/2006/relationships/hyperlink" Target="consultantplus://offline/ref=FB094BEA6D0580E684217DA261A4E5F3396FE5E48BC98BA954C460FF21CF20337723A6FAC8BA6F14CA26FE36458D129EA1108D4A32D8EF472E49CF18t6CFN" TargetMode = "External"/>
	<Relationship Id="rId13" Type="http://schemas.openxmlformats.org/officeDocument/2006/relationships/hyperlink" Target="consultantplus://offline/ref=FB094BEA6D0580E684217DA261A4E5F3396FE5E48BCA82A953CC60FF21CF20337723A6FAC8BA6F14CA21FE31458D129EA1108D4A32D8EF472E49CF18t6CFN" TargetMode = "External"/>
	<Relationship Id="rId14" Type="http://schemas.openxmlformats.org/officeDocument/2006/relationships/hyperlink" Target="consultantplus://offline/ref=FB094BEA6D0580E684217DA261A4E5F3396FE5E48BCA82A953CC60FF21CF20337723A6FAC8BA6F14CA21FE314B8D129EA1108D4A32D8EF472E49CF18t6CFN" TargetMode = "External"/>
	<Relationship Id="rId15" Type="http://schemas.openxmlformats.org/officeDocument/2006/relationships/hyperlink" Target="consultantplus://offline/ref=FB094BEA6D0580E6842163AF77C8BBFD3A67BFE18BC489FE0D9166A87E9F26663763A0AF89FA69419B65AB3C438658CFE35B824B30tCC5N" TargetMode = "External"/>
	<Relationship Id="rId16" Type="http://schemas.openxmlformats.org/officeDocument/2006/relationships/hyperlink" Target="consultantplus://offline/ref=FB094BEA6D0580E684217DA261A4E5F3396FE5E48BC98BA954C460FF21CF20337723A6FAC8BA6F14CA26FE36458D129EA1108D4A32D8EF472E49CF18t6CFN" TargetMode = "External"/>
	<Relationship Id="rId17" Type="http://schemas.openxmlformats.org/officeDocument/2006/relationships/hyperlink" Target="consultantplus://offline/ref=FB094BEA6D0580E684217DA261A4E5F3396FE5E48BC987AB52C760FF21CF20337723A6FADABA3718CB21E031449844CFE7t4C6N" TargetMode = "External"/>
	<Relationship Id="rId18" Type="http://schemas.openxmlformats.org/officeDocument/2006/relationships/hyperlink" Target="consultantplus://offline/ref=FB094BEA6D0580E6842163AF77C8BBFD3A67BFE18BC489FE0D9166A87E9F26663763A0AF89FA69419B65AB3C438658CFE35B824B30tCC5N" TargetMode = "External"/>
	<Relationship Id="rId19" Type="http://schemas.openxmlformats.org/officeDocument/2006/relationships/hyperlink" Target="consultantplus://offline/ref=FB094BEA6D0580E6842163AF77C8BBFD3A67BFE18BC489FE0D9166A87E9F26663763A0AA8EFF69419B65AB3C438658CFE35B824B30tCC5N" TargetMode = "External"/>
	<Relationship Id="rId20" Type="http://schemas.openxmlformats.org/officeDocument/2006/relationships/hyperlink" Target="consultantplus://offline/ref=FB094BEA6D0580E6842163AF77C8BBFD3A67BEEA82CD89FE0D9166A87E9F26663763A0AC82F536448E74F330429846C9FB478049t3C1N" TargetMode = "External"/>
	<Relationship Id="rId21" Type="http://schemas.openxmlformats.org/officeDocument/2006/relationships/hyperlink" Target="consultantplus://offline/ref=FB094BEA6D0580E6842163AF77C8BBFD3A67B9EB89CC89FE0D9166A87E9F26663763A0AD8CFE661E9E70BA644F8746D1E5439E4932C4tECCN" TargetMode = "External"/>
	<Relationship Id="rId22" Type="http://schemas.openxmlformats.org/officeDocument/2006/relationships/hyperlink" Target="consultantplus://offline/ref=FB094BEA6D0580E6842163AF77C8BBFD3A67B9EB89CC89FE0D9166A87E9F26663763A0AD8CFC601E9E70BA644F8746D1E5439E4932C4tECCN" TargetMode = "External"/>
	<Relationship Id="rId23" Type="http://schemas.openxmlformats.org/officeDocument/2006/relationships/image" Target="media/image2.wmf"/>
	<Relationship Id="rId24" Type="http://schemas.openxmlformats.org/officeDocument/2006/relationships/image" Target="media/image3.wmf"/>
	<Relationship Id="rId25" Type="http://schemas.openxmlformats.org/officeDocument/2006/relationships/hyperlink" Target="consultantplus://offline/ref=FB094BEA6D0580E6842163AF77C8BBFD3A67B9EB89CC89FE0D9166A87E9F26663763A0AD8CFE661E9E70BA644F8746D1E5439E4932C4tECCN" TargetMode = "External"/>
	<Relationship Id="rId26" Type="http://schemas.openxmlformats.org/officeDocument/2006/relationships/hyperlink" Target="consultantplus://offline/ref=FB094BEA6D0580E6842163AF77C8BBFD3A67B9EB89CC89FE0D9166A87E9F26663763A0AD8CFC601E9E70BA644F8746D1E5439E4932C4tEC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17.05.2022 N 359
(ред. от 26.05.2023)
"Об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участию в профилактике и (или) тушении пожаров и проведении аварийно-спасательных работ"</dc:title>
  <dcterms:created xsi:type="dcterms:W3CDTF">2023-06-10T13:02:45Z</dcterms:created>
</cp:coreProperties>
</file>