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молодежной политики Калужской обл. от 25.09.2023 N 258</w:t>
              <w:br/>
              <w:t xml:space="preserve">"Об утверждении Положения о проведении регионального конкурса по поддержке проектов в сфере добровольчества (волонтерства)"</w:t>
              <w:br/>
              <w:t xml:space="preserve">(Зарегистрировано в Администрации Губернатора Калужской обл. 16.10.2023 N 13420)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Губернатора Калужской обл. 16 октября 2023 г. N 13420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УПРАВЛЕНИЕ МОЛОДЕЖНОЙ ПОЛИТИКИ</w:t>
      </w:r>
    </w:p>
    <w:p>
      <w:pPr>
        <w:pStyle w:val="2"/>
        <w:jc w:val="center"/>
      </w:pPr>
      <w:r>
        <w:rPr>
          <w:sz w:val="20"/>
        </w:rPr>
        <w:t xml:space="preserve">КАЛУЖСКОЙ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25 сентября 2023 г. N 258</w:t>
      </w:r>
    </w:p>
    <w:p>
      <w:pPr>
        <w:pStyle w:val="2"/>
        <w:jc w:val="both"/>
      </w:pPr>
      <w:r>
        <w:rPr>
          <w:sz w:val="20"/>
        </w:rPr>
      </w:r>
    </w:p>
    <w:p>
      <w:pPr>
        <w:pStyle w:val="2"/>
        <w:jc w:val="center"/>
      </w:pPr>
      <w:r>
        <w:rPr>
          <w:sz w:val="20"/>
        </w:rPr>
        <w:t xml:space="preserve">ОБ УТВЕРЖДЕНИИ ПОЛОЖЕНИЯ О ПРОВЕДЕНИИ РЕГИОНАЛЬНОГО КОНКУРСА</w:t>
      </w:r>
    </w:p>
    <w:p>
      <w:pPr>
        <w:pStyle w:val="2"/>
        <w:jc w:val="center"/>
      </w:pPr>
      <w:r>
        <w:rPr>
          <w:sz w:val="20"/>
        </w:rPr>
        <w:t xml:space="preserve">ПО ПОДДЕРЖКЕ ПРОЕКТОВ В СФЕРЕ ДОБРОВОЛЬЧЕСТВА (ВОЛОНТЕРСТВА)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Калужской области от 07.11.2022 N 848 (ред. от 13.10.2023) &quot;О создании управления молодежной политики Калужской области&quot; (вместе с &quot;Положением об управлении молодежной политики Калужской области&quot;) {КонсультантПлюс}">
        <w:r>
          <w:rPr>
            <w:sz w:val="20"/>
            <w:color w:val="0000ff"/>
          </w:rPr>
          <w:t xml:space="preserve">положением</w:t>
        </w:r>
      </w:hyperlink>
      <w:r>
        <w:rPr>
          <w:sz w:val="20"/>
        </w:rPr>
        <w:t xml:space="preserve"> об управлении молодежной политики Калужской области, утвержденным постановлением Правительства Калужской области от 07.11.2022 N 848 "О создании управления молодежной политики Калужской области" (в ред. постановления Правительства Калужской области от 29.11.2022 N 927, от 29.03.2023 N 205), </w:t>
      </w:r>
      <w:hyperlink w:history="0" r:id="rId8" w:tooltip="Постановление Правительства Калужской области от 12.02.2019 N 94 (ред. от 07.07.2023) &quot;Об утверждении государственной программы Калужской области &quot;Повышение эффективности реализации молодежной политики, развитие волонтерского движения, системы оздоровления и отдыха детей в Калужской области&quot; {КонсультантПлюс}">
        <w:r>
          <w:rPr>
            <w:sz w:val="20"/>
            <w:color w:val="0000ff"/>
          </w:rPr>
          <w:t xml:space="preserve">постановлением</w:t>
        </w:r>
      </w:hyperlink>
      <w:r>
        <w:rPr>
          <w:sz w:val="20"/>
        </w:rPr>
        <w:t xml:space="preserve"> Правительства Калужской области от 12.02.2019 N 94 "Об утверждении государственной программы Калужской области "Повышение эффективности реализации молодежной политики, развитие волонтерского движения, системы оздоровления и отдыха детей в Калужской области" (в ред. постановлений Правительства Калужской области от 12.12.2019 N 790, от 24.12.2019 N 844/1, от 20.03.2020 N 220, от 30.09.2020 N 767, от 19.03.2021 N 155, от 14.05.2021 N 309, от 23.11.2021 N 785, от 15.03.2022 N 184, от 23.05.2022 N 361/1, от 20.06.2023 N 423, от 07.07.2023 N 489)</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w:t>
      </w:r>
      <w:hyperlink w:history="0" w:anchor="P33" w:tooltip="ПОЛОЖЕНИЕ">
        <w:r>
          <w:rPr>
            <w:sz w:val="20"/>
            <w:color w:val="0000ff"/>
          </w:rPr>
          <w:t xml:space="preserve">Положение</w:t>
        </w:r>
      </w:hyperlink>
      <w:r>
        <w:rPr>
          <w:sz w:val="20"/>
        </w:rPr>
        <w:t xml:space="preserve"> о проведении регионального конкурса по поддержке проектов в сфере добровольчества (волонтерства) согласно приложению к настоящему Приказу.</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spacing w:before="200" w:line-rule="auto"/>
        <w:ind w:firstLine="540"/>
        <w:jc w:val="both"/>
      </w:pPr>
      <w:r>
        <w:rPr>
          <w:sz w:val="20"/>
        </w:rPr>
        <w:t xml:space="preserve">3. Настоящий Приказ вступает в силу со дня его официального опубликования после государственной регистрации.</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Е.А.Валуева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молодежной политики</w:t>
      </w:r>
    </w:p>
    <w:p>
      <w:pPr>
        <w:pStyle w:val="0"/>
        <w:jc w:val="right"/>
      </w:pPr>
      <w:r>
        <w:rPr>
          <w:sz w:val="20"/>
        </w:rPr>
        <w:t xml:space="preserve">Калужской области</w:t>
      </w:r>
    </w:p>
    <w:p>
      <w:pPr>
        <w:pStyle w:val="0"/>
        <w:jc w:val="right"/>
      </w:pPr>
      <w:r>
        <w:rPr>
          <w:sz w:val="20"/>
        </w:rPr>
        <w:t xml:space="preserve">от 25 сентября 2023 г. N 258</w:t>
      </w:r>
    </w:p>
    <w:p>
      <w:pPr>
        <w:pStyle w:val="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ПРОВЕДЕНИИ РЕГИОНАЛЬНОГО КОНКУРСА ПО ПОДДЕРЖКЕ ПРОЕКТОВ</w:t>
      </w:r>
    </w:p>
    <w:p>
      <w:pPr>
        <w:pStyle w:val="2"/>
        <w:jc w:val="center"/>
      </w:pPr>
      <w:r>
        <w:rPr>
          <w:sz w:val="20"/>
        </w:rPr>
        <w:t xml:space="preserve">В СФЕРЕ ДОБРОВОЛЬЧЕСТВА (ВОЛОНТЕРСТВА)</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цели, задачи, требования к участникам, номинации, сроки и порядок проведения и финансирования регионального конкурса по поддержке проектов в сфере добровольчества (волонтерства) (далее соответственно - конкурс, проекты).</w:t>
      </w:r>
    </w:p>
    <w:p>
      <w:pPr>
        <w:pStyle w:val="0"/>
        <w:spacing w:before="200" w:line-rule="auto"/>
        <w:ind w:firstLine="540"/>
        <w:jc w:val="both"/>
      </w:pPr>
      <w:r>
        <w:rPr>
          <w:sz w:val="20"/>
        </w:rPr>
        <w:t xml:space="preserve">1.2. Организаторами конкурса являются управление молодежной политики Калужской области (далее - управление) совместно с государственным бюджетным учреждением Калужской области "Областной молодежный центр" (далее - ГБУ КО "ОМЦ"), в отношении которого управление осуществляет функции и полномочия учредителя.</w:t>
      </w:r>
    </w:p>
    <w:p>
      <w:pPr>
        <w:pStyle w:val="0"/>
        <w:jc w:val="both"/>
      </w:pPr>
      <w:r>
        <w:rPr>
          <w:sz w:val="20"/>
        </w:rPr>
      </w:r>
    </w:p>
    <w:p>
      <w:pPr>
        <w:pStyle w:val="2"/>
        <w:outlineLvl w:val="1"/>
        <w:jc w:val="center"/>
      </w:pPr>
      <w:r>
        <w:rPr>
          <w:sz w:val="20"/>
        </w:rPr>
        <w:t xml:space="preserve">2. Цель и задачи конкурса</w:t>
      </w:r>
    </w:p>
    <w:p>
      <w:pPr>
        <w:pStyle w:val="0"/>
        <w:jc w:val="both"/>
      </w:pPr>
      <w:r>
        <w:rPr>
          <w:sz w:val="20"/>
        </w:rPr>
      </w:r>
    </w:p>
    <w:p>
      <w:pPr>
        <w:pStyle w:val="0"/>
        <w:ind w:firstLine="540"/>
        <w:jc w:val="both"/>
      </w:pPr>
      <w:r>
        <w:rPr>
          <w:sz w:val="20"/>
        </w:rPr>
        <w:t xml:space="preserve">2.1. Цель конкурса - выявление и поддержка добровольческих (волонтерских) проектов, находящихся на любой стадии реализации.</w:t>
      </w:r>
    </w:p>
    <w:p>
      <w:pPr>
        <w:pStyle w:val="0"/>
        <w:spacing w:before="200" w:line-rule="auto"/>
        <w:ind w:firstLine="540"/>
        <w:jc w:val="both"/>
      </w:pPr>
      <w:r>
        <w:rPr>
          <w:sz w:val="20"/>
        </w:rPr>
        <w:t xml:space="preserve">2.2. Задачи конкурса:</w:t>
      </w:r>
    </w:p>
    <w:p>
      <w:pPr>
        <w:pStyle w:val="0"/>
        <w:spacing w:before="200" w:line-rule="auto"/>
        <w:ind w:firstLine="540"/>
        <w:jc w:val="both"/>
      </w:pPr>
      <w:r>
        <w:rPr>
          <w:sz w:val="20"/>
        </w:rPr>
        <w:t xml:space="preserve">- оказание содействия развитию основных направлений добровольчества (волонтерства);</w:t>
      </w:r>
    </w:p>
    <w:p>
      <w:pPr>
        <w:pStyle w:val="0"/>
        <w:spacing w:before="200" w:line-rule="auto"/>
        <w:ind w:firstLine="540"/>
        <w:jc w:val="both"/>
      </w:pPr>
      <w:r>
        <w:rPr>
          <w:sz w:val="20"/>
        </w:rPr>
        <w:t xml:space="preserve">- выявление и поддержка лучших добровольческих (волонтерских) инициатив;</w:t>
      </w:r>
    </w:p>
    <w:p>
      <w:pPr>
        <w:pStyle w:val="0"/>
        <w:spacing w:before="200" w:line-rule="auto"/>
        <w:ind w:firstLine="540"/>
        <w:jc w:val="both"/>
      </w:pPr>
      <w:r>
        <w:rPr>
          <w:sz w:val="20"/>
        </w:rPr>
        <w:t xml:space="preserve">- распространение наиболее успешных и инновационных форм организации добровольческой (волонтерской) деятельности, тиражирование лучших практик.</w:t>
      </w:r>
    </w:p>
    <w:p>
      <w:pPr>
        <w:pStyle w:val="0"/>
        <w:jc w:val="both"/>
      </w:pPr>
      <w:r>
        <w:rPr>
          <w:sz w:val="20"/>
        </w:rPr>
      </w:r>
    </w:p>
    <w:p>
      <w:pPr>
        <w:pStyle w:val="2"/>
        <w:outlineLvl w:val="1"/>
        <w:jc w:val="center"/>
      </w:pPr>
      <w:r>
        <w:rPr>
          <w:sz w:val="20"/>
        </w:rPr>
        <w:t xml:space="preserve">3. Номинации конкурса</w:t>
      </w:r>
    </w:p>
    <w:p>
      <w:pPr>
        <w:pStyle w:val="0"/>
        <w:jc w:val="both"/>
      </w:pPr>
      <w:r>
        <w:rPr>
          <w:sz w:val="20"/>
        </w:rPr>
      </w:r>
    </w:p>
    <w:p>
      <w:pPr>
        <w:pStyle w:val="0"/>
        <w:ind w:firstLine="540"/>
        <w:jc w:val="both"/>
      </w:pPr>
      <w:r>
        <w:rPr>
          <w:sz w:val="20"/>
        </w:rPr>
        <w:t xml:space="preserve">3.1. Конкурс проводится в 10 номинациях:</w:t>
      </w:r>
    </w:p>
    <w:p>
      <w:pPr>
        <w:pStyle w:val="0"/>
        <w:spacing w:before="200" w:line-rule="auto"/>
        <w:ind w:firstLine="540"/>
        <w:jc w:val="both"/>
      </w:pPr>
      <w:r>
        <w:rPr>
          <w:sz w:val="20"/>
        </w:rPr>
        <w:t xml:space="preserve">3.1.1. "Рожденные помогать". Формат номинации: проекты, направленные на оказание помощи людям с инвалидностью, одиноким пожилым людям, нуждающимся во внимании и постоянном уходе; проекты, направленные на помощь детям, находящимся в трудной жизненной ситуации, а также проекты, направленные на воспитание и обучение детей.</w:t>
      </w:r>
    </w:p>
    <w:p>
      <w:pPr>
        <w:pStyle w:val="0"/>
        <w:spacing w:before="200" w:line-rule="auto"/>
        <w:ind w:firstLine="540"/>
        <w:jc w:val="both"/>
      </w:pPr>
      <w:r>
        <w:rPr>
          <w:sz w:val="20"/>
        </w:rPr>
        <w:t xml:space="preserve">3.1.2. "Вдохновленные искусством". Формат номинации: проекты, направленные на сохранение и продвижение культурного достояния, создание новой атмосферы открытости и доступности культурных пространств, формирование культурной идентичности.</w:t>
      </w:r>
    </w:p>
    <w:p>
      <w:pPr>
        <w:pStyle w:val="0"/>
        <w:spacing w:before="200" w:line-rule="auto"/>
        <w:ind w:firstLine="540"/>
        <w:jc w:val="both"/>
      </w:pPr>
      <w:r>
        <w:rPr>
          <w:sz w:val="20"/>
        </w:rPr>
        <w:t xml:space="preserve">3.1.3. "Вокруг меня". Формат номинации: проекты, направленные на организацию комфортной городской среды, помощь в благоустройстве населенных пунктов и сохранение экологии, формирование основ экологического воспитания.</w:t>
      </w:r>
    </w:p>
    <w:p>
      <w:pPr>
        <w:pStyle w:val="0"/>
        <w:spacing w:before="200" w:line-rule="auto"/>
        <w:ind w:firstLine="540"/>
        <w:jc w:val="both"/>
      </w:pPr>
      <w:r>
        <w:rPr>
          <w:sz w:val="20"/>
        </w:rPr>
        <w:t xml:space="preserve">3.1.4. "Уверены в будущем". Формат номинации: проекты, направленные на сохранение исторической памяти, заботу о ветеранах, развитие гражданского патриотизма.</w:t>
      </w:r>
    </w:p>
    <w:p>
      <w:pPr>
        <w:pStyle w:val="0"/>
        <w:spacing w:before="200" w:line-rule="auto"/>
        <w:ind w:firstLine="540"/>
        <w:jc w:val="both"/>
      </w:pPr>
      <w:r>
        <w:rPr>
          <w:sz w:val="20"/>
        </w:rPr>
        <w:t xml:space="preserve">3.1.5. "Оберегая сердцем". Формат номинации: проекты, направленные на повышение качества медицинской помощи на всех ее этапах (профилактическом, лечебном и реабилитационном); проекты, направленные на профориентацию школьников в медицинской сфере, популяризацию донорства, профилактику асоциальных явлений.</w:t>
      </w:r>
    </w:p>
    <w:p>
      <w:pPr>
        <w:pStyle w:val="0"/>
        <w:spacing w:before="200" w:line-rule="auto"/>
        <w:ind w:firstLine="540"/>
        <w:jc w:val="both"/>
      </w:pPr>
      <w:r>
        <w:rPr>
          <w:sz w:val="20"/>
        </w:rPr>
        <w:t xml:space="preserve">3.1.6. "Помощь животным". Формат номинации: проекты, направленные на помощь животным и защиту их прав.</w:t>
      </w:r>
    </w:p>
    <w:p>
      <w:pPr>
        <w:pStyle w:val="0"/>
        <w:spacing w:before="200" w:line-rule="auto"/>
        <w:ind w:firstLine="540"/>
        <w:jc w:val="both"/>
      </w:pPr>
      <w:r>
        <w:rPr>
          <w:sz w:val="20"/>
        </w:rPr>
        <w:t xml:space="preserve">3.1.7. "Организатор добровольчества". Формат номинации: проекты, направленные на создание эффективных условий для вовлечения граждан в добровольчество (волонтерство), создание сообществ добровольцев (волонтеров), формирование культуры взаимопомощи.</w:t>
      </w:r>
    </w:p>
    <w:p>
      <w:pPr>
        <w:pStyle w:val="0"/>
        <w:spacing w:before="200" w:line-rule="auto"/>
        <w:ind w:firstLine="540"/>
        <w:jc w:val="both"/>
      </w:pPr>
      <w:r>
        <w:rPr>
          <w:sz w:val="20"/>
        </w:rPr>
        <w:t xml:space="preserve">3.1.8. "Говорит волонтер". Формат номинации: проекты, направленные на создание новых журналистских и просветительских медиа, в том числе в информационно-телекоммуникационной сети Интернет.</w:t>
      </w:r>
    </w:p>
    <w:p>
      <w:pPr>
        <w:pStyle w:val="0"/>
        <w:spacing w:before="200" w:line-rule="auto"/>
        <w:ind w:firstLine="540"/>
        <w:jc w:val="both"/>
      </w:pPr>
      <w:r>
        <w:rPr>
          <w:sz w:val="20"/>
        </w:rPr>
        <w:t xml:space="preserve">3.1.9. "Малая Родина". Формат номинации: проекты, направленные на решение социальных проблем, развитие добровольческого сообщества и социальной активности среди населения в селах, деревнях и малых городах (численность населения - до 50 тыс. человек).</w:t>
      </w:r>
    </w:p>
    <w:p>
      <w:pPr>
        <w:pStyle w:val="0"/>
        <w:spacing w:before="200" w:line-rule="auto"/>
        <w:ind w:firstLine="540"/>
        <w:jc w:val="both"/>
      </w:pPr>
      <w:r>
        <w:rPr>
          <w:sz w:val="20"/>
        </w:rPr>
        <w:t xml:space="preserve">3.1.10. "Помочь может каждый". Формат номинации: проекты, направленные на поддержку эффективных и позитивных практик волонтерства на территории региона.</w:t>
      </w:r>
    </w:p>
    <w:p>
      <w:pPr>
        <w:pStyle w:val="0"/>
        <w:spacing w:before="200" w:line-rule="auto"/>
        <w:ind w:firstLine="540"/>
        <w:jc w:val="both"/>
      </w:pPr>
      <w:r>
        <w:rPr>
          <w:sz w:val="20"/>
        </w:rPr>
        <w:t xml:space="preserve">3.2. Допускается участие одного участника не более чем в двух номинациях конкурса при условии предоставления участником отдельных заявок на участие в каждой из номинаций конкурса.</w:t>
      </w:r>
    </w:p>
    <w:p>
      <w:pPr>
        <w:pStyle w:val="0"/>
        <w:jc w:val="both"/>
      </w:pPr>
      <w:r>
        <w:rPr>
          <w:sz w:val="20"/>
        </w:rPr>
      </w:r>
    </w:p>
    <w:p>
      <w:pPr>
        <w:pStyle w:val="2"/>
        <w:outlineLvl w:val="1"/>
        <w:jc w:val="center"/>
      </w:pPr>
      <w:r>
        <w:rPr>
          <w:sz w:val="20"/>
        </w:rPr>
        <w:t xml:space="preserve">4. Требования к участникам конкурса</w:t>
      </w:r>
    </w:p>
    <w:p>
      <w:pPr>
        <w:pStyle w:val="0"/>
        <w:jc w:val="both"/>
      </w:pPr>
      <w:r>
        <w:rPr>
          <w:sz w:val="20"/>
        </w:rPr>
      </w:r>
    </w:p>
    <w:p>
      <w:pPr>
        <w:pStyle w:val="0"/>
        <w:ind w:firstLine="540"/>
        <w:jc w:val="both"/>
      </w:pPr>
      <w:r>
        <w:rPr>
          <w:sz w:val="20"/>
        </w:rPr>
        <w:t xml:space="preserve">4.1. Участниками конкурса могут стать граждане Российской Федерации в возрасте от 14 до 35 лет включительно, проживающие и осуществляющие добровольческую (волонтерскую) деятельность на территории Калужской области (далее - участники).</w:t>
      </w:r>
    </w:p>
    <w:p>
      <w:pPr>
        <w:pStyle w:val="0"/>
        <w:jc w:val="both"/>
      </w:pPr>
      <w:r>
        <w:rPr>
          <w:sz w:val="20"/>
        </w:rPr>
      </w:r>
    </w:p>
    <w:p>
      <w:pPr>
        <w:pStyle w:val="2"/>
        <w:outlineLvl w:val="1"/>
        <w:jc w:val="center"/>
      </w:pPr>
      <w:r>
        <w:rPr>
          <w:sz w:val="20"/>
        </w:rPr>
        <w:t xml:space="preserve">5. Конкурсная комиссия</w:t>
      </w:r>
    </w:p>
    <w:p>
      <w:pPr>
        <w:pStyle w:val="0"/>
        <w:jc w:val="both"/>
      </w:pPr>
      <w:r>
        <w:rPr>
          <w:sz w:val="20"/>
        </w:rPr>
      </w:r>
    </w:p>
    <w:p>
      <w:pPr>
        <w:pStyle w:val="0"/>
        <w:ind w:firstLine="540"/>
        <w:jc w:val="both"/>
      </w:pPr>
      <w:r>
        <w:rPr>
          <w:sz w:val="20"/>
        </w:rPr>
        <w:t xml:space="preserve">5.1. Для подведения итогов конкурса формируется конкурсная комиссия, состав которой ежегодно в период с 20 по 30 сентября (в 2023 году - в течение 5 рабочих дней со дня официального опубликования настоящего Положения) утверждается приказом управления.</w:t>
      </w:r>
    </w:p>
    <w:p>
      <w:pPr>
        <w:pStyle w:val="0"/>
        <w:spacing w:before="200" w:line-rule="auto"/>
        <w:ind w:firstLine="540"/>
        <w:jc w:val="both"/>
      </w:pPr>
      <w:r>
        <w:rPr>
          <w:sz w:val="20"/>
        </w:rPr>
        <w:t xml:space="preserve">5.2. Конкурсная комиссия состоит из председателя, заместителя председателя, секретаря и иных членов конкурсной комиссии. В состав конкурсной комиссии по согласованию включаются представители органов государственной власти Калужской области, органов местного самоуправления Калужской области, общественных и иных организаций, осуществляющих свою деятельность на территории Калужской области, с привлечением лиц, обладающих необходимыми (специальными) познаниями, позволяющими объективно оценить участников конкурса по критериям оценки, указанным в </w:t>
      </w:r>
      <w:hyperlink w:history="0" w:anchor="P84" w:tooltip="6.3. Проекты, участвующие в конкурсе, оцениваются конкурсной комиссией по следующим критериям:">
        <w:r>
          <w:rPr>
            <w:sz w:val="20"/>
            <w:color w:val="0000ff"/>
          </w:rPr>
          <w:t xml:space="preserve">пункте 6.3</w:t>
        </w:r>
      </w:hyperlink>
      <w:r>
        <w:rPr>
          <w:sz w:val="20"/>
        </w:rPr>
        <w:t xml:space="preserve"> настоящего Положения.</w:t>
      </w:r>
    </w:p>
    <w:p>
      <w:pPr>
        <w:pStyle w:val="0"/>
        <w:spacing w:before="200" w:line-rule="auto"/>
        <w:ind w:firstLine="540"/>
        <w:jc w:val="both"/>
      </w:pPr>
      <w:r>
        <w:rPr>
          <w:sz w:val="20"/>
        </w:rPr>
        <w:t xml:space="preserve">5.3. Конкурсная комиссия на первом заседании самостоятельно определяет порядок своей работы.</w:t>
      </w:r>
    </w:p>
    <w:p>
      <w:pPr>
        <w:pStyle w:val="0"/>
        <w:spacing w:before="200" w:line-rule="auto"/>
        <w:ind w:firstLine="540"/>
        <w:jc w:val="both"/>
      </w:pPr>
      <w:r>
        <w:rPr>
          <w:sz w:val="20"/>
        </w:rPr>
        <w:t xml:space="preserve">5.4. Все 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 Все присутствующие на заседании члены конкурсной комиссии имеют равные права при голосовании. При равенстве голосов право решающего голоса имеет председатель конкурсной комиссии, при его отсутствии - заместитель председателя конкурсной комиссии. Делегирование полномочий отсутствующих на заседании членов конкурсной комиссии третьим лицам или другим членам конкурсной комиссии не допускается.</w:t>
      </w:r>
    </w:p>
    <w:p>
      <w:pPr>
        <w:pStyle w:val="0"/>
        <w:spacing w:before="200" w:line-rule="auto"/>
        <w:ind w:firstLine="540"/>
        <w:jc w:val="both"/>
      </w:pPr>
      <w:r>
        <w:rPr>
          <w:sz w:val="20"/>
        </w:rPr>
        <w:t xml:space="preserve">5.5. Организационно-техническое обеспечение работы конкурсной комиссии осуществляет ГБУ КО "ОМЦ".</w:t>
      </w:r>
    </w:p>
    <w:p>
      <w:pPr>
        <w:pStyle w:val="0"/>
        <w:jc w:val="both"/>
      </w:pPr>
      <w:r>
        <w:rPr>
          <w:sz w:val="20"/>
        </w:rPr>
      </w:r>
    </w:p>
    <w:p>
      <w:pPr>
        <w:pStyle w:val="2"/>
        <w:outlineLvl w:val="1"/>
        <w:jc w:val="center"/>
      </w:pPr>
      <w:r>
        <w:rPr>
          <w:sz w:val="20"/>
        </w:rPr>
        <w:t xml:space="preserve">6. Сроки проведения и порядок участия в конкурсе</w:t>
      </w:r>
    </w:p>
    <w:p>
      <w:pPr>
        <w:pStyle w:val="0"/>
        <w:jc w:val="both"/>
      </w:pPr>
      <w:r>
        <w:rPr>
          <w:sz w:val="20"/>
        </w:rPr>
      </w:r>
    </w:p>
    <w:p>
      <w:pPr>
        <w:pStyle w:val="0"/>
        <w:ind w:firstLine="540"/>
        <w:jc w:val="both"/>
      </w:pPr>
      <w:r>
        <w:rPr>
          <w:sz w:val="20"/>
        </w:rPr>
        <w:t xml:space="preserve">6.1. Конкурс проводится ежегодно в три этапа:</w:t>
      </w:r>
    </w:p>
    <w:p>
      <w:pPr>
        <w:pStyle w:val="0"/>
        <w:spacing w:before="200" w:line-rule="auto"/>
        <w:ind w:firstLine="540"/>
        <w:jc w:val="both"/>
      </w:pPr>
      <w:r>
        <w:rPr>
          <w:sz w:val="20"/>
        </w:rPr>
        <w:t xml:space="preserve">6.1.1. Первый этап: информационно-подготовительный. В период с 18 по 20 октября текущего года информация о сроках проведения конкурса публикуется в информационно-телекоммуникационной сети Интернет на портале управления в разделе "Молодежная политика" (</w:t>
      </w:r>
      <w:r>
        <w:rPr>
          <w:sz w:val="20"/>
        </w:rPr>
        <w:t xml:space="preserve">https://molodezh40.ru</w:t>
      </w:r>
      <w:r>
        <w:rPr>
          <w:sz w:val="20"/>
        </w:rPr>
        <w:t xml:space="preserve">).</w:t>
      </w:r>
    </w:p>
    <w:bookmarkStart w:id="81" w:name="P81"/>
    <w:bookmarkEnd w:id="81"/>
    <w:p>
      <w:pPr>
        <w:pStyle w:val="0"/>
        <w:spacing w:before="200" w:line-rule="auto"/>
        <w:ind w:firstLine="540"/>
        <w:jc w:val="both"/>
      </w:pPr>
      <w:r>
        <w:rPr>
          <w:sz w:val="20"/>
        </w:rPr>
        <w:t xml:space="preserve">6.1.2. Второй этап: подача документов. В течение 45 календарных дней с момента публикации информации о конкурсе на информационном портале управления участники конкурса направляют электронную </w:t>
      </w:r>
      <w:hyperlink w:history="0" w:anchor="P119" w:tooltip="Заявка">
        <w:r>
          <w:rPr>
            <w:sz w:val="20"/>
            <w:color w:val="0000ff"/>
          </w:rPr>
          <w:t xml:space="preserve">заявку</w:t>
        </w:r>
      </w:hyperlink>
      <w:r>
        <w:rPr>
          <w:sz w:val="20"/>
        </w:rPr>
        <w:t xml:space="preserve"> на участие в конкурсе по форме согласно приложению N 1 к настоящему Положению и электронный документ </w:t>
      </w:r>
      <w:hyperlink w:history="0" w:anchor="P148" w:tooltip="ФОРМА ПРОЕКТА">
        <w:r>
          <w:rPr>
            <w:sz w:val="20"/>
            <w:color w:val="0000ff"/>
          </w:rPr>
          <w:t xml:space="preserve">проекта</w:t>
        </w:r>
      </w:hyperlink>
      <w:r>
        <w:rPr>
          <w:sz w:val="20"/>
        </w:rPr>
        <w:t xml:space="preserve"> (может сопровождаться фото-, видеоматериалами) по форме согласно приложению N 2 к настоящему Положению в конкурсную комиссию по электронному адресу nadobro1000000@yandex.ru с пометкой "На конкурс проектов в сфере добровольчества (волонтерства)". Документы также могут быть представлены участником лично.</w:t>
      </w:r>
    </w:p>
    <w:p>
      <w:pPr>
        <w:pStyle w:val="0"/>
        <w:spacing w:before="200" w:line-rule="auto"/>
        <w:ind w:firstLine="540"/>
        <w:jc w:val="both"/>
      </w:pPr>
      <w:r>
        <w:rPr>
          <w:sz w:val="20"/>
        </w:rPr>
        <w:t xml:space="preserve">6.1.3. Третий этап: финал конкурса. Финал конкурса. В финале принимают участие все участники, представившие конкурсные документы, соответствующие требованиям </w:t>
      </w:r>
      <w:hyperlink w:history="0" w:anchor="P81" w:tooltip="6.1.2. Второй этап: подача документов. В течение 45 календарных дней с момента публикации информации о конкурсе на информационном портале управления участники конкурса направляют электронную заявку на участие в конкурсе по форме согласно приложению N 1 к настоящему Положению и электронный документ проекта (может сопровождаться фото-, видеоматериалами) по форме согласно приложению N 2 к настоящему Положению в конкурсную комиссию по электронному адресу nadobro1000000@yandex.ru с пометкой &quot;На конкурс проект...">
        <w:r>
          <w:rPr>
            <w:sz w:val="20"/>
            <w:color w:val="0000ff"/>
          </w:rPr>
          <w:t xml:space="preserve">пункта 6.1.2</w:t>
        </w:r>
      </w:hyperlink>
      <w:r>
        <w:rPr>
          <w:sz w:val="20"/>
        </w:rPr>
        <w:t xml:space="preserve"> настоящего Положения. В ходе финала участники выступают с презентацией проекта на тему заявленной номинации конкурса. Продолжительность презентации - не более 7 минут.</w:t>
      </w:r>
    </w:p>
    <w:p>
      <w:pPr>
        <w:pStyle w:val="0"/>
        <w:spacing w:before="200" w:line-rule="auto"/>
        <w:ind w:firstLine="540"/>
        <w:jc w:val="both"/>
      </w:pPr>
      <w:r>
        <w:rPr>
          <w:sz w:val="20"/>
        </w:rPr>
        <w:t xml:space="preserve">6.2. Конкурсная комиссия определяет сроки и место проведения финала, информирует об этом участников и размещает информацию на портале (</w:t>
      </w:r>
      <w:r>
        <w:rPr>
          <w:sz w:val="20"/>
        </w:rPr>
        <w:t xml:space="preserve">https://molodezh40.ru</w:t>
      </w:r>
      <w:r>
        <w:rPr>
          <w:sz w:val="20"/>
        </w:rPr>
        <w:t xml:space="preserve">) не позднее чем за 2 рабочих дня до даты проведения финала конкурса.</w:t>
      </w:r>
    </w:p>
    <w:bookmarkStart w:id="84" w:name="P84"/>
    <w:bookmarkEnd w:id="84"/>
    <w:p>
      <w:pPr>
        <w:pStyle w:val="0"/>
        <w:spacing w:before="200" w:line-rule="auto"/>
        <w:ind w:firstLine="540"/>
        <w:jc w:val="both"/>
      </w:pPr>
      <w:r>
        <w:rPr>
          <w:sz w:val="20"/>
        </w:rPr>
        <w:t xml:space="preserve">6.3. Проекты, участвующие в конкурсе, оцениваются конкурсной комиссией по следующим критериям:</w:t>
      </w:r>
    </w:p>
    <w:p>
      <w:pPr>
        <w:pStyle w:val="0"/>
        <w:spacing w:before="200" w:line-rule="auto"/>
        <w:ind w:firstLine="540"/>
        <w:jc w:val="both"/>
      </w:pPr>
      <w:r>
        <w:rPr>
          <w:sz w:val="20"/>
        </w:rPr>
        <w:t xml:space="preserve">- актуальность, социальная значимость проекта;</w:t>
      </w:r>
    </w:p>
    <w:p>
      <w:pPr>
        <w:pStyle w:val="0"/>
        <w:spacing w:before="200" w:line-rule="auto"/>
        <w:ind w:firstLine="540"/>
        <w:jc w:val="both"/>
      </w:pPr>
      <w:r>
        <w:rPr>
          <w:sz w:val="20"/>
        </w:rPr>
        <w:t xml:space="preserve">- вовлеченность в реализацию проекта сообщества заинтересованных граждан (волонтеров, благополучателей);</w:t>
      </w:r>
    </w:p>
    <w:p>
      <w:pPr>
        <w:pStyle w:val="0"/>
        <w:spacing w:before="200" w:line-rule="auto"/>
        <w:ind w:firstLine="540"/>
        <w:jc w:val="both"/>
      </w:pPr>
      <w:r>
        <w:rPr>
          <w:sz w:val="20"/>
        </w:rPr>
        <w:t xml:space="preserve">- использование в реализации проекта современных подходов, техник и инноваций;</w:t>
      </w:r>
    </w:p>
    <w:p>
      <w:pPr>
        <w:pStyle w:val="0"/>
        <w:spacing w:before="200" w:line-rule="auto"/>
        <w:ind w:firstLine="540"/>
        <w:jc w:val="both"/>
      </w:pPr>
      <w:r>
        <w:rPr>
          <w:sz w:val="20"/>
        </w:rPr>
        <w:t xml:space="preserve">- качественные и количественные результаты реализации проекта на момент участия в конкурсе;</w:t>
      </w:r>
    </w:p>
    <w:p>
      <w:pPr>
        <w:pStyle w:val="0"/>
        <w:spacing w:before="200" w:line-rule="auto"/>
        <w:ind w:firstLine="540"/>
        <w:jc w:val="both"/>
      </w:pPr>
      <w:r>
        <w:rPr>
          <w:sz w:val="20"/>
        </w:rPr>
        <w:t xml:space="preserve">- наличие логической связи между проблемой, целями, задачами и мероприятиями проекта;</w:t>
      </w:r>
    </w:p>
    <w:p>
      <w:pPr>
        <w:pStyle w:val="0"/>
        <w:spacing w:before="200" w:line-rule="auto"/>
        <w:ind w:firstLine="540"/>
        <w:jc w:val="both"/>
      </w:pPr>
      <w:r>
        <w:rPr>
          <w:sz w:val="20"/>
        </w:rPr>
        <w:t xml:space="preserve">- соотношение и целесообразность планируемых расходов на реализацию проекта и его ожидаемых результатов.</w:t>
      </w:r>
    </w:p>
    <w:p>
      <w:pPr>
        <w:pStyle w:val="0"/>
        <w:spacing w:before="200" w:line-rule="auto"/>
        <w:ind w:firstLine="540"/>
        <w:jc w:val="both"/>
      </w:pPr>
      <w:r>
        <w:rPr>
          <w:sz w:val="20"/>
        </w:rPr>
        <w:t xml:space="preserve">6.4. Максимальная оценка по каждому критерию во всех номинациях конкурса составляет 10 баллов.</w:t>
      </w:r>
    </w:p>
    <w:p>
      <w:pPr>
        <w:pStyle w:val="0"/>
        <w:jc w:val="both"/>
      </w:pPr>
      <w:r>
        <w:rPr>
          <w:sz w:val="20"/>
        </w:rPr>
      </w:r>
    </w:p>
    <w:p>
      <w:pPr>
        <w:pStyle w:val="2"/>
        <w:outlineLvl w:val="1"/>
        <w:jc w:val="center"/>
      </w:pPr>
      <w:r>
        <w:rPr>
          <w:sz w:val="20"/>
        </w:rPr>
        <w:t xml:space="preserve">7. Подведение итогов конкурса</w:t>
      </w:r>
    </w:p>
    <w:p>
      <w:pPr>
        <w:pStyle w:val="0"/>
        <w:jc w:val="both"/>
      </w:pPr>
      <w:r>
        <w:rPr>
          <w:sz w:val="20"/>
        </w:rPr>
      </w:r>
    </w:p>
    <w:p>
      <w:pPr>
        <w:pStyle w:val="0"/>
        <w:ind w:firstLine="540"/>
        <w:jc w:val="both"/>
      </w:pPr>
      <w:r>
        <w:rPr>
          <w:sz w:val="20"/>
        </w:rPr>
        <w:t xml:space="preserve">7.1. Любая номинация конкурса считается состоявшейся, если в ней представлены как минимум три проекта. Номинации с количеством представленных для участия в конкурсе менее трех проектов считаются несостоявшимися, и победители в них не выбираются.</w:t>
      </w:r>
    </w:p>
    <w:p>
      <w:pPr>
        <w:pStyle w:val="0"/>
        <w:spacing w:before="200" w:line-rule="auto"/>
        <w:ind w:firstLine="540"/>
        <w:jc w:val="both"/>
      </w:pPr>
      <w:r>
        <w:rPr>
          <w:sz w:val="20"/>
        </w:rPr>
        <w:t xml:space="preserve">7.2. Победителем номинации является участник, набравший наибольшее количество баллов.</w:t>
      </w:r>
    </w:p>
    <w:p>
      <w:pPr>
        <w:pStyle w:val="0"/>
        <w:spacing w:before="200" w:line-rule="auto"/>
        <w:ind w:firstLine="540"/>
        <w:jc w:val="both"/>
      </w:pPr>
      <w:r>
        <w:rPr>
          <w:sz w:val="20"/>
        </w:rPr>
        <w:t xml:space="preserve">7.3. В случае равенства сумм баллов нескольких участников конкурса победителя в номинации определяет председатель конкурсной комиссии.</w:t>
      </w:r>
    </w:p>
    <w:p>
      <w:pPr>
        <w:pStyle w:val="0"/>
        <w:spacing w:before="200" w:line-rule="auto"/>
        <w:ind w:firstLine="540"/>
        <w:jc w:val="both"/>
      </w:pPr>
      <w:r>
        <w:rPr>
          <w:sz w:val="20"/>
        </w:rPr>
        <w:t xml:space="preserve">7.4. Победитель в каждой номинации конкурса получает денежное вознаграждение в размере 100000 (сто тысяч) рублей.</w:t>
      </w:r>
    </w:p>
    <w:p>
      <w:pPr>
        <w:pStyle w:val="0"/>
        <w:spacing w:before="200" w:line-rule="auto"/>
        <w:ind w:firstLine="540"/>
        <w:jc w:val="both"/>
      </w:pPr>
      <w:r>
        <w:rPr>
          <w:sz w:val="20"/>
        </w:rPr>
        <w:t xml:space="preserve">7.5. Награждение победителей в каждой номинации конкурса проводится в торжественной обстановке и освещается в средствах массовой информации.</w:t>
      </w:r>
    </w:p>
    <w:p>
      <w:pPr>
        <w:pStyle w:val="0"/>
        <w:spacing w:before="200" w:line-rule="auto"/>
        <w:ind w:firstLine="540"/>
        <w:jc w:val="both"/>
      </w:pPr>
      <w:r>
        <w:rPr>
          <w:sz w:val="20"/>
        </w:rPr>
        <w:t xml:space="preserve">7.6. Результаты работы конкурсной комиссии оформляются в виде протокола, подписываются председателем конкурсной комиссии и секретарем конкурсной комиссии и передаются в управление. На основании протокола в течение 2 (двух) рабочих дней издается приказ управления об итогах проведения конкурса.</w:t>
      </w:r>
    </w:p>
    <w:p>
      <w:pPr>
        <w:pStyle w:val="0"/>
        <w:spacing w:before="200" w:line-rule="auto"/>
        <w:ind w:firstLine="540"/>
        <w:jc w:val="both"/>
      </w:pPr>
      <w:r>
        <w:rPr>
          <w:sz w:val="20"/>
        </w:rPr>
        <w:t xml:space="preserve">7.7. Денежное вознаграждение победителям конкурса осуществляется путем перечисления денежных средств на лицевые счета победителей конкурса, открытые ими в кредитных организациях.</w:t>
      </w:r>
    </w:p>
    <w:p>
      <w:pPr>
        <w:pStyle w:val="0"/>
        <w:spacing w:before="200" w:line-rule="auto"/>
        <w:ind w:firstLine="540"/>
        <w:jc w:val="both"/>
      </w:pPr>
      <w:r>
        <w:rPr>
          <w:sz w:val="20"/>
        </w:rPr>
        <w:t xml:space="preserve">7.8. Информация об итогах конкурса публикуется на портале (</w:t>
      </w:r>
      <w:r>
        <w:rPr>
          <w:sz w:val="20"/>
        </w:rPr>
        <w:t xml:space="preserve">https://molodezh40.ru</w:t>
      </w:r>
      <w:r>
        <w:rPr>
          <w:sz w:val="20"/>
        </w:rPr>
        <w:t xml:space="preserve">) в течение 2 (двух) рабочих дней со дня издания приказа управления об итогах проведения конкурса.</w:t>
      </w:r>
    </w:p>
    <w:p>
      <w:pPr>
        <w:pStyle w:val="0"/>
        <w:spacing w:before="200" w:line-rule="auto"/>
        <w:ind w:firstLine="540"/>
        <w:jc w:val="both"/>
      </w:pPr>
      <w:r>
        <w:rPr>
          <w:sz w:val="20"/>
        </w:rPr>
        <w:t xml:space="preserve">7.9. Участники конкурса имеют право обжаловать итоги конкурса в соответствии с действующим законодательством Российской Федерации.</w:t>
      </w:r>
    </w:p>
    <w:p>
      <w:pPr>
        <w:pStyle w:val="0"/>
        <w:jc w:val="both"/>
      </w:pPr>
      <w:r>
        <w:rPr>
          <w:sz w:val="20"/>
        </w:rPr>
      </w:r>
    </w:p>
    <w:p>
      <w:pPr>
        <w:pStyle w:val="2"/>
        <w:outlineLvl w:val="1"/>
        <w:jc w:val="center"/>
      </w:pPr>
      <w:r>
        <w:rPr>
          <w:sz w:val="20"/>
        </w:rPr>
        <w:t xml:space="preserve">8. Финансирование конкурса</w:t>
      </w:r>
    </w:p>
    <w:p>
      <w:pPr>
        <w:pStyle w:val="0"/>
        <w:jc w:val="both"/>
      </w:pPr>
      <w:r>
        <w:rPr>
          <w:sz w:val="20"/>
        </w:rPr>
      </w:r>
    </w:p>
    <w:p>
      <w:pPr>
        <w:pStyle w:val="0"/>
        <w:ind w:firstLine="540"/>
        <w:jc w:val="both"/>
      </w:pPr>
      <w:r>
        <w:rPr>
          <w:sz w:val="20"/>
        </w:rPr>
        <w:t xml:space="preserve">8.1. Финансирование расходов, связанных с проведением конкурса, осуществляется в рамках </w:t>
      </w:r>
      <w:hyperlink w:history="0" r:id="rId9" w:tooltip="Постановление Правительства Калужской области от 12.02.2019 N 94 (ред. от 07.07.2023) &quot;Об утверждении государственной программы Калужской области &quot;Повышение эффективности реализации молодежной политики, развитие волонтерского движения, системы оздоровления и отдыха детей в Калужской области&quot; {КонсультантПлюс}">
        <w:r>
          <w:rPr>
            <w:sz w:val="20"/>
            <w:color w:val="0000ff"/>
          </w:rPr>
          <w:t xml:space="preserve">подпункта 1.1.2 пункта 1.1 раздела 5</w:t>
        </w:r>
      </w:hyperlink>
      <w:r>
        <w:rPr>
          <w:sz w:val="20"/>
        </w:rPr>
        <w:t xml:space="preserve"> "Перечень мероприятий подпрограммы "Поддержка добровольчества в Калужской области" подраздела 6.2 "Подпрограмма "Поддержка добровольчества в Калужской области" раздела 6 "Подпрограммы государственной программы" государственной программы Калужской области "Повышение эффективности реализации молодежной политики, развитие волонтерского движения, системы оздоровления и отдыха детей в Калужской области", утвержденной постановлением Правительства Калужской области от 12.02.2019 N 94 "Об утверждении государственной программы Калужской области "Повышение эффективности реализации молодежной политики, развитие волонтерского движения, системы оздоровления и отдыха детей в Калужской области" (в ред. постановлений Правительства Калужской области от 12.12.2019 N 790, от 24.12.2019 N 844/1, от 20.03.2020 N 220, от 30.09.2020 N 767, от 19.03.2021 N 155, от 14.05.2021 N 309, от 23.11.2021 N 785, от 15.03.2022 N 184, от 23.05.2022 N 361/1, от 20.06.2023 N 423, от 07.07.2023 N 489).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проведении регионального конкурса</w:t>
      </w:r>
    </w:p>
    <w:p>
      <w:pPr>
        <w:pStyle w:val="0"/>
        <w:jc w:val="right"/>
      </w:pPr>
      <w:r>
        <w:rPr>
          <w:sz w:val="20"/>
        </w:rPr>
        <w:t xml:space="preserve">по поддержке проектов в сфере</w:t>
      </w:r>
    </w:p>
    <w:p>
      <w:pPr>
        <w:pStyle w:val="0"/>
        <w:jc w:val="right"/>
      </w:pPr>
      <w:r>
        <w:rPr>
          <w:sz w:val="20"/>
        </w:rPr>
        <w:t xml:space="preserve">добровольчества (волонтерства)</w:t>
      </w:r>
    </w:p>
    <w:p>
      <w:pPr>
        <w:pStyle w:val="0"/>
        <w:jc w:val="both"/>
      </w:pPr>
      <w:r>
        <w:rPr>
          <w:sz w:val="20"/>
        </w:rPr>
      </w:r>
    </w:p>
    <w:bookmarkStart w:id="119" w:name="P119"/>
    <w:bookmarkEnd w:id="119"/>
    <w:p>
      <w:pPr>
        <w:pStyle w:val="0"/>
        <w:jc w:val="center"/>
      </w:pPr>
      <w:r>
        <w:rPr>
          <w:sz w:val="20"/>
        </w:rPr>
        <w:t xml:space="preserve">Заявка</w:t>
      </w:r>
    </w:p>
    <w:p>
      <w:pPr>
        <w:pStyle w:val="0"/>
        <w:jc w:val="center"/>
      </w:pPr>
      <w:r>
        <w:rPr>
          <w:sz w:val="20"/>
        </w:rPr>
        <w:t xml:space="preserve">на участие в региональном конкурсе по поддержке проектов</w:t>
      </w:r>
    </w:p>
    <w:p>
      <w:pPr>
        <w:pStyle w:val="0"/>
        <w:jc w:val="center"/>
      </w:pPr>
      <w:r>
        <w:rPr>
          <w:sz w:val="20"/>
        </w:rPr>
        <w:t xml:space="preserve">в сфере 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4"/>
        <w:gridCol w:w="5953"/>
      </w:tblGrid>
      <w:tr>
        <w:tc>
          <w:tcPr>
            <w:tcW w:w="3114" w:type="dxa"/>
          </w:tcPr>
          <w:p>
            <w:pPr>
              <w:pStyle w:val="0"/>
            </w:pPr>
            <w:r>
              <w:rPr>
                <w:sz w:val="20"/>
              </w:rPr>
              <w:t xml:space="preserve">Фамилия</w:t>
            </w:r>
          </w:p>
        </w:tc>
        <w:tc>
          <w:tcPr>
            <w:tcW w:w="5953" w:type="dxa"/>
          </w:tcPr>
          <w:p>
            <w:pPr>
              <w:pStyle w:val="0"/>
            </w:pPr>
            <w:r>
              <w:rPr>
                <w:sz w:val="20"/>
              </w:rPr>
            </w:r>
          </w:p>
        </w:tc>
      </w:tr>
      <w:tr>
        <w:tc>
          <w:tcPr>
            <w:tcW w:w="3114" w:type="dxa"/>
          </w:tcPr>
          <w:p>
            <w:pPr>
              <w:pStyle w:val="0"/>
            </w:pPr>
            <w:r>
              <w:rPr>
                <w:sz w:val="20"/>
              </w:rPr>
              <w:t xml:space="preserve">Имя</w:t>
            </w:r>
          </w:p>
        </w:tc>
        <w:tc>
          <w:tcPr>
            <w:tcW w:w="5953" w:type="dxa"/>
          </w:tcPr>
          <w:p>
            <w:pPr>
              <w:pStyle w:val="0"/>
            </w:pPr>
            <w:r>
              <w:rPr>
                <w:sz w:val="20"/>
              </w:rPr>
            </w:r>
          </w:p>
        </w:tc>
      </w:tr>
      <w:tr>
        <w:tc>
          <w:tcPr>
            <w:tcW w:w="3114" w:type="dxa"/>
          </w:tcPr>
          <w:p>
            <w:pPr>
              <w:pStyle w:val="0"/>
            </w:pPr>
            <w:r>
              <w:rPr>
                <w:sz w:val="20"/>
              </w:rPr>
              <w:t xml:space="preserve">Отчество</w:t>
            </w:r>
          </w:p>
        </w:tc>
        <w:tc>
          <w:tcPr>
            <w:tcW w:w="5953" w:type="dxa"/>
          </w:tcPr>
          <w:p>
            <w:pPr>
              <w:pStyle w:val="0"/>
            </w:pPr>
            <w:r>
              <w:rPr>
                <w:sz w:val="20"/>
              </w:rPr>
            </w:r>
          </w:p>
        </w:tc>
      </w:tr>
      <w:tr>
        <w:tc>
          <w:tcPr>
            <w:tcW w:w="3114" w:type="dxa"/>
          </w:tcPr>
          <w:p>
            <w:pPr>
              <w:pStyle w:val="0"/>
            </w:pPr>
            <w:r>
              <w:rPr>
                <w:sz w:val="20"/>
              </w:rPr>
              <w:t xml:space="preserve">Дата рождения</w:t>
            </w:r>
          </w:p>
        </w:tc>
        <w:tc>
          <w:tcPr>
            <w:tcW w:w="5953" w:type="dxa"/>
          </w:tcPr>
          <w:p>
            <w:pPr>
              <w:pStyle w:val="0"/>
            </w:pPr>
            <w:r>
              <w:rPr>
                <w:sz w:val="20"/>
              </w:rPr>
            </w:r>
          </w:p>
        </w:tc>
      </w:tr>
      <w:tr>
        <w:tc>
          <w:tcPr>
            <w:tcW w:w="3114" w:type="dxa"/>
          </w:tcPr>
          <w:p>
            <w:pPr>
              <w:pStyle w:val="0"/>
            </w:pPr>
            <w:r>
              <w:rPr>
                <w:sz w:val="20"/>
              </w:rPr>
              <w:t xml:space="preserve">Адрес проживания</w:t>
            </w:r>
          </w:p>
        </w:tc>
        <w:tc>
          <w:tcPr>
            <w:tcW w:w="5953" w:type="dxa"/>
          </w:tcPr>
          <w:p>
            <w:pPr>
              <w:pStyle w:val="0"/>
            </w:pPr>
            <w:r>
              <w:rPr>
                <w:sz w:val="20"/>
              </w:rPr>
            </w:r>
          </w:p>
        </w:tc>
      </w:tr>
      <w:tr>
        <w:tc>
          <w:tcPr>
            <w:tcW w:w="3114" w:type="dxa"/>
          </w:tcPr>
          <w:p>
            <w:pPr>
              <w:pStyle w:val="0"/>
            </w:pPr>
            <w:r>
              <w:rPr>
                <w:sz w:val="20"/>
              </w:rPr>
              <w:t xml:space="preserve">Контактный телефон</w:t>
            </w:r>
          </w:p>
        </w:tc>
        <w:tc>
          <w:tcPr>
            <w:tcW w:w="5953" w:type="dxa"/>
          </w:tcPr>
          <w:p>
            <w:pPr>
              <w:pStyle w:val="0"/>
            </w:pPr>
            <w:r>
              <w:rPr>
                <w:sz w:val="20"/>
              </w:rPr>
            </w:r>
          </w:p>
        </w:tc>
      </w:tr>
      <w:tr>
        <w:tc>
          <w:tcPr>
            <w:tcW w:w="3114" w:type="dxa"/>
          </w:tcPr>
          <w:p>
            <w:pPr>
              <w:pStyle w:val="0"/>
            </w:pPr>
            <w:r>
              <w:rPr>
                <w:sz w:val="20"/>
              </w:rPr>
              <w:t xml:space="preserve">Номинация конкурса</w:t>
            </w:r>
          </w:p>
        </w:tc>
        <w:tc>
          <w:tcPr>
            <w:tcW w:w="5953"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проведении регионального конкурса</w:t>
      </w:r>
    </w:p>
    <w:p>
      <w:pPr>
        <w:pStyle w:val="0"/>
        <w:jc w:val="right"/>
      </w:pPr>
      <w:r>
        <w:rPr>
          <w:sz w:val="20"/>
        </w:rPr>
        <w:t xml:space="preserve">по поддержке проектов в сфере</w:t>
      </w:r>
    </w:p>
    <w:p>
      <w:pPr>
        <w:pStyle w:val="0"/>
        <w:jc w:val="right"/>
      </w:pPr>
      <w:r>
        <w:rPr>
          <w:sz w:val="20"/>
        </w:rPr>
        <w:t xml:space="preserve">добровольчества (волонтерства)</w:t>
      </w:r>
    </w:p>
    <w:p>
      <w:pPr>
        <w:pStyle w:val="0"/>
        <w:jc w:val="both"/>
      </w:pPr>
      <w:r>
        <w:rPr>
          <w:sz w:val="20"/>
        </w:rPr>
      </w:r>
    </w:p>
    <w:bookmarkStart w:id="148" w:name="P148"/>
    <w:bookmarkEnd w:id="148"/>
    <w:p>
      <w:pPr>
        <w:pStyle w:val="0"/>
        <w:jc w:val="center"/>
      </w:pPr>
      <w:r>
        <w:rPr>
          <w:sz w:val="20"/>
        </w:rPr>
        <w:t xml:space="preserve">ФОРМА ПРОЕКТА</w:t>
      </w:r>
    </w:p>
    <w:p>
      <w:pPr>
        <w:pStyle w:val="0"/>
        <w:jc w:val="center"/>
      </w:pPr>
      <w:r>
        <w:rPr>
          <w:sz w:val="20"/>
        </w:rPr>
        <w:t xml:space="preserve">для участия в региональном конкурсе по поддержке проектов</w:t>
      </w:r>
    </w:p>
    <w:p>
      <w:pPr>
        <w:pStyle w:val="0"/>
        <w:jc w:val="center"/>
      </w:pPr>
      <w:r>
        <w:rPr>
          <w:sz w:val="20"/>
        </w:rPr>
        <w:t xml:space="preserve">в сфере добровольчества (волонтерства)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460"/>
        <w:gridCol w:w="1191"/>
        <w:gridCol w:w="1684"/>
        <w:gridCol w:w="907"/>
        <w:gridCol w:w="1077"/>
        <w:gridCol w:w="1077"/>
      </w:tblGrid>
      <w:tr>
        <w:tc>
          <w:tcPr>
            <w:tcW w:w="2665" w:type="dxa"/>
          </w:tcPr>
          <w:p>
            <w:pPr>
              <w:pStyle w:val="0"/>
            </w:pPr>
            <w:r>
              <w:rPr>
                <w:sz w:val="20"/>
              </w:rPr>
              <w:t xml:space="preserve">Автор проекта</w:t>
            </w:r>
          </w:p>
        </w:tc>
        <w:tc>
          <w:tcPr>
            <w:gridSpan w:val="6"/>
            <w:tcW w:w="6396" w:type="dxa"/>
          </w:tcPr>
          <w:p>
            <w:pPr>
              <w:pStyle w:val="0"/>
            </w:pPr>
            <w:r>
              <w:rPr>
                <w:sz w:val="20"/>
              </w:rPr>
            </w:r>
          </w:p>
        </w:tc>
      </w:tr>
      <w:tr>
        <w:tc>
          <w:tcPr>
            <w:tcW w:w="2665" w:type="dxa"/>
          </w:tcPr>
          <w:p>
            <w:pPr>
              <w:pStyle w:val="0"/>
            </w:pPr>
            <w:r>
              <w:rPr>
                <w:sz w:val="20"/>
              </w:rPr>
              <w:t xml:space="preserve">Название проекта</w:t>
            </w:r>
          </w:p>
        </w:tc>
        <w:tc>
          <w:tcPr>
            <w:gridSpan w:val="6"/>
            <w:tcW w:w="6396" w:type="dxa"/>
          </w:tcPr>
          <w:p>
            <w:pPr>
              <w:pStyle w:val="0"/>
            </w:pPr>
            <w:r>
              <w:rPr>
                <w:sz w:val="20"/>
              </w:rPr>
            </w:r>
          </w:p>
        </w:tc>
      </w:tr>
      <w:tr>
        <w:tc>
          <w:tcPr>
            <w:tcW w:w="2665" w:type="dxa"/>
          </w:tcPr>
          <w:p>
            <w:pPr>
              <w:pStyle w:val="0"/>
            </w:pPr>
            <w:r>
              <w:rPr>
                <w:sz w:val="20"/>
              </w:rPr>
              <w:t xml:space="preserve">Номинация конкурса</w:t>
            </w:r>
          </w:p>
        </w:tc>
        <w:tc>
          <w:tcPr>
            <w:gridSpan w:val="6"/>
            <w:tcW w:w="6396" w:type="dxa"/>
          </w:tcPr>
          <w:p>
            <w:pPr>
              <w:pStyle w:val="0"/>
            </w:pPr>
            <w:r>
              <w:rPr>
                <w:sz w:val="20"/>
              </w:rPr>
            </w:r>
          </w:p>
        </w:tc>
      </w:tr>
      <w:tr>
        <w:tc>
          <w:tcPr>
            <w:tcW w:w="2665" w:type="dxa"/>
          </w:tcPr>
          <w:p>
            <w:pPr>
              <w:pStyle w:val="0"/>
            </w:pPr>
            <w:r>
              <w:rPr>
                <w:sz w:val="20"/>
              </w:rPr>
              <w:t xml:space="preserve">Краткое описание проекта</w:t>
            </w:r>
          </w:p>
        </w:tc>
        <w:tc>
          <w:tcPr>
            <w:gridSpan w:val="6"/>
            <w:tcW w:w="6396" w:type="dxa"/>
          </w:tcPr>
          <w:p>
            <w:pPr>
              <w:pStyle w:val="0"/>
            </w:pPr>
            <w:r>
              <w:rPr>
                <w:sz w:val="20"/>
              </w:rPr>
            </w:r>
          </w:p>
        </w:tc>
      </w:tr>
      <w:tr>
        <w:tc>
          <w:tcPr>
            <w:tcW w:w="2665" w:type="dxa"/>
          </w:tcPr>
          <w:p>
            <w:pPr>
              <w:pStyle w:val="0"/>
            </w:pPr>
            <w:r>
              <w:rPr>
                <w:sz w:val="20"/>
              </w:rPr>
              <w:t xml:space="preserve">Основная цель и задачи проекта</w:t>
            </w:r>
          </w:p>
        </w:tc>
        <w:tc>
          <w:tcPr>
            <w:gridSpan w:val="6"/>
            <w:tcW w:w="6396" w:type="dxa"/>
          </w:tcPr>
          <w:p>
            <w:pPr>
              <w:pStyle w:val="0"/>
            </w:pPr>
            <w:r>
              <w:rPr>
                <w:sz w:val="20"/>
              </w:rPr>
            </w:r>
          </w:p>
        </w:tc>
      </w:tr>
      <w:tr>
        <w:tc>
          <w:tcPr>
            <w:tcW w:w="2665" w:type="dxa"/>
          </w:tcPr>
          <w:p>
            <w:pPr>
              <w:pStyle w:val="0"/>
            </w:pPr>
            <w:r>
              <w:rPr>
                <w:sz w:val="20"/>
              </w:rPr>
              <w:t xml:space="preserve">Описание проблемы, на решение которой направлен проект, обоснование актуальности и социальной значимости проекта и предлагаемых решений</w:t>
            </w:r>
          </w:p>
        </w:tc>
        <w:tc>
          <w:tcPr>
            <w:gridSpan w:val="6"/>
            <w:tcW w:w="6396" w:type="dxa"/>
          </w:tcPr>
          <w:p>
            <w:pPr>
              <w:pStyle w:val="0"/>
            </w:pPr>
            <w:r>
              <w:rPr>
                <w:sz w:val="20"/>
              </w:rPr>
            </w:r>
          </w:p>
        </w:tc>
      </w:tr>
      <w:tr>
        <w:tc>
          <w:tcPr>
            <w:tcW w:w="2665" w:type="dxa"/>
          </w:tcPr>
          <w:p>
            <w:pPr>
              <w:pStyle w:val="0"/>
            </w:pPr>
            <w:r>
              <w:rPr>
                <w:sz w:val="20"/>
              </w:rPr>
              <w:t xml:space="preserve">Основная целевая группа (на кого направлен проект, сколько человек)</w:t>
            </w:r>
          </w:p>
        </w:tc>
        <w:tc>
          <w:tcPr>
            <w:gridSpan w:val="6"/>
            <w:tcW w:w="6396" w:type="dxa"/>
          </w:tcPr>
          <w:p>
            <w:pPr>
              <w:pStyle w:val="0"/>
            </w:pPr>
            <w:r>
              <w:rPr>
                <w:sz w:val="20"/>
              </w:rPr>
            </w:r>
          </w:p>
        </w:tc>
      </w:tr>
      <w:tr>
        <w:tc>
          <w:tcPr>
            <w:tcW w:w="2665" w:type="dxa"/>
          </w:tcPr>
          <w:p>
            <w:pPr>
              <w:pStyle w:val="0"/>
            </w:pPr>
            <w:r>
              <w:rPr>
                <w:sz w:val="20"/>
              </w:rPr>
              <w:t xml:space="preserve">Деятельность (что именно будет сделано в рамках реализации проекта)</w:t>
            </w:r>
          </w:p>
        </w:tc>
        <w:tc>
          <w:tcPr>
            <w:gridSpan w:val="6"/>
            <w:tcW w:w="6396" w:type="dxa"/>
          </w:tcPr>
          <w:p>
            <w:pPr>
              <w:pStyle w:val="0"/>
            </w:pPr>
            <w:r>
              <w:rPr>
                <w:sz w:val="20"/>
              </w:rPr>
            </w:r>
          </w:p>
        </w:tc>
      </w:tr>
      <w:tr>
        <w:tc>
          <w:tcPr>
            <w:tcW w:w="2665" w:type="dxa"/>
          </w:tcPr>
          <w:p>
            <w:pPr>
              <w:pStyle w:val="0"/>
            </w:pPr>
            <w:r>
              <w:rPr>
                <w:sz w:val="20"/>
              </w:rPr>
              <w:t xml:space="preserve">Описание поэтапного механизма реализации проекта</w:t>
            </w:r>
          </w:p>
        </w:tc>
        <w:tc>
          <w:tcPr>
            <w:gridSpan w:val="6"/>
            <w:tcW w:w="6396" w:type="dxa"/>
          </w:tcPr>
          <w:p>
            <w:pPr>
              <w:pStyle w:val="0"/>
            </w:pPr>
            <w:r>
              <w:rPr>
                <w:sz w:val="20"/>
              </w:rPr>
            </w:r>
          </w:p>
        </w:tc>
      </w:tr>
      <w:tr>
        <w:tc>
          <w:tcPr>
            <w:tcW w:w="2665" w:type="dxa"/>
          </w:tcPr>
          <w:p>
            <w:pPr>
              <w:pStyle w:val="0"/>
            </w:pPr>
            <w:r>
              <w:rPr>
                <w:sz w:val="20"/>
              </w:rPr>
              <w:t xml:space="preserve">Ожидаемые количественные и качественные результаты от реализации проекта</w:t>
            </w:r>
          </w:p>
        </w:tc>
        <w:tc>
          <w:tcPr>
            <w:gridSpan w:val="6"/>
            <w:tcW w:w="6396" w:type="dxa"/>
          </w:tcPr>
          <w:p>
            <w:pPr>
              <w:pStyle w:val="0"/>
            </w:pPr>
            <w:r>
              <w:rPr>
                <w:sz w:val="20"/>
              </w:rPr>
            </w:r>
          </w:p>
        </w:tc>
      </w:tr>
      <w:tr>
        <w:tc>
          <w:tcPr>
            <w:tcW w:w="2665" w:type="dxa"/>
          </w:tcPr>
          <w:p>
            <w:pPr>
              <w:pStyle w:val="0"/>
            </w:pPr>
            <w:r>
              <w:rPr>
                <w:sz w:val="20"/>
              </w:rPr>
              <w:t xml:space="preserve">Дальнейшее развитие проекта</w:t>
            </w:r>
          </w:p>
        </w:tc>
        <w:tc>
          <w:tcPr>
            <w:gridSpan w:val="6"/>
            <w:tcW w:w="6396" w:type="dxa"/>
          </w:tcPr>
          <w:p>
            <w:pPr>
              <w:pStyle w:val="0"/>
            </w:pPr>
            <w:r>
              <w:rPr>
                <w:sz w:val="20"/>
              </w:rPr>
            </w:r>
          </w:p>
        </w:tc>
      </w:tr>
      <w:tr>
        <w:tc>
          <w:tcPr>
            <w:tcW w:w="2665" w:type="dxa"/>
          </w:tcPr>
          <w:p>
            <w:pPr>
              <w:pStyle w:val="0"/>
            </w:pPr>
            <w:r>
              <w:rPr>
                <w:sz w:val="20"/>
              </w:rPr>
              <w:t xml:space="preserve">Материально-технические ресурсы, привлекаемые для успешной реализации проекта</w:t>
            </w:r>
          </w:p>
        </w:tc>
        <w:tc>
          <w:tcPr>
            <w:gridSpan w:val="6"/>
            <w:tcW w:w="6396" w:type="dxa"/>
          </w:tcPr>
          <w:p>
            <w:pPr>
              <w:pStyle w:val="0"/>
            </w:pPr>
            <w:r>
              <w:rPr>
                <w:sz w:val="20"/>
              </w:rPr>
            </w:r>
          </w:p>
        </w:tc>
      </w:tr>
      <w:tr>
        <w:tc>
          <w:tcPr>
            <w:tcW w:w="2665" w:type="dxa"/>
          </w:tcPr>
          <w:p>
            <w:pPr>
              <w:pStyle w:val="0"/>
            </w:pPr>
            <w:r>
              <w:rPr>
                <w:sz w:val="20"/>
              </w:rPr>
              <w:t xml:space="preserve">Объем средств, необходимый для реализации проекта (указать значение до двух знаков после запятой), и основные направления расходования средств</w:t>
            </w:r>
          </w:p>
        </w:tc>
        <w:tc>
          <w:tcPr>
            <w:gridSpan w:val="6"/>
            <w:tcW w:w="6396" w:type="dxa"/>
          </w:tcPr>
          <w:p>
            <w:pPr>
              <w:pStyle w:val="0"/>
            </w:pPr>
            <w:r>
              <w:rPr>
                <w:sz w:val="20"/>
              </w:rPr>
            </w:r>
          </w:p>
        </w:tc>
      </w:tr>
      <w:tr>
        <w:tc>
          <w:tcPr>
            <w:tcW w:w="2665" w:type="dxa"/>
          </w:tcPr>
          <w:p>
            <w:pPr>
              <w:pStyle w:val="0"/>
            </w:pPr>
            <w:r>
              <w:rPr>
                <w:sz w:val="20"/>
              </w:rPr>
              <w:t xml:space="preserve">Состав команды, реализующей проект, опыт и компетенции членов команды (при наличии)</w:t>
            </w:r>
          </w:p>
        </w:tc>
        <w:tc>
          <w:tcPr>
            <w:gridSpan w:val="6"/>
            <w:tcW w:w="6396" w:type="dxa"/>
          </w:tcPr>
          <w:p>
            <w:pPr>
              <w:pStyle w:val="0"/>
            </w:pPr>
            <w:r>
              <w:rPr>
                <w:sz w:val="20"/>
              </w:rPr>
            </w:r>
          </w:p>
        </w:tc>
      </w:tr>
      <w:tr>
        <w:tc>
          <w:tcPr>
            <w:tcW w:w="2665" w:type="dxa"/>
          </w:tcPr>
          <w:p>
            <w:pPr>
              <w:pStyle w:val="0"/>
            </w:pPr>
            <w:r>
              <w:rPr>
                <w:sz w:val="20"/>
              </w:rPr>
              <w:t xml:space="preserve">Ключевые партнеры реализации проекта и их роль</w:t>
            </w:r>
          </w:p>
        </w:tc>
        <w:tc>
          <w:tcPr>
            <w:gridSpan w:val="6"/>
            <w:tcW w:w="6396" w:type="dxa"/>
          </w:tcPr>
          <w:p>
            <w:pPr>
              <w:pStyle w:val="0"/>
            </w:pPr>
            <w:r>
              <w:rPr>
                <w:sz w:val="20"/>
              </w:rPr>
            </w:r>
          </w:p>
        </w:tc>
      </w:tr>
      <w:tr>
        <w:tc>
          <w:tcPr>
            <w:tcW w:w="2665" w:type="dxa"/>
          </w:tcPr>
          <w:p>
            <w:pPr>
              <w:pStyle w:val="0"/>
            </w:pPr>
            <w:r>
              <w:rPr>
                <w:sz w:val="20"/>
              </w:rPr>
              <w:t xml:space="preserve">Информирование о проекте его участников и в целом местного сообщества</w:t>
            </w:r>
          </w:p>
        </w:tc>
        <w:tc>
          <w:tcPr>
            <w:gridSpan w:val="6"/>
            <w:tcW w:w="6396" w:type="dxa"/>
          </w:tcPr>
          <w:p>
            <w:pPr>
              <w:pStyle w:val="0"/>
            </w:pPr>
            <w:r>
              <w:rPr>
                <w:sz w:val="20"/>
              </w:rPr>
            </w:r>
          </w:p>
        </w:tc>
      </w:tr>
      <w:tr>
        <w:tc>
          <w:tcPr>
            <w:tcW w:w="2665" w:type="dxa"/>
            <w:vMerge w:val="restart"/>
          </w:tcPr>
          <w:p>
            <w:pPr>
              <w:pStyle w:val="0"/>
            </w:pPr>
            <w:r>
              <w:rPr>
                <w:sz w:val="20"/>
              </w:rPr>
              <w:t xml:space="preserve">План мероприятий по реализации молодежного проекта в сфере добровольчества (волонтерства)</w:t>
            </w:r>
          </w:p>
        </w:tc>
        <w:tc>
          <w:tcPr>
            <w:tcW w:w="460" w:type="dxa"/>
          </w:tcPr>
          <w:p>
            <w:pPr>
              <w:pStyle w:val="0"/>
              <w:jc w:val="center"/>
            </w:pPr>
            <w:r>
              <w:rPr>
                <w:sz w:val="20"/>
              </w:rPr>
              <w:t xml:space="preserve">N п/п</w:t>
            </w:r>
          </w:p>
        </w:tc>
        <w:tc>
          <w:tcPr>
            <w:tcW w:w="1191" w:type="dxa"/>
          </w:tcPr>
          <w:p>
            <w:pPr>
              <w:pStyle w:val="0"/>
              <w:jc w:val="center"/>
            </w:pPr>
            <w:r>
              <w:rPr>
                <w:sz w:val="20"/>
              </w:rPr>
              <w:t xml:space="preserve">Наименование мероприятия</w:t>
            </w:r>
          </w:p>
        </w:tc>
        <w:tc>
          <w:tcPr>
            <w:tcW w:w="1684" w:type="dxa"/>
          </w:tcPr>
          <w:p>
            <w:pPr>
              <w:pStyle w:val="0"/>
              <w:jc w:val="center"/>
            </w:pPr>
            <w:r>
              <w:rPr>
                <w:sz w:val="20"/>
              </w:rPr>
              <w:t xml:space="preserve">Место проведения мероприятия (наименование населенного пункта или полный адрес при наличии)</w:t>
            </w:r>
          </w:p>
        </w:tc>
        <w:tc>
          <w:tcPr>
            <w:tcW w:w="907" w:type="dxa"/>
          </w:tcPr>
          <w:p>
            <w:pPr>
              <w:pStyle w:val="0"/>
              <w:jc w:val="center"/>
            </w:pPr>
            <w:r>
              <w:rPr>
                <w:sz w:val="20"/>
              </w:rPr>
              <w:t xml:space="preserve">Сроки проведения мероприятия</w:t>
            </w:r>
          </w:p>
        </w:tc>
        <w:tc>
          <w:tcPr>
            <w:tcW w:w="1077" w:type="dxa"/>
          </w:tcPr>
          <w:p>
            <w:pPr>
              <w:pStyle w:val="0"/>
              <w:jc w:val="center"/>
            </w:pPr>
            <w:r>
              <w:rPr>
                <w:sz w:val="20"/>
              </w:rPr>
              <w:t xml:space="preserve">Организаторы и партнеры мероприятия</w:t>
            </w:r>
          </w:p>
        </w:tc>
        <w:tc>
          <w:tcPr>
            <w:tcW w:w="1077" w:type="dxa"/>
          </w:tcPr>
          <w:p>
            <w:pPr>
              <w:pStyle w:val="0"/>
              <w:jc w:val="center"/>
            </w:pPr>
            <w:r>
              <w:rPr>
                <w:sz w:val="20"/>
              </w:rPr>
              <w:t xml:space="preserve">Ожидаемые результаты мероприятия</w:t>
            </w:r>
          </w:p>
        </w:tc>
      </w:tr>
      <w:tr>
        <w:tc>
          <w:tcPr>
            <w:vMerge w:val="continue"/>
          </w:tcPr>
          <w:p/>
        </w:tc>
        <w:tc>
          <w:tcPr>
            <w:tcW w:w="460" w:type="dxa"/>
          </w:tcPr>
          <w:p>
            <w:pPr>
              <w:pStyle w:val="0"/>
              <w:jc w:val="center"/>
            </w:pPr>
            <w:r>
              <w:rPr>
                <w:sz w:val="20"/>
              </w:rPr>
              <w:t xml:space="preserve">1</w:t>
            </w:r>
          </w:p>
        </w:tc>
        <w:tc>
          <w:tcPr>
            <w:tcW w:w="1191" w:type="dxa"/>
          </w:tcPr>
          <w:p>
            <w:pPr>
              <w:pStyle w:val="0"/>
            </w:pPr>
            <w:r>
              <w:rPr>
                <w:sz w:val="20"/>
              </w:rPr>
            </w:r>
          </w:p>
        </w:tc>
        <w:tc>
          <w:tcPr>
            <w:tcW w:w="1684"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vMerge w:val="continue"/>
          </w:tcPr>
          <w:p/>
        </w:tc>
        <w:tc>
          <w:tcPr>
            <w:tcW w:w="460" w:type="dxa"/>
          </w:tcPr>
          <w:p>
            <w:pPr>
              <w:pStyle w:val="0"/>
              <w:jc w:val="center"/>
            </w:pPr>
            <w:r>
              <w:rPr>
                <w:sz w:val="20"/>
              </w:rPr>
              <w:t xml:space="preserve">...</w:t>
            </w:r>
          </w:p>
        </w:tc>
        <w:tc>
          <w:tcPr>
            <w:tcW w:w="1191" w:type="dxa"/>
          </w:tcPr>
          <w:p>
            <w:pPr>
              <w:pStyle w:val="0"/>
            </w:pPr>
            <w:r>
              <w:rPr>
                <w:sz w:val="20"/>
              </w:rPr>
            </w:r>
          </w:p>
        </w:tc>
        <w:tc>
          <w:tcPr>
            <w:tcW w:w="1684"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1077"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молодежной политики Калужской обл. от 25.09.2023 N 258</w:t>
            <w:br/>
            <w:t>"Об утверждении Положения о проведении регионал...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85E09E771F07E638A5F69644E68C92DF1A54838BF5F1B61AC16F617CEBE61E51C85F947054AE0EDFD4B783CA8FCF2AABCD9B9A37A4CCB16D9A2D19U7W7Q" TargetMode = "External"/>
	<Relationship Id="rId8" Type="http://schemas.openxmlformats.org/officeDocument/2006/relationships/hyperlink" Target="consultantplus://offline/ref=D885E09E771F07E638A5F69644E68C92DF1A54838BF5F3B31DC36F617CEBE61E51C85F947054AE0EDFD5B086C68FCF2AABCD9B9A37A4CCB16D9A2D19U7W7Q" TargetMode = "External"/>
	<Relationship Id="rId9" Type="http://schemas.openxmlformats.org/officeDocument/2006/relationships/hyperlink" Target="consultantplus://offline/ref=D885E09E771F07E638A5F69644E68C92DF1A54838BF5F3B31DC36F617CEBE61E51C85F947054AE0EDFD0BE81CE8FCF2AABCD9B9A37A4CCB16D9A2D19U7W7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молодежной политики Калужской обл. от 25.09.2023 N 258
"Об утверждении Положения о проведении регионального конкурса по поддержке проектов в сфере добровольчества (волонтерства)"
(Зарегистрировано в Администрации Губернатора Калужской обл. 16.10.2023 N 13420)</dc:title>
  <dcterms:created xsi:type="dcterms:W3CDTF">2023-11-21T16:22:20Z</dcterms:created>
</cp:coreProperties>
</file>