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Карачаево-Черкесской Республики от 04.05.2022 N 109</w:t>
              <w:br/>
              <w:t xml:space="preserve">"О согласовании и утверждении уставов казачьих обществ"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4 мая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ГЛАВЫ 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15.06.92 N 632 "О мерах по реализации Закона Российской Федерации "О реабилитации репрессированных народов" в отношении казачества", </w:t>
      </w:r>
      <w:hyperlink w:history="0" r:id="rId8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06.04.2020 N 45 "Об утверждении Типового положения о согласовании и утверждении уставов казачьих обществ"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уставов казачьих обществ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главам муниципальных образований Карачаево-Черкесской Республики разработать и утвердить соответствующие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Р.Б.ТЕМРЕЗОВ</w:t>
      </w:r>
    </w:p>
    <w:p>
      <w:pPr>
        <w:pStyle w:val="0"/>
      </w:pPr>
      <w:r>
        <w:rPr>
          <w:sz w:val="20"/>
        </w:rPr>
        <w:t xml:space="preserve">г. Черкесск</w:t>
      </w:r>
    </w:p>
    <w:p>
      <w:pPr>
        <w:pStyle w:val="0"/>
        <w:spacing w:before="200" w:line-rule="auto"/>
      </w:pPr>
      <w:r>
        <w:rPr>
          <w:sz w:val="20"/>
        </w:rPr>
        <w:t xml:space="preserve">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4 мая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от 04.05.2022 N 109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перечень документов, необходимых для согласования уставов казачьих обществ, указанных в </w:t>
      </w:r>
      <w:hyperlink w:history="0" r:id="rId9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, </w:t>
      </w:r>
      <w:hyperlink w:history="0" r:id="rId10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15.06.92 N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N 632), сроки и порядок их представления и рассмотрения, порядок принятия решений о согласовании этих уставов, порядок принятия решений об утверждении уставов казачьих обществ, указанных в </w:t>
      </w:r>
      <w:hyperlink w:history="0" r:id="rId11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 и </w:t>
      </w:r>
      <w:hyperlink w:history="0" r:id="rId12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Указа Президента Российской Федерации N 632 в соответствии с </w:t>
      </w:r>
      <w:hyperlink w:history="0" r:id="rId13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06.04.2020 N 45 "Об утверждении Типового положения о согласовании и утверждении уставов казачьих обществ" (далее - Типовое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согласовании (утверждении) уставов казачьих обществ, принимается Главой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Организационное обеспечение процедуры согласования и утверждения уставов казачьих обществ осуществляются структурным подразделением Администрации Главы и Правительства Карачаево-Черкесской Республики, уполномоченным на реализацию государственной политики в отношении казачества (далее - уполномоченный орган)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Согласование уставов казачьих обществ, указанных в </w:t>
      </w:r>
      <w:hyperlink w:history="0" r:id="rId14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, </w:t>
      </w:r>
      <w:hyperlink w:history="0" r:id="rId15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N 632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высшим органом управления казачьего общества решения об утверждении устава этого казачьего общества.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Карачаево-Черкесской Республики представление о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6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, </w:t>
      </w:r>
      <w:hyperlink w:history="0" r:id="rId1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в новой редакции.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согласования устава создаваемого казачьего общества,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Карачаево-Черкесской Республики представление о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соблюдения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8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, </w:t>
      </w:r>
      <w:hyperlink w:history="0" r:id="rId19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протокола учредительного собрания (круга, сбора)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для согласования Главой Карачаево-Черкесской Республики. В последующем к представлению о согласовании устава казачьего общества Главой Карачаево-Черкесской Республики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Указанные в </w:t>
      </w:r>
      <w:hyperlink w:history="0" w:anchor="P40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45" w:tooltip="6. Для согласования устава создаваемого казачьего общества,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листа, в месте, предназначенном для прошивки.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Главой Карачаево-Черкесской Республики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истечении срока, установленного </w:t>
      </w:r>
      <w:hyperlink w:history="0" w:anchor="P52" w:tooltip="9. Рассмотрение представленных для согласования устава казачьего общества документов и принятие по ним решения производится Главой Карачаево-Черкесской Республики в течение 14 календарных дней со дня поступления указанных документов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Положения, Главой Карачаево-Черкесской Республики принимается решение о согласовании либо об отказе в согласовании устава казачьего общества. О принятом решении Глава Карачаево-Черкесской Республики информирует атамана казачьего общества либо уполномоченное лицо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Согласование устава казачьего общества оформляется уполномоченным органом служебным письмом, подписанным Главой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согласования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проведении заседания высшего органа управления казачьего общества, установленных </w:t>
      </w:r>
      <w:hyperlink w:history="0" r:id="rId2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, </w:t>
      </w:r>
      <w:hyperlink w:history="0" r:id="rId21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полного комплекта документов, предусмотренных </w:t>
      </w:r>
      <w:hyperlink w:history="0" w:anchor="P40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несоблюдения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представленных документах недостоверных или неполных сведений.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2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, </w:t>
      </w:r>
      <w:hyperlink w:history="0" r:id="rId23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45" w:tooltip="6. Для согласования устава создаваемого казачьего общества,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Отказ в согласовании устава казачьего общества не является препятствием для повторного направления Главе Карачаево-Черкесской Республики представления о согласовании устава казачьего общества и документов, предусмотренных </w:t>
      </w:r>
      <w:hyperlink w:history="0" w:anchor="P40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45" w:tooltip="6. Для согласования устава создаваемого казачьего общества,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 документов, предусмотренных </w:t>
      </w:r>
      <w:hyperlink w:history="0" w:anchor="P40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45" w:tooltip="6. Для согласования устава создаваемого казачьего общества,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50" w:tooltip="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ля согласования Главой Карачаево-Черкесской Республики. В последующем к представлению о согласовании устава казачьего общества Главой Карачаево-Черкесской Республик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...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60" w:tooltip="14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40" w:tooltip="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45" w:tooltip="6. Для согласования устава создаваемого казачьего общества,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Карачаево-Черкесской Республики представление о согласовании устава казачьего обществ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не ограничено.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Утверждение уставов казачьих обществ, указанных в </w:t>
      </w:r>
      <w:hyperlink w:history="0" r:id="rId24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Указа Президента Российской Федерации N 632,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Карачаево-Черкесской Республики, на которой создаются (действуют) названные казачьи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Организационное обеспечение процедуры утверждения уставов казачьих обществ, указанных в </w:t>
      </w:r>
      <w:hyperlink w:history="0" w:anchor="P67" w:tooltip="16. Утверждение уставов казачьих обществ, указанных в пункте 3.3 Указа Президента Российской Федерации N 632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Карачаево-Черкесской Республики, на которой создаются (действуют) названные казачьи общества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Главой Карачаево-Черкесской Республики, осуществляется уполномоченным органом в установленном порядке.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5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, </w:t>
      </w:r>
      <w:hyperlink w:history="0" r:id="rId26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о согласовании устава казачьего общества должностным лицом, указанным в </w:t>
      </w:r>
      <w:hyperlink w:history="0" w:anchor="P67" w:tooltip="16. Утверждение уставов казачьих обществ, указанных в пункте 3.3 Указа Президента Российской Федерации N 632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Карачаево-Черкесской Республики, на которой создаются (действуют) названные казачьи общества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на бумажном носителе и в электронном виде.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письма о согласовании устава казачьего общества должностным лицом, указанным в </w:t>
      </w:r>
      <w:hyperlink w:history="0" w:anchor="P67" w:tooltip="16. Утверждение уставов казачьих обществ, указанных в пункте 3.3 Указа Президента Российской Федерации N 632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Карачаево-Черкесской Республики, на которой создаются (действуют) названные казачьи общества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на бумажном носителе и в электронном виде.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Указанные в </w:t>
      </w:r>
      <w:hyperlink w:history="0" w:anchor="P69" w:tooltip="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, </w:t>
      </w:r>
      <w:hyperlink w:history="0" w:anchor="P74" w:tooltip="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Рассмотрение представленных для утверждения устава казачьего общества документов и принятие по ним решения производится Главой Карачаево-Черкесской Республики в течение 30 календарных дней со дня поступления указанных документов.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истечении срока, указанного </w:t>
      </w:r>
      <w:hyperlink w:history="0" w:anchor="P82" w:tooltip="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Глава Карачаево-Черкесской Республики уведомляет атамана казачьего общества либо уполномоченное лицо в письменной форме.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Утверждение устава казачьего общества оформляется правовым актом Главы Карачаево-Черкесской Республики.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history="0" w:anchor="P81" w:tooltip="22. По истечении срока, указанного пункте 23 настоящего Положения, принимается решение об утверждении либо об отказе в утверждении устава казачьего общества. О принятом решении Глава Карачаево-Черкесской Республики уведомляет атамана казачьего общества либо уполномоченное лицо в письменной форме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Оформление титульного листа утверждаемого устава казачьего общества осуществляется в соответствии с требованиями, установленными </w:t>
      </w:r>
      <w:hyperlink w:history="0" r:id="rId28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9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69" w:tooltip="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30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74" w:tooltip="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Отказ в утверждении устава казачьего общества не является препятствием для повторного направления Главе Карачаево-Черкесской Республики представления об утверждении устава казачьего общества и документов, предусмотренных </w:t>
      </w:r>
      <w:hyperlink w:history="0" w:anchor="P69" w:tooltip="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74" w:tooltip="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69" w:tooltip="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74" w:tooltip="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79" w:tooltip="20. Указанные в пунктах 18, 19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- </w:t>
      </w:r>
      <w:hyperlink w:history="0" w:anchor="P89" w:tooltip="27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69" w:tooltip="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74" w:tooltip="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Карачаево-Черкесской Республик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Карачаево-Черкесской Республики от 04.05.2022 N 109</w:t>
            <w:br/>
            <w:t>"О согласовании и утверждении уставов казачьих обществ"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D4283F22FE98D87C90EFED0CE7C12887B2F53F16D76459305EB8B659FC6587C5B56506CF4C38F6975B095DF9W5e5H" TargetMode = "External"/>
	<Relationship Id="rId8" Type="http://schemas.openxmlformats.org/officeDocument/2006/relationships/hyperlink" Target="consultantplus://offline/ref=43E1D748834FEB4988F54F1DC7FBA77CB0CB9E9B1E0EA5D3FC062FA3B2525A08B0DE177A1EFB96D1072EC5C44FX7e5H" TargetMode = "External"/>
	<Relationship Id="rId9" Type="http://schemas.openxmlformats.org/officeDocument/2006/relationships/hyperlink" Target="consultantplus://offline/ref=43E1D748834FEB4988F54F1DC7FBA77CB0C9909A120EA5D3FC062FA3B2525A08A2DE4F761FFB88D5033B9395092234D0DADC33673063AC3FXCe9H" TargetMode = "External"/>
	<Relationship Id="rId10" Type="http://schemas.openxmlformats.org/officeDocument/2006/relationships/hyperlink" Target="consultantplus://offline/ref=43E1D748834FEB4988F54F1DC7FBA77CB0C9909A120EA5D3FC062FA3B2525A08A2DE4F761FFB88D6043B9395092234D0DADC33673063AC3FXCe9H" TargetMode = "External"/>
	<Relationship Id="rId11" Type="http://schemas.openxmlformats.org/officeDocument/2006/relationships/hyperlink" Target="consultantplus://offline/ref=43E1D748834FEB4988F54F1DC7FBA77CB0C9909A120EA5D3FC062FA3B2525A08A2DE4F761FFB88D5053B9395092234D0DADC33673063AC3FXCe9H" TargetMode = "External"/>
	<Relationship Id="rId12" Type="http://schemas.openxmlformats.org/officeDocument/2006/relationships/hyperlink" Target="consultantplus://offline/ref=43E1D748834FEB4988F54F1DC7FBA77CB0C9909A120EA5D3FC062FA3B2525A08A2DE4F761FFB88D5023B9395092234D0DADC33673063AC3FXCe9H" TargetMode = "External"/>
	<Relationship Id="rId13" Type="http://schemas.openxmlformats.org/officeDocument/2006/relationships/hyperlink" Target="consultantplus://offline/ref=43E1D748834FEB4988F54F1DC7FBA77CB0CB9E9B1E0EA5D3FC062FA3B2525A08B0DE177A1EFB96D1072EC5C44FX7e5H" TargetMode = "External"/>
	<Relationship Id="rId14" Type="http://schemas.openxmlformats.org/officeDocument/2006/relationships/hyperlink" Target="consultantplus://offline/ref=43E1D748834FEB4988F54F1DC7FBA77CB0C9909A120EA5D3FC062FA3B2525A08A2DE4F761FFB88D5033B9395092234D0DADC33673063AC3FXCe9H" TargetMode = "External"/>
	<Relationship Id="rId15" Type="http://schemas.openxmlformats.org/officeDocument/2006/relationships/hyperlink" Target="consultantplus://offline/ref=43E1D748834FEB4988F54F1DC7FBA77CB0C9909A120EA5D3FC062FA3B2525A08A2DE4F761FFB88D6043B9395092234D0DADC33673063AC3FXCe9H" TargetMode = "External"/>
	<Relationship Id="rId16" Type="http://schemas.openxmlformats.org/officeDocument/2006/relationships/hyperlink" Target="consultantplus://offline/ref=43E1D748834FEB4988F54F1DC7FBA77CB7CF96991A0FA5D3FC062FA3B2525A08A2DE4F761FFB8AD6023B9395092234D0DADC33673063AC3FXCe9H" TargetMode = "External"/>
	<Relationship Id="rId17" Type="http://schemas.openxmlformats.org/officeDocument/2006/relationships/hyperlink" Target="consultantplus://offline/ref=43E1D748834FEB4988F54F1DC7FBA77CB7CF96991A0FA5D3FC062FA3B2525A08A2DE4F731EFA8384577492C94C7727D0DBDC30662CX6e3H" TargetMode = "External"/>
	<Relationship Id="rId18" Type="http://schemas.openxmlformats.org/officeDocument/2006/relationships/hyperlink" Target="consultantplus://offline/ref=43E1D748834FEB4988F54F1DC7FBA77CB7CF96991A0FA5D3FC062FA3B2525A08A2DE4F761FFB8AD6023B9395092234D0DADC33673063AC3FXCe9H" TargetMode = "External"/>
	<Relationship Id="rId19" Type="http://schemas.openxmlformats.org/officeDocument/2006/relationships/hyperlink" Target="consultantplus://offline/ref=43E1D748834FEB4988F54F1DC7FBA77CB7CF96991A0FA5D3FC062FA3B2525A08A2DE4F731EFA8384577492C94C7727D0DBDC30662CX6e3H" TargetMode = "External"/>
	<Relationship Id="rId20" Type="http://schemas.openxmlformats.org/officeDocument/2006/relationships/hyperlink" Target="consultantplus://offline/ref=43E1D748834FEB4988F54F1DC7FBA77CB7CF96991A0FA5D3FC062FA3B2525A08A2DE4F761FFB8AD6023B9395092234D0DADC33673063AC3FXCe9H" TargetMode = "External"/>
	<Relationship Id="rId21" Type="http://schemas.openxmlformats.org/officeDocument/2006/relationships/hyperlink" Target="consultantplus://offline/ref=43E1D748834FEB4988F54F1DC7FBA77CB7CF96991A0FA5D3FC062FA3B2525A08A2DE4F731EFA8384577492C94C7727D0DBDC30662CX6e3H" TargetMode = "External"/>
	<Relationship Id="rId22" Type="http://schemas.openxmlformats.org/officeDocument/2006/relationships/hyperlink" Target="consultantplus://offline/ref=43E1D748834FEB4988F54F1DC7FBA77CB7CF96991A0FA5D3FC062FA3B2525A08A2DE4F761FFB8AD6023B9395092234D0DADC33673063AC3FXCe9H" TargetMode = "External"/>
	<Relationship Id="rId23" Type="http://schemas.openxmlformats.org/officeDocument/2006/relationships/hyperlink" Target="consultantplus://offline/ref=43E1D748834FEB4988F54F1DC7FBA77CB7CF96991A0FA5D3FC062FA3B2525A08A2DE4F731EFA8384577492C94C7727D0DBDC30662CX6e3H" TargetMode = "External"/>
	<Relationship Id="rId24" Type="http://schemas.openxmlformats.org/officeDocument/2006/relationships/hyperlink" Target="consultantplus://offline/ref=43E1D748834FEB4988F54F1DC7FBA77CB0C9909A120EA5D3FC062FA3B2525A08A2DE4F761FFB88D5023B9395092234D0DADC33673063AC3FXCe9H" TargetMode = "External"/>
	<Relationship Id="rId25" Type="http://schemas.openxmlformats.org/officeDocument/2006/relationships/hyperlink" Target="consultantplus://offline/ref=43E1D748834FEB4988F54F1DC7FBA77CB7CF96991A0FA5D3FC062FA3B2525A08A2DE4F761FFB8AD6023B9395092234D0DADC33673063AC3FXCe9H" TargetMode = "External"/>
	<Relationship Id="rId26" Type="http://schemas.openxmlformats.org/officeDocument/2006/relationships/hyperlink" Target="consultantplus://offline/ref=43E1D748834FEB4988F54F1DC7FBA77CB7CF96991A0FA5D3FC062FA3B2525A08A2DE4F731EFA8384577492C94C7727D0DBDC30662CX6e3H" TargetMode = "External"/>
	<Relationship Id="rId27" Type="http://schemas.openxmlformats.org/officeDocument/2006/relationships/hyperlink" Target="consultantplus://offline/ref=43E1D748834FEB4988F54F1DC7FBA77CB7CF96991A0FA5D3FC062FA3B2525A08B0DE177A1EFB96D1072EC5C44FX7e5H" TargetMode = "External"/>
	<Relationship Id="rId28" Type="http://schemas.openxmlformats.org/officeDocument/2006/relationships/hyperlink" Target="consultantplus://offline/ref=43E1D748834FEB4988F54F1DC7FBA77CB0CB9E9B1E0EA5D3FC062FA3B2525A08A2DE4F761FFB88D7073B9395092234D0DADC33673063AC3FXCe9H" TargetMode = "External"/>
	<Relationship Id="rId29" Type="http://schemas.openxmlformats.org/officeDocument/2006/relationships/hyperlink" Target="consultantplus://offline/ref=43E1D748834FEB4988F54F1DC7FBA77CB7CF96991A0FA5D3FC062FA3B2525A08B0DE177A1EFB96D1072EC5C44FX7e5H" TargetMode = "External"/>
	<Relationship Id="rId30" Type="http://schemas.openxmlformats.org/officeDocument/2006/relationships/hyperlink" Target="consultantplus://offline/ref=43E1D748834FEB4988F54F1DC7FBA77CB7CF96991A0FA5D3FC062FA3B2525A08B0DE177A1EFB96D1072EC5C44FX7e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Карачаево-Черкесской Республики от 04.05.2022 N 109
"О согласовании и утверждении уставов казачьих обществ"</dc:title>
  <dcterms:created xsi:type="dcterms:W3CDTF">2022-11-10T07:30:22Z</dcterms:created>
</cp:coreProperties>
</file>