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Кузбасса от 11.09.2023 N 3039</w:t>
              <w:br/>
              <w:t xml:space="preserve">"Об утверждении регламента проведения независимой оценки качества дополнительных общеразвивающих программ в форме общественной экспертизы"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сентября 2023 г. N 3039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 В ФОРМЕ</w:t>
      </w:r>
    </w:p>
    <w:p>
      <w:pPr>
        <w:pStyle w:val="2"/>
        <w:jc w:val="center"/>
      </w:pPr>
      <w:r>
        <w:rPr>
          <w:sz w:val="20"/>
        </w:rPr>
        <w:t xml:space="preserve">ОБЩЕСТВЕННОЙ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методическими </w:t>
      </w:r>
      <w:hyperlink w:history="0" r:id="rId8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Министерства образования и науки Российской Федерации по организации независимой оценки качества дополнительного образования детей от 28.04.2017 N ВК-1232/09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 в форме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Приказ департамента образования и науки Кемеровской области от 30.07.2019 N 1486 "Об утверждении Порядка оценки (добровольной сертификации) дополнительных общеразвивающих программ и состава экспертной группы"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правовой и кадровой работы Министерства образования Кузбасса (Е.В.Каменская) обеспечить размещение настоящего приказа в информационно-телекоммуникационной сети "Интернет" на сайте "Электронный бюллетень Правительства Кемеровской области - Кузбасса" и на официальном интернет-портале правовой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образования Кузбасса О.Н.Колесниченко.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 Кузбасса</w:t>
      </w:r>
    </w:p>
    <w:p>
      <w:pPr>
        <w:pStyle w:val="0"/>
        <w:jc w:val="right"/>
      </w:pPr>
      <w:r>
        <w:rPr>
          <w:sz w:val="20"/>
        </w:rPr>
        <w:t xml:space="preserve">С.Ю.БАЛАКИРЕВА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Кузбасса</w:t>
      </w:r>
    </w:p>
    <w:p>
      <w:pPr>
        <w:pStyle w:val="0"/>
        <w:jc w:val="right"/>
      </w:pPr>
      <w:r>
        <w:rPr>
          <w:sz w:val="20"/>
        </w:rPr>
        <w:t xml:space="preserve">от 11 сентября 2023 г. N 3039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В ФОРМЕ ОБЩЕСТВЕННОЙ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Регламент проведения независимой оценки качества дополнительных общеразвивающих программ в форме общественной экспертизы (далее - Регламент) определяет механизм проведения независимой оценки качества дополнительных общеразвивающих программ в форме общественной экспертизы (далее - Общественная экспертиза).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Общественная экспертиза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Система Общественной экспертизы организуется и координируется региональным модельным центром (далее - РМЦ).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 проведению Общественной экспертизы РМЦ привлекает независимых экспертов в соответствующей области знаний, обеспечивая выполнение задачи по оценке качества общеразвивающих программ, условия привлечения указанных независимых экспертов определяются РМЦ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Общественная экспертиза проводится группой экспертов на основании добровольной заявки образовательных организаций, индивидуальных предпринимателей, организации осуществляющие обучение, в соответствии с лицензией на право осуществления образовательной деятельности (далее - организации), реализующей (или планирующей реализовывать) данную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Проведение Общественной экспертизы программ организуется таким образом, чтобы исключить конфликт интересов, в том числе за счет независимости привлекаемых экспертов, то есть отсутствие взаимозависимости между экспертом и организациями, направившими программы на Общественную экспертизу.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Общественной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Общественной экспертизы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к проведению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обработку и оформление результатов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Общественной экспертизы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РМЦ при подготовке к проведению Общественной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отбор экспертов, которые могут привлекаться для проведения Общественной экспертизы с учетом требований </w:t>
      </w:r>
      <w:hyperlink w:history="0" r:id="rId9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Российской Федерации от 20.05.2014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подготовку экспертов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техническую подготовку и обеспечивает доступ экспертам в информационную систему "Навигатор дополнительного образования детей Кузбасса" (далее - Навигатор);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организаций, реализующих дополнительные общеразвивающие программы, о критериях, методике, процедуре и результатах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 целях проведения Общественной экспертизы организации направляют в адрес РМЦ </w:t>
      </w:r>
      <w:hyperlink w:history="0" w:anchor="P86" w:tooltip="Заявка на проведение независимой оценки качеств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по форме согласно приложению N 1 к настоящему Регламенту на проведение процедуры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прилагается программа, подлежащая Общественной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программа направляется через личный кабинет организации в Навигаторе согласно инструкции, разработанной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Регистрация дополнительной общеразвивающей программы на проведение Общественной экспертизы осуществляется автоматически в день загрузки.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РМЦ осуществляет распределение дополнительных общеразвивающих программ, поступивших на экспертизу, между экспертами посредством Навигатора в течение 3 рабочих дней после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Общественная экспертиза осуществляется по методике и </w:t>
      </w:r>
      <w:hyperlink w:history="0" w:anchor="P169" w:tooltip="Критерии оценки дополнительных общеразвивающих программ,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дополнительных общеразвивающих программ, заявленных на Общественную экспертизу, определенным в соответствии с приоритетными задачами функционирования и развития системы дополнительного образования Кемеровской области - Кузбасса согласно приложению N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Срок проведения Общественной экспертизы программы устанавливается в соответствии с требованиями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(не более 120 дней).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Результаты Общественной экспертизы оформляются экспертом в форме экспертного </w:t>
      </w:r>
      <w:hyperlink w:history="0" w:anchor="P304" w:tooltip="Экспертный лист оценки дополнительной общеразвивающей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оценки дополнительной общеразвивающей программы согласно приложению N 3 к настоящему Регламенту посредством Навигатора.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Общественная экспертиза считается завершенной, если дополнительная общеразвивающая программа оценена тремя экспертами.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РМЦ в течение 5 рабочих дней рассматривает экспертные листы, размещенные экспертами в Навигаторе, формирует итоговый документ (заключение), подготовленный по результатам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Итоговый документ (заключение), подготовленный по результатам Общественной экспертизы,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объективные, достоверные и обоснованные выводы экспертов о соответствии или несоответствии программы, в отношении которой проводилась Общественная экспертиза, или ее отдельных положений законодательству Российской Федерации, а также о соответствии содержания программы заявленным в ней целям и задачам, потребностям обучающихся, в интересах которых осуществляется образовательная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общественную оценку социальных, экономических, правовых и иных последствий принятия (реализации) программы, в отношении которой проводилась Общественная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рекомендации по совершенствованию программы, в отношении которой проводилась Общественная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Итоговый документ (заключение), подготовленный по результатам Общественной экспертизы программ, размещается РМЦ в течение 3 рабочих дней со дня формирования итогового документа (заключения) в Навигаторе, а также на официальном сайте государственного автономного учреждения дополнительного образования "Кузбасский центр дополнительного образования" в разделе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РМЦ разрабатывает меры по совершенствованию дополнительных общеразвивающих программ по приведению в соответствие содержания программ заявленным в них целям и задачам, потребностям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Результаты Общественной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общеразвивающих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Регламенту проведения</w:t>
      </w:r>
    </w:p>
    <w:p>
      <w:pPr>
        <w:pStyle w:val="0"/>
        <w:jc w:val="right"/>
      </w:pPr>
      <w:r>
        <w:rPr>
          <w:sz w:val="20"/>
        </w:rPr>
        <w:t xml:space="preserve">независимой оценки</w:t>
      </w:r>
    </w:p>
    <w:p>
      <w:pPr>
        <w:pStyle w:val="0"/>
        <w:jc w:val="right"/>
      </w:pPr>
      <w:r>
        <w:rPr>
          <w:sz w:val="20"/>
        </w:rPr>
        <w:t xml:space="preserve">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Заявка на проведение независимой оценки качества</w:t>
      </w:r>
    </w:p>
    <w:p>
      <w:pPr>
        <w:pStyle w:val="0"/>
        <w:jc w:val="center"/>
      </w:pPr>
      <w:r>
        <w:rPr>
          <w:sz w:val="20"/>
        </w:rPr>
        <w:t xml:space="preserve">дополнительных общеразвивающих программ в форме общественной</w:t>
      </w:r>
    </w:p>
    <w:p>
      <w:pPr>
        <w:pStyle w:val="0"/>
        <w:jc w:val="center"/>
      </w:pPr>
      <w:r>
        <w:rPr>
          <w:sz w:val="20"/>
        </w:rPr>
        <w:t xml:space="preserve">экспертизы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96"/>
        <w:gridCol w:w="1871"/>
      </w:tblGrid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дополнительной общеразвивающей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Направленность образовательной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Вид деятельности образовательной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реализации образовательной программы (с указанием муниципального образования реализации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образовательной программы, а также ожидаемые результаты реализации образовательной программы (для каждой отдельной части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Форма обучения по образовательной программе и используемые образовательные технологии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Аннотация образовательной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Возрастная категория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Категория(и) состояния здоровья обучающихся (включая указание на наличие ограниченных возможностей здоровья у обучающихся)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образовательной программы (продолжительность реализации в месяцах всей программы и каждой ее отдельной части)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образовательной программы в часах (всей программы и каждой отдельной части), в том числе в рамках групповой работы с детьми, индивидуальной работы с детьми, работы со всем объединением по программе (при наличии соответствующих часов в учебном плане программы; всей программы и каждой отдельной части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квалификации педагогических работников, реализующих образовательную программу (для каждой отдельной части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часов сопровождения детей дополнительным педагогическим работником одновременно с педагогическим работником, непосредственно осуществляющим реализацию образовательной программы, в том числе в рамках групповой работы с детьми, индивидуальной работы с детьми, работы со всем объединением по программе (при наличии; для каждой отдельной части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средняя численность детей, одновременно обучающихся в рамках часов учебного плана, предусматриваемых реализацию программы одновременно для всего объединения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минимальная и максимальная численность детей, обучающихся в одной группе (для каждой отдельной части образовательной программы)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необходимости предоставления медицинской справки при зачислении на обучение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предоставляемом по результатам освоения образовательной программы (при наличии)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ID-номер дополнительной общеразвивающей программы в информационной системе "Навигатор дополнительного образования детей Кузбасса"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9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 разработчика (разработчиков) программы (телефон, адрес электронной почты)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обработку  и  использование  персональных  данных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  <w:t xml:space="preserve">    Подтверждаю,   что   информация,   содержащаяся   в   заявке   является</w:t>
      </w:r>
    </w:p>
    <w:p>
      <w:pPr>
        <w:pStyle w:val="1"/>
        <w:jc w:val="both"/>
      </w:pPr>
      <w:r>
        <w:rPr>
          <w:sz w:val="20"/>
        </w:rPr>
        <w:t xml:space="preserve">достоверной.</w:t>
      </w:r>
    </w:p>
    <w:p>
      <w:pPr>
        <w:pStyle w:val="1"/>
        <w:jc w:val="both"/>
      </w:pPr>
      <w:r>
        <w:rPr>
          <w:sz w:val="20"/>
        </w:rPr>
        <w:t xml:space="preserve">    К  заявке  на  проведение  независимой  оценки  качества дополнительных</w:t>
      </w:r>
    </w:p>
    <w:p>
      <w:pPr>
        <w:pStyle w:val="1"/>
        <w:jc w:val="both"/>
      </w:pPr>
      <w:r>
        <w:rPr>
          <w:sz w:val="20"/>
        </w:rPr>
        <w:t xml:space="preserve">общеразвивающих   программ  в  форме  общественной  экспертизы  прилагаются</w:t>
      </w:r>
    </w:p>
    <w:p>
      <w:pPr>
        <w:pStyle w:val="1"/>
        <w:jc w:val="both"/>
      </w:pPr>
      <w:r>
        <w:rPr>
          <w:sz w:val="20"/>
        </w:rPr>
        <w:t xml:space="preserve">общеразвивающая(ие) программа(ы):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"___"______________ 20___ года         ____________/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для отметок РМЦ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3"/>
        <w:gridCol w:w="3203"/>
        <w:gridCol w:w="2665"/>
      </w:tblGrid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 принята для независимой оценки качества дополнительных общеразвивающих программ в форме общественной экспертизы</w:t>
            </w:r>
          </w:p>
        </w:tc>
      </w:tr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ИО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3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Регламенту проведения</w:t>
      </w:r>
    </w:p>
    <w:p>
      <w:pPr>
        <w:pStyle w:val="0"/>
        <w:jc w:val="right"/>
      </w:pPr>
      <w:r>
        <w:rPr>
          <w:sz w:val="20"/>
        </w:rPr>
        <w:t xml:space="preserve">независимой оценки</w:t>
      </w:r>
    </w:p>
    <w:p>
      <w:pPr>
        <w:pStyle w:val="0"/>
        <w:jc w:val="right"/>
      </w:pPr>
      <w:r>
        <w:rPr>
          <w:sz w:val="20"/>
        </w:rPr>
        <w:t xml:space="preserve">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0"/>
        <w:jc w:val="center"/>
      </w:pPr>
      <w:r>
        <w:rPr>
          <w:sz w:val="20"/>
        </w:rPr>
        <w:t xml:space="preserve">Критерии оценки дополнительных общеразвивающих программ,</w:t>
      </w:r>
    </w:p>
    <w:p>
      <w:pPr>
        <w:pStyle w:val="0"/>
        <w:jc w:val="center"/>
      </w:pPr>
      <w:r>
        <w:rPr>
          <w:sz w:val="20"/>
        </w:rPr>
        <w:t xml:space="preserve">заявленных на общественную экспертизу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701"/>
        <w:gridCol w:w="1672"/>
        <w:gridCol w:w="1644"/>
      </w:tblGrid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соответствия требованиям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содержание структурных элементов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 балла)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 соответствует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(1 балл)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 баллов)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Титульный лист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1.1. Соответствие оформления требованиям к программам (обозначены: наименование образовательной организации; когда и кем согласована и утверждена ДООП (подписи, печать организации); название программы; возраст детей, на которых рассчитаны; срок реализации программы; направленность; уровень; ФИО., должность разработчика (разработчиков); название города (населенного пункта), в котором реализуется программа; год разработки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Пояснительная записка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2.1. Наличие необходимых элементов (актуальность, новизна, цель, задачи, ожидаемые результаты, информация о направленности, уровне, возможности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2.2. Обоснованность актуальности, необходимости разработки программы в рамках данной направленности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2.3.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2.4. Учет половозрастных, индивидуально-психологических, физических и иных особенностей и состояний учащихся, обоснованность принципов комплектования учебных групп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2.5. Обоснованность цели, задач, сроков и этапов реализации, форм организации образовательного процесса, методов и технологий обучения (цель связана с названием программы, отражает ее основную направленность и желаемый достижимый конечный результат (личностные, метапредметные, предметные), цель конкретизирована через задачи, формулировки задач соотнесены с планируемыми результатами (планируемые результаты 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2.6. Наличие описания и оправданность форм организации и содержания методов оценки уровня освоения программного материала по каждому году обучения (наличие оценочных материалов - пакет диагностических методик, позволяющих определить достижение учащимися планируемых результатов)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Учебный план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3.1. Логичность последовательности изучения разделов и тем (содержит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Содержание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4.1. Педагогическая целесообразность подбора содержания (учет возрастных особенностей, уровня обучающихся, отражение основных дидактических принципов)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4.2. В содержании программы дано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 и планируемым результатам освоения 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Календарный учебный график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5.1. Календарный учебный график соответствует требованиям </w:t>
            </w:r>
      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</w:rPr>
              <w:t xml:space="preserve"> от 29.12.2012 N 273-ФЗ "Об образовании в Российской Федерации" (определяет количество учебных недель, количество учебных дней, даты начала и окончания реализации программы, ее модулей, последовательность реализации содержания учебного плана продолжительность каникул. Является обязательным приложением к программе и составляется для каждой группы)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Условия реализации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6.1. Наличие необходимых (реальных) материально-технических условий для реализации программы (прописано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6.2. Наличие информационно-методических условий реализации программы, обеспечивающих достижение планируемых результатов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комплекса. Раскрывают 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материалы; соответствуют современным требованиям и обеспечивают достижение планируемых результатов)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6.3. Использование дистанционных образовательных технологий при реализации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6.4 Программа реализуется в сетевой форме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Список литературы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7.1. Наличие списков литературы для педагога, учащихся и родителей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7.2. Соответствие оформление списков использованной и рекомендуемой литературы, оформленные в соответствии с правилами составления библиографического списка (ГОСТ Р 7.0.11-2011)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Культура оформления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8.1. Соответствие и обоснованность используемой терминологии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8.2. Оптимальность объема (страниц)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БАЛЛОВ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Варианты итогового заключения: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1. Программа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Программа нуждается в доработке и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сертификатом, только после устранения недочетов.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Программа нуждается в доработке и не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Примечание: из трех вариантов заключений указывается только один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Методика оценки полученных результатов экспертизы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6180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 баллов и менее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нуждается в доработке и не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16 до 22 баллов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нуждается в доработке и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 только после устранения недочетов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23 до 28 баллов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Регламенту проведения</w:t>
      </w:r>
    </w:p>
    <w:p>
      <w:pPr>
        <w:pStyle w:val="0"/>
        <w:jc w:val="right"/>
      </w:pPr>
      <w:r>
        <w:rPr>
          <w:sz w:val="20"/>
        </w:rPr>
        <w:t xml:space="preserve">независимой оценки</w:t>
      </w:r>
    </w:p>
    <w:p>
      <w:pPr>
        <w:pStyle w:val="0"/>
        <w:jc w:val="right"/>
      </w:pPr>
      <w:r>
        <w:rPr>
          <w:sz w:val="20"/>
        </w:rPr>
        <w:t xml:space="preserve">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jc w:val="center"/>
      </w:pPr>
      <w:r>
        <w:rPr>
          <w:sz w:val="20"/>
        </w:rPr>
        <w:t xml:space="preserve">Экспертный лист оценки дополнительной общеразвивающей</w:t>
      </w:r>
    </w:p>
    <w:p>
      <w:pPr>
        <w:pStyle w:val="0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Наименование муниципального образования ____________________________</w:t>
      </w:r>
    </w:p>
    <w:p>
      <w:pPr>
        <w:pStyle w:val="1"/>
        <w:jc w:val="both"/>
      </w:pPr>
      <w:r>
        <w:rPr>
          <w:sz w:val="20"/>
        </w:rPr>
        <w:t xml:space="preserve">    2. Наименование образовательной организации ___________________________</w:t>
      </w:r>
    </w:p>
    <w:p>
      <w:pPr>
        <w:pStyle w:val="1"/>
        <w:jc w:val="both"/>
      </w:pPr>
      <w:r>
        <w:rPr>
          <w:sz w:val="20"/>
        </w:rPr>
        <w:t xml:space="preserve">    3. Наименование программы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Направленность программы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Разработчик (разработчики)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6. ФИО эксперта, должность 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701"/>
        <w:gridCol w:w="1672"/>
        <w:gridCol w:w="1644"/>
      </w:tblGrid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соответствия требованиям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содержание структурных элементов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(2 балла)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 соответствует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(1 балл)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 баллов)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Титульный лист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1.1. Соответствие оформления требованиям к программам (обозначены: наименование образовательной организации; когда и кем согласована и утверждена ДООП (подписи, печать организации); название программы; возраст детей, на которых рассчитаны; срок реализации программы; направленность; уровень; ФИО., должность разработчика (разработчиков); название города (населенного пункта), в котором реализуется программа; год разработки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Пояснительная записка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2.1. Наличие необходимых элементов (актуальность, новизна, цель, задачи, ожидаемые результаты, информация о направленности, уровне, возможности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2.2. Обоснованность актуальности, необходимости разработки программы в рамках данной направленности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2.3.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2.4. Учет половозрастных, индивидуально-психологических, физических и иных особенностей и состояний учащихся, обоснованность принципов комплектования учебных групп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2.5. Обоснованность цели, задач, сроков и этапов реализации, форм организации образовательного процесса, методов и технологий обучения (цель связана с названием программы, отражает ее основную направленность и желаемый достижимый конечный результат (личностные, метапредметные, предметные), цель конкретизирована через задачи, формулировки задач соотнесены с планируемыми результатами (планируемые результаты 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2.6. Наличие описания и оправданность форм организации и содержания методов оценки уровня освоения программного материала по каждому году обучения (наличие оценочных материалов - пакет диагностических методик, позволяющих определить достижение учащимися планируемых результатов)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Учебный план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3.1. Логичность последовательности изучения разделов и тем (содержит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Содержание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4.1. Педагогическая целесообразность подбора содержания (учет возрастных особенностей, уровня обучающихся, отражение основных дидактических принципов)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4.2. В содержании программы дано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 и планируемым результатам освоения 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Календарный учебный график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5.1. Календарный учебный график соответствует требованиям </w:t>
            </w:r>
            <w:hyperlink w:history="0"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</w:rPr>
              <w:t xml:space="preserve"> от 29.12.2012 N 273-ФЗ "Об образовании в Российской Федерации" (определяет количество учебных недель, количество учебных дней, даты начала и окончания реализации программы, ее модулей, последовательность реализации содержания учебного плана продолжительность каникул.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Является обязательным приложением к программе и составляется для каждой группы)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Условия реализации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6.1. Наличие необходимых (реальных) материально-технических условий для реализации программы (прописано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6.2. Наличие информационно-методических условий реализации программы, обеспечивающих достижение планируемых результатов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комплекса. Раскрывают 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материалы; соответствуют современным требованиям и обеспечивают достижение планируемых результатов)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6.3. Использование дистанционных образовательных технологий при реализации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6.4. Программа реализуется в сетевой форме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Список литературы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7.1. Наличие списков литературы для педагога, учащихся и родителей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7.2. Соответствие оформление списков использованной и рекомендуемой литературы, оформленные в соответствии с правилами составления библиографического списка (ГОСТ Р 7.0.11-2011)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Культура оформления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8.1. Соответствие и обоснованность используемой терминологии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8.2. Оптимальность объема (страниц) программы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БАЛЛОВ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Варианты итогового заключения: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1. Программа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Программа нуждается в доработке и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сертификатом, только после устранения недочетов.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Программа нуждается в доработке и не может быть рекомендована для формирования Реестра программ, реализуемых исполнителем услуги в рамках предоставления услуги в соответствии с социальным сертификатом.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Примечание: из трех вариантов заключений указывается только один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Кузбасса от 11.09.2023 N 3039</w:t>
            <w:br/>
            <w:t>"Об утверждении регламента проведения независимой оценки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LAW&amp;n=217960&amp;dst=100006" TargetMode = "External"/>
	<Relationship Id="rId9" Type="http://schemas.openxmlformats.org/officeDocument/2006/relationships/hyperlink" Target="https://login.consultant.ru/link/?req=doc&amp;base=LAW&amp;n=166968" TargetMode = "External"/>
	<Relationship Id="rId10" Type="http://schemas.openxmlformats.org/officeDocument/2006/relationships/hyperlink" Target="https://login.consultant.ru/link/?req=doc&amp;base=LAW&amp;n=314836&amp;dst=100163" TargetMode = "External"/>
	<Relationship Id="rId11" Type="http://schemas.openxmlformats.org/officeDocument/2006/relationships/hyperlink" Target="https://login.consultant.ru/link/?req=doc&amp;base=LAW&amp;n=439201&amp;dst=100278" TargetMode = "External"/>
	<Relationship Id="rId12" Type="http://schemas.openxmlformats.org/officeDocument/2006/relationships/hyperlink" Target="https://login.consultant.ru/link/?req=doc&amp;base=LAW&amp;n=437409" TargetMode = "External"/>
	<Relationship Id="rId13" Type="http://schemas.openxmlformats.org/officeDocument/2006/relationships/hyperlink" Target="https://login.consultant.ru/link/?req=doc&amp;base=LAW&amp;n=4374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Кузбасса от 11.09.2023 N 3039
"Об утверждении регламента проведения независимой оценки качества дополнительных общеразвивающих программ в форме общественной экспертизы"</dc:title>
  <dcterms:created xsi:type="dcterms:W3CDTF">2023-12-05T16:43:02Z</dcterms:created>
</cp:coreProperties>
</file>