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Закон Курской области от 14.12.2020 N 100-ЗКО</w:t>
              <w:br/>
              <w:t xml:space="preserve">(ред. от 06.10.2023)</w:t>
              <w:br/>
              <w:t xml:space="preserve">"О Стратегии социально-экономического развития Курской области на период до 2030 года"</w:t>
              <w:br/>
              <w:t xml:space="preserve">(принят Курской областной Думой 11.12.2020)</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19.11.2023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outlineLvl w:val="0"/>
            </w:pPr>
            <w:r>
              <w:rPr>
                <w:sz w:val="20"/>
              </w:rPr>
              <w:t xml:space="preserve">14 декабря 2020 года</w:t>
            </w:r>
          </w:p>
        </w:tc>
        <w:tc>
          <w:tcPr>
            <w:tcW w:w="5103" w:type="dxa"/>
            <w:tcBorders>
              <w:top w:val="nil"/>
              <w:left w:val="nil"/>
              <w:bottom w:val="nil"/>
              <w:right w:val="nil"/>
            </w:tcBorders>
          </w:tcPr>
          <w:p>
            <w:pPr>
              <w:pStyle w:val="0"/>
              <w:outlineLvl w:val="0"/>
              <w:jc w:val="right"/>
            </w:pPr>
            <w:r>
              <w:rPr>
                <w:sz w:val="20"/>
              </w:rPr>
              <w:t xml:space="preserve">N 100-ЗКО</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КУРСКАЯ ОБЛАСТЬ</w:t>
      </w:r>
    </w:p>
    <w:p>
      <w:pPr>
        <w:pStyle w:val="2"/>
        <w:jc w:val="both"/>
      </w:pPr>
      <w:r>
        <w:rPr>
          <w:sz w:val="20"/>
        </w:rPr>
      </w:r>
    </w:p>
    <w:p>
      <w:pPr>
        <w:pStyle w:val="2"/>
        <w:jc w:val="center"/>
      </w:pPr>
      <w:r>
        <w:rPr>
          <w:sz w:val="20"/>
        </w:rPr>
        <w:t xml:space="preserve">ЗАКОН</w:t>
      </w:r>
    </w:p>
    <w:p>
      <w:pPr>
        <w:pStyle w:val="2"/>
        <w:jc w:val="both"/>
      </w:pPr>
      <w:r>
        <w:rPr>
          <w:sz w:val="20"/>
        </w:rPr>
      </w:r>
    </w:p>
    <w:p>
      <w:pPr>
        <w:pStyle w:val="2"/>
        <w:jc w:val="center"/>
      </w:pPr>
      <w:r>
        <w:rPr>
          <w:sz w:val="20"/>
        </w:rPr>
        <w:t xml:space="preserve">О СТРАТЕГИИ СОЦИАЛЬНО-ЭКОНОМИЧЕСКОГО РАЗВИТИЯ</w:t>
      </w:r>
    </w:p>
    <w:p>
      <w:pPr>
        <w:pStyle w:val="2"/>
        <w:jc w:val="center"/>
      </w:pPr>
      <w:r>
        <w:rPr>
          <w:sz w:val="20"/>
        </w:rPr>
        <w:t xml:space="preserve">КУРСКОЙ ОБЛАСТИ НА ПЕРИОД ДО 2030 ГОДА</w:t>
      </w:r>
    </w:p>
    <w:p>
      <w:pPr>
        <w:pStyle w:val="0"/>
        <w:jc w:val="both"/>
      </w:pPr>
      <w:r>
        <w:rPr>
          <w:sz w:val="20"/>
        </w:rPr>
      </w:r>
    </w:p>
    <w:p>
      <w:pPr>
        <w:pStyle w:val="0"/>
        <w:jc w:val="right"/>
      </w:pPr>
      <w:r>
        <w:rPr>
          <w:sz w:val="20"/>
        </w:rPr>
        <w:t xml:space="preserve">Принят</w:t>
      </w:r>
    </w:p>
    <w:p>
      <w:pPr>
        <w:pStyle w:val="0"/>
        <w:jc w:val="right"/>
      </w:pPr>
      <w:r>
        <w:rPr>
          <w:sz w:val="20"/>
        </w:rPr>
        <w:t xml:space="preserve">Курской областной Думой</w:t>
      </w:r>
    </w:p>
    <w:p>
      <w:pPr>
        <w:pStyle w:val="0"/>
        <w:jc w:val="right"/>
      </w:pPr>
      <w:r>
        <w:rPr>
          <w:sz w:val="20"/>
        </w:rPr>
        <w:t xml:space="preserve">11 декабря 2020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Законов Курской области</w:t>
            </w:r>
          </w:p>
          <w:p>
            <w:pPr>
              <w:pStyle w:val="0"/>
              <w:jc w:val="center"/>
            </w:pPr>
            <w:r>
              <w:rPr>
                <w:sz w:val="20"/>
                <w:color w:val="392c69"/>
              </w:rPr>
              <w:t xml:space="preserve">от 23.12.2022 </w:t>
            </w:r>
            <w:hyperlink w:history="0" r:id="rId7"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N 169-ЗКО</w:t>
              </w:r>
            </w:hyperlink>
            <w:r>
              <w:rPr>
                <w:sz w:val="20"/>
                <w:color w:val="392c69"/>
              </w:rPr>
              <w:t xml:space="preserve">, от 04.05.2023 </w:t>
            </w:r>
            <w:hyperlink w:history="0" r:id="rId8"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N 40-ЗКО</w:t>
              </w:r>
            </w:hyperlink>
            <w:r>
              <w:rPr>
                <w:sz w:val="20"/>
                <w:color w:val="392c69"/>
              </w:rPr>
              <w:t xml:space="preserve">, от 06.10.2023 </w:t>
            </w:r>
            <w:hyperlink w:history="0" r:id="rId9"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N 73-ЗКО</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ind w:firstLine="540"/>
        <w:jc w:val="both"/>
      </w:pPr>
      <w:r>
        <w:rPr>
          <w:sz w:val="20"/>
        </w:rPr>
        <w:t xml:space="preserve">Статья 1</w:t>
      </w:r>
    </w:p>
    <w:p>
      <w:pPr>
        <w:pStyle w:val="0"/>
        <w:jc w:val="both"/>
      </w:pPr>
      <w:r>
        <w:rPr>
          <w:sz w:val="20"/>
        </w:rPr>
      </w:r>
    </w:p>
    <w:p>
      <w:pPr>
        <w:pStyle w:val="0"/>
        <w:ind w:firstLine="540"/>
        <w:jc w:val="both"/>
      </w:pPr>
      <w:r>
        <w:rPr>
          <w:sz w:val="20"/>
        </w:rPr>
        <w:t xml:space="preserve">Утвердить </w:t>
      </w:r>
      <w:hyperlink w:history="0" w:anchor="P44" w:tooltip="СТРАТЕГИЯ">
        <w:r>
          <w:rPr>
            <w:sz w:val="20"/>
            <w:color w:val="0000ff"/>
          </w:rPr>
          <w:t xml:space="preserve">Стратегию</w:t>
        </w:r>
      </w:hyperlink>
      <w:r>
        <w:rPr>
          <w:sz w:val="20"/>
        </w:rPr>
        <w:t xml:space="preserve"> социально-экономического развития Курской области на период до 2030 года согласно приложению к настоящему Закону.</w:t>
      </w:r>
    </w:p>
    <w:p>
      <w:pPr>
        <w:pStyle w:val="0"/>
        <w:jc w:val="both"/>
      </w:pPr>
      <w:r>
        <w:rPr>
          <w:sz w:val="20"/>
        </w:rPr>
      </w:r>
    </w:p>
    <w:p>
      <w:pPr>
        <w:pStyle w:val="2"/>
        <w:outlineLvl w:val="1"/>
        <w:ind w:firstLine="540"/>
        <w:jc w:val="both"/>
      </w:pPr>
      <w:r>
        <w:rPr>
          <w:sz w:val="20"/>
        </w:rPr>
        <w:t xml:space="preserve">Статья 2</w:t>
      </w:r>
    </w:p>
    <w:p>
      <w:pPr>
        <w:pStyle w:val="0"/>
        <w:jc w:val="both"/>
      </w:pPr>
      <w:r>
        <w:rPr>
          <w:sz w:val="20"/>
        </w:rPr>
      </w:r>
    </w:p>
    <w:p>
      <w:pPr>
        <w:pStyle w:val="0"/>
        <w:ind w:firstLine="540"/>
        <w:jc w:val="both"/>
      </w:pPr>
      <w:r>
        <w:rPr>
          <w:sz w:val="20"/>
        </w:rPr>
        <w:t xml:space="preserve">Настоящий Закон вступает в силу после его официального опубликования.</w:t>
      </w:r>
    </w:p>
    <w:p>
      <w:pPr>
        <w:pStyle w:val="0"/>
        <w:jc w:val="both"/>
      </w:pPr>
      <w:r>
        <w:rPr>
          <w:sz w:val="20"/>
        </w:rPr>
      </w:r>
    </w:p>
    <w:p>
      <w:pPr>
        <w:pStyle w:val="0"/>
        <w:jc w:val="right"/>
      </w:pPr>
      <w:r>
        <w:rPr>
          <w:sz w:val="20"/>
        </w:rPr>
        <w:t xml:space="preserve">Губернатор</w:t>
      </w:r>
    </w:p>
    <w:p>
      <w:pPr>
        <w:pStyle w:val="0"/>
        <w:jc w:val="right"/>
      </w:pPr>
      <w:r>
        <w:rPr>
          <w:sz w:val="20"/>
        </w:rPr>
        <w:t xml:space="preserve">Курской области</w:t>
      </w:r>
    </w:p>
    <w:p>
      <w:pPr>
        <w:pStyle w:val="0"/>
        <w:jc w:val="right"/>
      </w:pPr>
      <w:r>
        <w:rPr>
          <w:sz w:val="20"/>
        </w:rPr>
        <w:t xml:space="preserve">Р.СТАРОВОЙТ</w:t>
      </w:r>
    </w:p>
    <w:p>
      <w:pPr>
        <w:pStyle w:val="0"/>
        <w:ind w:firstLine="540"/>
        <w:jc w:val="both"/>
      </w:pPr>
      <w:r>
        <w:rPr>
          <w:sz w:val="20"/>
        </w:rPr>
        <w:t xml:space="preserve">г. Курск</w:t>
      </w:r>
    </w:p>
    <w:p>
      <w:pPr>
        <w:pStyle w:val="0"/>
        <w:spacing w:before="200" w:line-rule="auto"/>
        <w:ind w:firstLine="540"/>
        <w:jc w:val="both"/>
      </w:pPr>
      <w:r>
        <w:rPr>
          <w:sz w:val="20"/>
        </w:rPr>
        <w:t xml:space="preserve">14 декабря 2020 г.</w:t>
      </w:r>
    </w:p>
    <w:p>
      <w:pPr>
        <w:pStyle w:val="0"/>
        <w:spacing w:before="200" w:line-rule="auto"/>
        <w:ind w:firstLine="540"/>
        <w:jc w:val="both"/>
      </w:pPr>
      <w:r>
        <w:rPr>
          <w:sz w:val="20"/>
        </w:rPr>
        <w:t xml:space="preserve">N 100 - ЗКО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w:t>
      </w:r>
    </w:p>
    <w:p>
      <w:pPr>
        <w:pStyle w:val="0"/>
        <w:jc w:val="right"/>
      </w:pPr>
      <w:r>
        <w:rPr>
          <w:sz w:val="20"/>
        </w:rPr>
        <w:t xml:space="preserve">к Закону Курской области</w:t>
      </w:r>
    </w:p>
    <w:p>
      <w:pPr>
        <w:pStyle w:val="0"/>
        <w:jc w:val="right"/>
      </w:pPr>
      <w:r>
        <w:rPr>
          <w:sz w:val="20"/>
        </w:rPr>
        <w:t xml:space="preserve">от 14 декабря 2020 г. N 100-ЗКО</w:t>
      </w:r>
    </w:p>
    <w:p>
      <w:pPr>
        <w:pStyle w:val="0"/>
        <w:jc w:val="right"/>
      </w:pPr>
      <w:r>
        <w:rPr>
          <w:sz w:val="20"/>
        </w:rPr>
        <w:t xml:space="preserve">"О Стратегии социально-экономического</w:t>
      </w:r>
    </w:p>
    <w:p>
      <w:pPr>
        <w:pStyle w:val="0"/>
        <w:jc w:val="right"/>
      </w:pPr>
      <w:r>
        <w:rPr>
          <w:sz w:val="20"/>
        </w:rPr>
        <w:t xml:space="preserve">развития Курской области</w:t>
      </w:r>
    </w:p>
    <w:p>
      <w:pPr>
        <w:pStyle w:val="0"/>
        <w:jc w:val="right"/>
      </w:pPr>
      <w:r>
        <w:rPr>
          <w:sz w:val="20"/>
        </w:rPr>
        <w:t xml:space="preserve">на период до 2030 года"</w:t>
      </w:r>
    </w:p>
    <w:p>
      <w:pPr>
        <w:pStyle w:val="0"/>
        <w:jc w:val="both"/>
      </w:pPr>
      <w:r>
        <w:rPr>
          <w:sz w:val="20"/>
        </w:rPr>
      </w:r>
    </w:p>
    <w:bookmarkStart w:id="44" w:name="P44"/>
    <w:bookmarkEnd w:id="44"/>
    <w:p>
      <w:pPr>
        <w:pStyle w:val="2"/>
        <w:jc w:val="center"/>
      </w:pPr>
      <w:r>
        <w:rPr>
          <w:sz w:val="20"/>
        </w:rPr>
        <w:t xml:space="preserve">СТРАТЕГИЯ</w:t>
      </w:r>
    </w:p>
    <w:p>
      <w:pPr>
        <w:pStyle w:val="2"/>
        <w:jc w:val="center"/>
      </w:pPr>
      <w:r>
        <w:rPr>
          <w:sz w:val="20"/>
        </w:rPr>
        <w:t xml:space="preserve">СОЦИАЛЬНО-ЭКОНОМИЧЕСКОГО РАЗВИТИЯ</w:t>
      </w:r>
    </w:p>
    <w:p>
      <w:pPr>
        <w:pStyle w:val="2"/>
        <w:jc w:val="center"/>
      </w:pPr>
      <w:r>
        <w:rPr>
          <w:sz w:val="20"/>
        </w:rPr>
        <w:t xml:space="preserve">КУРСКОЙ ОБЛАСТИ НА ПЕРИОД ДО 2030 ГОДА</w:t>
      </w:r>
    </w:p>
    <w:p>
      <w:pPr>
        <w:pStyle w:val="2"/>
        <w:jc w:val="center"/>
      </w:pPr>
      <w:r>
        <w:rPr>
          <w:sz w:val="20"/>
        </w:rPr>
        <w:t xml:space="preserve">"РЕГИОН, В КОТОРОМ ХОЧЕТСЯ ЖИТЬ"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Законов Курской области</w:t>
            </w:r>
          </w:p>
          <w:p>
            <w:pPr>
              <w:pStyle w:val="0"/>
              <w:jc w:val="center"/>
            </w:pPr>
            <w:r>
              <w:rPr>
                <w:sz w:val="20"/>
                <w:color w:val="392c69"/>
              </w:rPr>
              <w:t xml:space="preserve">от 23.12.2022 </w:t>
            </w:r>
            <w:hyperlink w:history="0" r:id="rId10"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N 169-ЗКО</w:t>
              </w:r>
            </w:hyperlink>
            <w:r>
              <w:rPr>
                <w:sz w:val="20"/>
                <w:color w:val="392c69"/>
              </w:rPr>
              <w:t xml:space="preserve">, от 04.05.2023 </w:t>
            </w:r>
            <w:hyperlink w:history="0" r:id="rId11"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N 40-ЗКО</w:t>
              </w:r>
            </w:hyperlink>
            <w:r>
              <w:rPr>
                <w:sz w:val="20"/>
                <w:color w:val="392c69"/>
              </w:rPr>
              <w:t xml:space="preserve">, от 06.10.2023 </w:t>
            </w:r>
            <w:hyperlink w:history="0" r:id="rId12"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N 73-ЗКО</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1. Введение</w:t>
      </w:r>
    </w:p>
    <w:p>
      <w:pPr>
        <w:pStyle w:val="0"/>
        <w:jc w:val="both"/>
      </w:pPr>
      <w:r>
        <w:rPr>
          <w:sz w:val="20"/>
        </w:rPr>
      </w:r>
    </w:p>
    <w:p>
      <w:pPr>
        <w:pStyle w:val="0"/>
        <w:ind w:firstLine="540"/>
        <w:jc w:val="both"/>
      </w:pPr>
      <w:r>
        <w:rPr>
          <w:sz w:val="20"/>
        </w:rPr>
        <w:t xml:space="preserve">Стратегия социально-экономического развития Курской области на период до 2030 года (далее - Стратегия) является документом стратегического планирования Курской области, разработанным в рамках целеполагания.</w:t>
      </w:r>
    </w:p>
    <w:p>
      <w:pPr>
        <w:pStyle w:val="0"/>
        <w:spacing w:before="200" w:line-rule="auto"/>
        <w:ind w:firstLine="540"/>
        <w:jc w:val="both"/>
      </w:pPr>
      <w:r>
        <w:rPr>
          <w:sz w:val="20"/>
        </w:rPr>
        <w:t xml:space="preserve">Стратегия определяет приоритеты, цели, задачи и направления социально-экономического развития Курской области, согласованные с приоритетами и целями социально-экономического развития Российской Федерации. Стратегия обеспечивает согласованность действий органов исполнительной власти области, органов местного самоуправления в долгосрочной перспективе, служит долгосрочной основой для принятия управленческих решений на уровне области.</w:t>
      </w:r>
    </w:p>
    <w:p>
      <w:pPr>
        <w:pStyle w:val="0"/>
        <w:spacing w:before="200" w:line-rule="auto"/>
        <w:ind w:firstLine="540"/>
        <w:jc w:val="both"/>
      </w:pPr>
      <w:r>
        <w:rPr>
          <w:sz w:val="20"/>
        </w:rPr>
        <w:t xml:space="preserve">Нормативными правовыми основаниями разработки и корректировки Стратегии являются:</w:t>
      </w:r>
    </w:p>
    <w:p>
      <w:pPr>
        <w:pStyle w:val="0"/>
        <w:spacing w:before="200" w:line-rule="auto"/>
        <w:ind w:firstLine="540"/>
        <w:jc w:val="both"/>
      </w:pPr>
      <w:hyperlink w:history="0" r:id="rId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Федеральный </w:t>
      </w:r>
      <w:hyperlink w:history="0" r:id="rId14" w:tooltip="Федеральный закон от 28.06.2014 N 172-ФЗ (ред. от 17.02.2023) &quot;О стратегическом планировании в Российской Федерации&quot; {КонсультантПлюс}">
        <w:r>
          <w:rPr>
            <w:sz w:val="20"/>
            <w:color w:val="0000ff"/>
          </w:rPr>
          <w:t xml:space="preserve">закон</w:t>
        </w:r>
      </w:hyperlink>
      <w:r>
        <w:rPr>
          <w:sz w:val="20"/>
        </w:rPr>
        <w:t xml:space="preserve"> от 28 июня 2014 года N 172-ФЗ "О стратегическом планировании в Российской Федерации";</w:t>
      </w:r>
    </w:p>
    <w:p>
      <w:pPr>
        <w:pStyle w:val="0"/>
        <w:spacing w:before="200" w:line-rule="auto"/>
        <w:ind w:firstLine="540"/>
        <w:jc w:val="both"/>
      </w:pPr>
      <w:hyperlink w:history="0" r:id="rId15" w:tooltip="Указ Президента РФ от 07.05.2012 N 596 &quot;О долгосрочной государственной экономической политике&quot; {КонсультантПлюс}">
        <w:r>
          <w:rPr>
            <w:sz w:val="20"/>
            <w:color w:val="0000ff"/>
          </w:rPr>
          <w:t xml:space="preserve">Указ</w:t>
        </w:r>
      </w:hyperlink>
      <w:r>
        <w:rPr>
          <w:sz w:val="20"/>
        </w:rPr>
        <w:t xml:space="preserve"> Президента Российской Федерации от 7 мая 2012 года N 596 "О долгосрочной государственной экономической политике";</w:t>
      </w:r>
    </w:p>
    <w:p>
      <w:pPr>
        <w:pStyle w:val="0"/>
        <w:spacing w:before="200" w:line-rule="auto"/>
        <w:ind w:firstLine="540"/>
        <w:jc w:val="both"/>
      </w:pPr>
      <w:hyperlink w:history="0" r:id="rId16"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w:t>
        </w:r>
      </w:hyperlink>
      <w:r>
        <w:rPr>
          <w:sz w:val="20"/>
        </w:rPr>
        <w:t xml:space="preserve"> Президента Российской Федерации от 7 мая 2012 года N 597 "О мероприятиях по реализации государственной социальной политики";</w:t>
      </w:r>
    </w:p>
    <w:p>
      <w:pPr>
        <w:pStyle w:val="0"/>
        <w:spacing w:before="200" w:line-rule="auto"/>
        <w:ind w:firstLine="540"/>
        <w:jc w:val="both"/>
      </w:pPr>
      <w:hyperlink w:history="0" r:id="rId17" w:tooltip="Указ Президента РФ от 07.05.2012 N 598 &quot;О совершенствовании государственной политики в сфере здравоохранения&quot; {КонсультантПлюс}">
        <w:r>
          <w:rPr>
            <w:sz w:val="20"/>
            <w:color w:val="0000ff"/>
          </w:rPr>
          <w:t xml:space="preserve">Указ</w:t>
        </w:r>
      </w:hyperlink>
      <w:r>
        <w:rPr>
          <w:sz w:val="20"/>
        </w:rPr>
        <w:t xml:space="preserve"> Президента Российской Федерации от 7 мая 2012 года N 598 "О совершенствовании государственной политики в сфере здравоохранения";</w:t>
      </w:r>
    </w:p>
    <w:p>
      <w:pPr>
        <w:pStyle w:val="0"/>
        <w:spacing w:before="200" w:line-rule="auto"/>
        <w:ind w:firstLine="540"/>
        <w:jc w:val="both"/>
      </w:pPr>
      <w:hyperlink w:history="0" r:id="rId18" w:tooltip="Указ Президента РФ от 07.05.2012 N 599 &quot;О мерах по реализации государственной политики в области образования и науки&quot; {КонсультантПлюс}">
        <w:r>
          <w:rPr>
            <w:sz w:val="20"/>
            <w:color w:val="0000ff"/>
          </w:rPr>
          <w:t xml:space="preserve">Указ</w:t>
        </w:r>
      </w:hyperlink>
      <w:r>
        <w:rPr>
          <w:sz w:val="20"/>
        </w:rPr>
        <w:t xml:space="preserve"> Президента Российской Федерации от 7 мая 2012 года N 599 "О мерах по реализации государственной политики в области образования и науки";</w:t>
      </w:r>
    </w:p>
    <w:p>
      <w:pPr>
        <w:pStyle w:val="0"/>
        <w:spacing w:before="200" w:line-rule="auto"/>
        <w:ind w:firstLine="540"/>
        <w:jc w:val="both"/>
      </w:pPr>
      <w:hyperlink w:history="0" r:id="rId19" w:tooltip="Указ Президента РФ от 07.05.2012 N 600 &quot;О мерах по обеспечению граждан Российской Федерации доступным и комфортным жильем и повышению качества жилищно-коммунальных услуг&quot; {КонсультантПлюс}">
        <w:r>
          <w:rPr>
            <w:sz w:val="20"/>
            <w:color w:val="0000ff"/>
          </w:rPr>
          <w:t xml:space="preserve">Указ</w:t>
        </w:r>
      </w:hyperlink>
      <w:r>
        <w:rPr>
          <w:sz w:val="20"/>
        </w:rPr>
        <w:t xml:space="preserve"> Президента Российской Федерации от 7 мая 2012 года N 600 "О мерах по обеспечению граждан Российской Федерации доступным и комфортным жильем и повышению качества жилищно-коммунальных услуг";</w:t>
      </w:r>
    </w:p>
    <w:p>
      <w:pPr>
        <w:pStyle w:val="0"/>
        <w:spacing w:before="200" w:line-rule="auto"/>
        <w:ind w:firstLine="540"/>
        <w:jc w:val="both"/>
      </w:pPr>
      <w:hyperlink w:history="0" r:id="rId20" w:tooltip="Указ Президента РФ от 07.05.2012 N 601 &quot;Об основных направлениях совершенствования системы государственного управления&quot; {КонсультантПлюс}">
        <w:r>
          <w:rPr>
            <w:sz w:val="20"/>
            <w:color w:val="0000ff"/>
          </w:rPr>
          <w:t xml:space="preserve">Указ</w:t>
        </w:r>
      </w:hyperlink>
      <w:r>
        <w:rPr>
          <w:sz w:val="20"/>
        </w:rPr>
        <w:t xml:space="preserve"> Президента Российской Федерации от 7 мая 2012 года N 601 "Об основных направлениях совершенствования системы государственного управления";</w:t>
      </w:r>
    </w:p>
    <w:p>
      <w:pPr>
        <w:pStyle w:val="0"/>
        <w:spacing w:before="200" w:line-rule="auto"/>
        <w:ind w:firstLine="540"/>
        <w:jc w:val="both"/>
      </w:pPr>
      <w:hyperlink w:history="0" r:id="rId21" w:tooltip="Указ Президента РФ от 07.05.2012 N 606 (ред. от 13.01.2023) &quot;О мерах по реализации демографической политики Российской Федерации&quot; {КонсультантПлюс}">
        <w:r>
          <w:rPr>
            <w:sz w:val="20"/>
            <w:color w:val="0000ff"/>
          </w:rPr>
          <w:t xml:space="preserve">Указ</w:t>
        </w:r>
      </w:hyperlink>
      <w:r>
        <w:rPr>
          <w:sz w:val="20"/>
        </w:rPr>
        <w:t xml:space="preserve"> Президента Российской Федерации от 7 мая 2012 года N 606 "О мерах по реализации демографической политики Российской Федерации";</w:t>
      </w:r>
    </w:p>
    <w:p>
      <w:pPr>
        <w:pStyle w:val="0"/>
        <w:spacing w:before="200" w:line-rule="auto"/>
        <w:ind w:firstLine="540"/>
        <w:jc w:val="both"/>
      </w:pPr>
      <w:hyperlink w:history="0" r:id="rId22" w:tooltip="Указ Президента РФ от 19.12.2012 N 1666 (ред. от 06.12.2018) &quot;О Стратегии государственной национальной политики Российской Федерации на период до 2025 года&quot; {КонсультантПлюс}">
        <w:r>
          <w:rPr>
            <w:sz w:val="20"/>
            <w:color w:val="0000ff"/>
          </w:rPr>
          <w:t xml:space="preserve">Указ</w:t>
        </w:r>
      </w:hyperlink>
      <w:r>
        <w:rPr>
          <w:sz w:val="20"/>
        </w:rPr>
        <w:t xml:space="preserve"> Президента Российской Федерации от 19 декабря 2012 года N 1666 "О Стратегии государственной национальной политики Российской Федерации на период до 2025 года";</w:t>
      </w:r>
    </w:p>
    <w:p>
      <w:pPr>
        <w:pStyle w:val="0"/>
        <w:spacing w:before="200" w:line-rule="auto"/>
        <w:ind w:firstLine="540"/>
        <w:jc w:val="both"/>
      </w:pPr>
      <w:hyperlink w:history="0" r:id="rId23" w:tooltip="Указ Президента РФ от 02.07.2021 N 400 &quot;О Стратегии национальной безопасности Российской Федерации&quot; {КонсультантПлюс}">
        <w:r>
          <w:rPr>
            <w:sz w:val="20"/>
            <w:color w:val="0000ff"/>
          </w:rPr>
          <w:t xml:space="preserve">Указ</w:t>
        </w:r>
      </w:hyperlink>
      <w:r>
        <w:rPr>
          <w:sz w:val="20"/>
        </w:rPr>
        <w:t xml:space="preserve"> Президента Российской Федерации от 2 июля 2021 года N 400 "О Стратегии национальной безопасности Российской Федерации";</w:t>
      </w:r>
    </w:p>
    <w:p>
      <w:pPr>
        <w:pStyle w:val="0"/>
        <w:jc w:val="both"/>
      </w:pPr>
      <w:r>
        <w:rPr>
          <w:sz w:val="20"/>
        </w:rPr>
        <w:t xml:space="preserve">(в ред. </w:t>
      </w:r>
      <w:hyperlink w:history="0" r:id="rId24"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hyperlink w:history="0" r:id="rId25" w:tooltip="Указ Президента РФ от 31.03.2023 N 229 &quot;Об утверждении Концепции внешней политики Российской Федерации&quot; {КонсультантПлюс}">
        <w:r>
          <w:rPr>
            <w:sz w:val="20"/>
            <w:color w:val="0000ff"/>
          </w:rPr>
          <w:t xml:space="preserve">Указ</w:t>
        </w:r>
      </w:hyperlink>
      <w:r>
        <w:rPr>
          <w:sz w:val="20"/>
        </w:rPr>
        <w:t xml:space="preserve"> Президента Российской Федерации от 31 марта 2023 года N 229 "Об утверждении Концепции внешней политики Российской Федерации</w:t>
      </w:r>
    </w:p>
    <w:p>
      <w:pPr>
        <w:pStyle w:val="0"/>
        <w:jc w:val="both"/>
      </w:pPr>
      <w:r>
        <w:rPr>
          <w:sz w:val="20"/>
        </w:rPr>
        <w:t xml:space="preserve">(в ред. </w:t>
      </w:r>
      <w:hyperlink w:history="0" r:id="rId26"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hyperlink w:history="0" r:id="rId27" w:tooltip="Указ Президента РФ от 01.12.2016 N 642 (ред. от 15.03.2021) &quot;О Стратегии научно-технологического развития Российской Федерации&quot; {КонсультантПлюс}">
        <w:r>
          <w:rPr>
            <w:sz w:val="20"/>
            <w:color w:val="0000ff"/>
          </w:rPr>
          <w:t xml:space="preserve">Указ</w:t>
        </w:r>
      </w:hyperlink>
      <w:r>
        <w:rPr>
          <w:sz w:val="20"/>
        </w:rPr>
        <w:t xml:space="preserve"> Президента Российской Федерации от 1 декабря 2016 года N 642 "О Стратегии научно-технологического развития Российской Федерации";</w:t>
      </w:r>
    </w:p>
    <w:p>
      <w:pPr>
        <w:pStyle w:val="0"/>
        <w:spacing w:before="200" w:line-rule="auto"/>
        <w:ind w:firstLine="540"/>
        <w:jc w:val="both"/>
      </w:pPr>
      <w:hyperlink w:history="0" r:id="rId28" w:tooltip="Указ Президента РФ от 16.01.2017 N 13 &quot;Об утверждении Основ государственной политики регионального развития Российской Федерации на период до 2025 года&quot; {КонсультантПлюс}">
        <w:r>
          <w:rPr>
            <w:sz w:val="20"/>
            <w:color w:val="0000ff"/>
          </w:rPr>
          <w:t xml:space="preserve">Указ</w:t>
        </w:r>
      </w:hyperlink>
      <w:r>
        <w:rPr>
          <w:sz w:val="20"/>
        </w:rPr>
        <w:t xml:space="preserve"> Президента Российской Федерации от 16 января 2017 года N 13 "Об утверждении Основ государственной политики регионального развития Российской Федерации на период до 2025 года";</w:t>
      </w:r>
    </w:p>
    <w:p>
      <w:pPr>
        <w:pStyle w:val="0"/>
        <w:spacing w:before="200" w:line-rule="auto"/>
        <w:ind w:firstLine="540"/>
        <w:jc w:val="both"/>
      </w:pPr>
      <w:hyperlink w:history="0" r:id="rId29" w:tooltip="Указ Президента РФ от 09.05.2017 N 203 &quot;О Стратегии развития информационного общества в Российской Федерации на 2017 - 2030 годы&quot; {КонсультантПлюс}">
        <w:r>
          <w:rPr>
            <w:sz w:val="20"/>
            <w:color w:val="0000ff"/>
          </w:rPr>
          <w:t xml:space="preserve">Указ</w:t>
        </w:r>
      </w:hyperlink>
      <w:r>
        <w:rPr>
          <w:sz w:val="20"/>
        </w:rPr>
        <w:t xml:space="preserve"> Президента Российской Федерации от 9 мая 2017 года N 203 "О Стратегии развития информационного общества в Российской Федерации на 2017 - 2030 годы";</w:t>
      </w:r>
    </w:p>
    <w:p>
      <w:pPr>
        <w:pStyle w:val="0"/>
        <w:spacing w:before="200" w:line-rule="auto"/>
        <w:ind w:firstLine="540"/>
        <w:jc w:val="both"/>
      </w:pPr>
      <w:hyperlink w:history="0" r:id="rId30" w:tooltip="Указ Президента РФ от 13.05.2017 N 208 &quot;О Стратегии экономической безопасности Российской Федерации на период до 2030 года&quot; {КонсультантПлюс}">
        <w:r>
          <w:rPr>
            <w:sz w:val="20"/>
            <w:color w:val="0000ff"/>
          </w:rPr>
          <w:t xml:space="preserve">Указ</w:t>
        </w:r>
      </w:hyperlink>
      <w:r>
        <w:rPr>
          <w:sz w:val="20"/>
        </w:rPr>
        <w:t xml:space="preserve"> Президента Российской Федерации от 13 мая 2017 года N 208 "О Стратегии экономической безопасности Российской Федерации на период до 2030 года";</w:t>
      </w:r>
    </w:p>
    <w:p>
      <w:pPr>
        <w:pStyle w:val="0"/>
        <w:spacing w:before="200" w:line-rule="auto"/>
        <w:ind w:firstLine="540"/>
        <w:jc w:val="both"/>
      </w:pPr>
      <w:hyperlink w:history="0" r:id="rId31" w:tooltip="Указ Президента РФ от 01.01.2018 N 2 &quot;Об утверждении Основ государственной политики Российской Федерации в области пожарной безопасности на период до 2030 года&quot; {КонсультантПлюс}">
        <w:r>
          <w:rPr>
            <w:sz w:val="20"/>
            <w:color w:val="0000ff"/>
          </w:rPr>
          <w:t xml:space="preserve">Указ</w:t>
        </w:r>
      </w:hyperlink>
      <w:r>
        <w:rPr>
          <w:sz w:val="20"/>
        </w:rPr>
        <w:t xml:space="preserve"> Президента Российской Федерации от 1 января 2018 года N 2 "Об утверждении Основ государственной политики Российской Федерации в области пожарной безопасности на период до 2030 года";</w:t>
      </w:r>
    </w:p>
    <w:p>
      <w:pPr>
        <w:pStyle w:val="0"/>
        <w:spacing w:before="200" w:line-rule="auto"/>
        <w:ind w:firstLine="540"/>
        <w:jc w:val="both"/>
      </w:pPr>
      <w:hyperlink w:history="0" r:id="rId32"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w:t>
        </w:r>
      </w:hyperlink>
      <w:r>
        <w:rPr>
          <w:sz w:val="20"/>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pPr>
        <w:pStyle w:val="0"/>
        <w:spacing w:before="200" w:line-rule="auto"/>
        <w:ind w:firstLine="540"/>
        <w:jc w:val="both"/>
      </w:pPr>
      <w:hyperlink w:history="0" r:id="rId33" w:tooltip="Указ Президента РФ от 06.06.2019 N 254 (ред. от 27.03.2023) &quot;О Стратегии развития здравоохранения в Российской Федерации на период до 2025 года&quot; {КонсультантПлюс}">
        <w:r>
          <w:rPr>
            <w:sz w:val="20"/>
            <w:color w:val="0000ff"/>
          </w:rPr>
          <w:t xml:space="preserve">Указ</w:t>
        </w:r>
      </w:hyperlink>
      <w:r>
        <w:rPr>
          <w:sz w:val="20"/>
        </w:rPr>
        <w:t xml:space="preserve"> Президента Российской Федерации от 6 июня 2019 года N 254 "О Стратегии развития здравоохранения в Российской Федерации на период до 2025 года";</w:t>
      </w:r>
    </w:p>
    <w:p>
      <w:pPr>
        <w:pStyle w:val="0"/>
        <w:spacing w:before="200" w:line-rule="auto"/>
        <w:ind w:firstLine="540"/>
        <w:jc w:val="both"/>
      </w:pPr>
      <w:hyperlink w:history="0" r:id="rId34"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w:t>
        </w:r>
      </w:hyperlink>
      <w:r>
        <w:rPr>
          <w:sz w:val="20"/>
        </w:rPr>
        <w:t xml:space="preserve"> Президента Российской Федерации от 21 июля 2020 года N 474 "О национальных целях развития Российской Федерации на период до 2030 года";</w:t>
      </w:r>
    </w:p>
    <w:p>
      <w:pPr>
        <w:pStyle w:val="0"/>
        <w:spacing w:before="200" w:line-rule="auto"/>
        <w:ind w:firstLine="540"/>
        <w:jc w:val="both"/>
      </w:pPr>
      <w:hyperlink w:history="0" r:id="rId35" w:tooltip="Распоряжение Правительства РФ от 02.02.2015 N 151-р (ред. от 13.01.2017) &lt;Об утверждении Стратегии устойчивого развития сельских территорий Российской Федерации на период до 2030 года&gt; {КонсультантПлюс}">
        <w:r>
          <w:rPr>
            <w:sz w:val="20"/>
            <w:color w:val="0000ff"/>
          </w:rPr>
          <w:t xml:space="preserve">Стратегия</w:t>
        </w:r>
      </w:hyperlink>
      <w:r>
        <w:rPr>
          <w:sz w:val="20"/>
        </w:rPr>
        <w:t xml:space="preserve">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2 февраля 2015 г. N 151-р;</w:t>
      </w:r>
    </w:p>
    <w:p>
      <w:pPr>
        <w:pStyle w:val="0"/>
        <w:spacing w:before="200" w:line-rule="auto"/>
        <w:ind w:firstLine="540"/>
        <w:jc w:val="both"/>
      </w:pPr>
      <w:hyperlink w:history="0" r:id="rId36" w:tooltip="Распоряжение Правительства РФ от 29.02.2016 N 326-р (ред. от 30.03.2018) &lt;Об утверждении Стратегии государственной культурной политики на период до 2030 года&gt; {КонсультантПлюс}">
        <w:r>
          <w:rPr>
            <w:sz w:val="20"/>
            <w:color w:val="0000ff"/>
          </w:rPr>
          <w:t xml:space="preserve">Стратегия</w:t>
        </w:r>
      </w:hyperlink>
      <w:r>
        <w:rPr>
          <w:sz w:val="20"/>
        </w:rPr>
        <w:t xml:space="preserve"> государственной культурной политики на период до 2030 года, утвержденная Распоряжением Правительства Российской Федерации от 29 февраля 2016 г. N 326-р;</w:t>
      </w:r>
    </w:p>
    <w:p>
      <w:pPr>
        <w:pStyle w:val="0"/>
        <w:spacing w:before="200" w:line-rule="auto"/>
        <w:ind w:firstLine="540"/>
        <w:jc w:val="both"/>
      </w:pPr>
      <w:hyperlink w:history="0" r:id="rId37" w:tooltip="Распоряжение Правительства РФ от 02.06.2016 N 1083-р (ред. от 30.03.2018) &lt;Об утверждении Стратегии развития малого и среднего предпринимательства в Российской Федерации на период до 2030 года&gt; (вместе с &quot;Планом мероприятий (&quot;дорожной картой&quot;) по реализации Стратегии развития малого и среднего предпринимательства в Российской Федерации на период до 2030 года&quot;) {КонсультантПлюс}">
        <w:r>
          <w:rPr>
            <w:sz w:val="20"/>
            <w:color w:val="0000ff"/>
          </w:rPr>
          <w:t xml:space="preserve">Стратегия</w:t>
        </w:r>
      </w:hyperlink>
      <w:r>
        <w:rPr>
          <w:sz w:val="20"/>
        </w:rPr>
        <w:t xml:space="preserve"> развития малого и среднего предпринимательства в Российской Федерации на период до 2030 года, утвержденная Распоряжением Правительства Российской Федерации от 2 июня 2016 г. N 1083-р;</w:t>
      </w:r>
    </w:p>
    <w:p>
      <w:pPr>
        <w:pStyle w:val="0"/>
        <w:spacing w:before="200" w:line-rule="auto"/>
        <w:ind w:firstLine="540"/>
        <w:jc w:val="both"/>
      </w:pPr>
      <w:hyperlink w:history="0" r:id="rId38" w:tooltip="Распоряжение Правительства РФ от 25.09.2017 N 2039-р &lt;Об утверждении Стратегии повышения финансовой грамотности в Российской Федерации на 2017 - 2023 годы&gt; {КонсультантПлюс}">
        <w:r>
          <w:rPr>
            <w:sz w:val="20"/>
            <w:color w:val="0000ff"/>
          </w:rPr>
          <w:t xml:space="preserve">Стратегия</w:t>
        </w:r>
      </w:hyperlink>
      <w:r>
        <w:rPr>
          <w:sz w:val="20"/>
        </w:rPr>
        <w:t xml:space="preserve"> повышения финансовой грамотности в Российской Федерации на 2017 - 2023 годы, утвержденная Распоряжением Правительства Российской Федерации от 25 сентября 2017 г. N 2039-р;</w:t>
      </w:r>
    </w:p>
    <w:p>
      <w:pPr>
        <w:pStyle w:val="0"/>
        <w:spacing w:before="200" w:line-rule="auto"/>
        <w:ind w:firstLine="540"/>
        <w:jc w:val="both"/>
      </w:pPr>
      <w:hyperlink w:history="0" r:id="rId39" w:tooltip="Распоряжение Правительства РФ от 25.01.2018 N 84-р (ред. от 13.10.2022) &lt;Об утверждении Стратегии развития промышленности по обработке, утилизации и обезвреживанию отходов производства и потребления на период до 2030 года&gt; {КонсультантПлюс}">
        <w:r>
          <w:rPr>
            <w:sz w:val="20"/>
            <w:color w:val="0000ff"/>
          </w:rPr>
          <w:t xml:space="preserve">Стратегия</w:t>
        </w:r>
      </w:hyperlink>
      <w:r>
        <w:rPr>
          <w:sz w:val="20"/>
        </w:rPr>
        <w:t xml:space="preserve">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 января 2018 г. N 84-р;</w:t>
      </w:r>
    </w:p>
    <w:p>
      <w:pPr>
        <w:pStyle w:val="0"/>
        <w:spacing w:before="200" w:line-rule="auto"/>
        <w:ind w:firstLine="540"/>
        <w:jc w:val="both"/>
      </w:pPr>
      <w:hyperlink w:history="0" r:id="rId40"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Pr>
            <w:sz w:val="20"/>
            <w:color w:val="0000ff"/>
          </w:rPr>
          <w:t xml:space="preserve">Стратегия</w:t>
        </w:r>
      </w:hyperlink>
      <w:r>
        <w:rPr>
          <w:sz w:val="20"/>
        </w:rPr>
        <w:t xml:space="preserve"> развития лесного комплекса Российской Федерации до 2030 года, утвержденная Распоряжением Правительства Российской Федерации от 11 февраля 2021 года N 312-р;</w:t>
      </w:r>
    </w:p>
    <w:p>
      <w:pPr>
        <w:pStyle w:val="0"/>
        <w:jc w:val="both"/>
      </w:pPr>
      <w:r>
        <w:rPr>
          <w:sz w:val="20"/>
        </w:rPr>
        <w:t xml:space="preserve">(в ред. </w:t>
      </w:r>
      <w:hyperlink w:history="0" r:id="rId41"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hyperlink w:history="0" r:id="rId42" w:tooltip="Распоряжение Правительства РФ от 22.12.2018 N 2914-р &lt;Об утверждении Стратегии развития минерально-сырьевой базы Российской Федерации до 2035 года&gt; {КонсультантПлюс}">
        <w:r>
          <w:rPr>
            <w:sz w:val="20"/>
            <w:color w:val="0000ff"/>
          </w:rPr>
          <w:t xml:space="preserve">Стратегия</w:t>
        </w:r>
      </w:hyperlink>
      <w:r>
        <w:rPr>
          <w:sz w:val="20"/>
        </w:rPr>
        <w:t xml:space="preserve"> развития минерально-сырьевой базы Российской Федерации до 2035 года, утвержденная Распоряжением Правительства Российской Федерации от 22 декабря 2018 г. N 2914-р;</w:t>
      </w:r>
    </w:p>
    <w:p>
      <w:pPr>
        <w:pStyle w:val="0"/>
        <w:spacing w:before="200" w:line-rule="auto"/>
        <w:ind w:firstLine="540"/>
        <w:jc w:val="both"/>
      </w:pPr>
      <w:hyperlink w:history="0" r:id="rId43"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Стратегия</w:t>
        </w:r>
      </w:hyperlink>
      <w:r>
        <w:rPr>
          <w:sz w:val="20"/>
        </w:rPr>
        <w:t xml:space="preserve">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w:t>
      </w:r>
    </w:p>
    <w:p>
      <w:pPr>
        <w:pStyle w:val="0"/>
        <w:spacing w:before="200" w:line-rule="auto"/>
        <w:ind w:firstLine="540"/>
        <w:jc w:val="both"/>
      </w:pPr>
      <w:hyperlink w:history="0" r:id="rId44" w:tooltip="Распоряжение Правительства РФ от 20.09.2019 N 2129-р (ред. от 07.02.2022) &lt;Об утверждении Стратегии развития туризма в Российской Федерации на период до 2035 года&gt; {КонсультантПлюс}">
        <w:r>
          <w:rPr>
            <w:sz w:val="20"/>
            <w:color w:val="0000ff"/>
          </w:rPr>
          <w:t xml:space="preserve">Стратегия</w:t>
        </w:r>
      </w:hyperlink>
      <w:r>
        <w:rPr>
          <w:sz w:val="20"/>
        </w:rPr>
        <w:t xml:space="preserve"> развития туризма в Российской Федерации на период до 2035 года, утвержденная Распоряжением Правительства Российской Федерации от 20 сентября 2019 г. N 2129-р;</w:t>
      </w:r>
    </w:p>
    <w:p>
      <w:pPr>
        <w:pStyle w:val="0"/>
        <w:spacing w:before="200" w:line-rule="auto"/>
        <w:ind w:firstLine="540"/>
        <w:jc w:val="both"/>
      </w:pPr>
      <w:hyperlink w:history="0" r:id="rId45" w:tooltip="&quot;Основы государственной политики в области экологического развития Российской Федерации на период до 2030 года&quot; (утв. Президентом РФ 30.04.2012) {КонсультантПлюс}">
        <w:r>
          <w:rPr>
            <w:sz w:val="20"/>
            <w:color w:val="0000ff"/>
          </w:rPr>
          <w:t xml:space="preserve">Основы</w:t>
        </w:r>
      </w:hyperlink>
      <w:r>
        <w:rPr>
          <w:sz w:val="20"/>
        </w:rPr>
        <w:t xml:space="preserve"> государственной политики в области экологического развития Российской Федерации на период до 2030 года, утвержденные Президентом Российской Федерации 30 апреля 2012 года;</w:t>
      </w:r>
    </w:p>
    <w:p>
      <w:pPr>
        <w:pStyle w:val="0"/>
        <w:spacing w:before="200" w:line-rule="auto"/>
        <w:ind w:firstLine="540"/>
        <w:jc w:val="both"/>
      </w:pPr>
      <w:hyperlink w:history="0" r:id="rId46" w:tooltip="Закон Курской области от 29.04.2015 N 46-ЗКО (ред. от 11.10.2022) &quot;О стратегическом планировании в Курской области&quot; (принят Курской областной Думой 23.04.2015) {КонсультантПлюс}">
        <w:r>
          <w:rPr>
            <w:sz w:val="20"/>
            <w:color w:val="0000ff"/>
          </w:rPr>
          <w:t xml:space="preserve">Закон</w:t>
        </w:r>
      </w:hyperlink>
      <w:r>
        <w:rPr>
          <w:sz w:val="20"/>
        </w:rPr>
        <w:t xml:space="preserve"> Курской области от 29 апреля 2015 года N 46-ЗКО "О стратегическом планировании в Курской области".</w:t>
      </w:r>
    </w:p>
    <w:p>
      <w:pPr>
        <w:pStyle w:val="0"/>
        <w:spacing w:before="200" w:line-rule="auto"/>
        <w:ind w:firstLine="540"/>
        <w:jc w:val="both"/>
      </w:pPr>
      <w:r>
        <w:rPr>
          <w:sz w:val="20"/>
        </w:rPr>
        <w:t xml:space="preserve">При разработке Стратегии также учтены положения Методических </w:t>
      </w:r>
      <w:hyperlink w:history="0" r:id="rId47" w:tooltip="Приказ Минэкономразвития России от 23.03.2017 N 132 (ред. от 18.02.2022) &quo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quot; {КонсультантПлюс}">
        <w:r>
          <w:rPr>
            <w:sz w:val="20"/>
            <w:color w:val="0000ff"/>
          </w:rPr>
          <w:t xml:space="preserve">рекомендаций</w:t>
        </w:r>
      </w:hyperlink>
      <w:r>
        <w:rPr>
          <w:sz w:val="20"/>
        </w:rP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утвержденные приказом Министерства экономического развития Российской Федерации от 23 марта 2017 года N 132; прогноза социально-экономического развития Российской Федерации до 2030 года, разработанного Министерством экономического развития Российской Федерации; государственных программ Российской Федерации; долгосрочного прогноза социально-экономического развития Курской области на период до 2030 года, утвержденного распоряжением Администрации Курской области от 15.12.2016 N 450-ра; бюджетного прогноза Курской области до 2030 года, утвержденного распоряжением Администрации Курской области от 02.03.2017 N 92-ра.</w:t>
      </w:r>
    </w:p>
    <w:p>
      <w:pPr>
        <w:pStyle w:val="0"/>
        <w:spacing w:before="200" w:line-rule="auto"/>
        <w:ind w:firstLine="540"/>
        <w:jc w:val="both"/>
      </w:pPr>
      <w:r>
        <w:rPr>
          <w:sz w:val="20"/>
        </w:rPr>
        <w:t xml:space="preserve">При разработке Стратегии использована следующая информация:</w:t>
      </w:r>
    </w:p>
    <w:p>
      <w:pPr>
        <w:pStyle w:val="0"/>
        <w:spacing w:before="200" w:line-rule="auto"/>
        <w:ind w:firstLine="540"/>
        <w:jc w:val="both"/>
      </w:pPr>
      <w:r>
        <w:rPr>
          <w:sz w:val="20"/>
        </w:rPr>
        <w:t xml:space="preserve">статистические данные Федеральной службы государственной статистики;</w:t>
      </w:r>
    </w:p>
    <w:p>
      <w:pPr>
        <w:pStyle w:val="0"/>
        <w:spacing w:before="200" w:line-rule="auto"/>
        <w:ind w:firstLine="540"/>
        <w:jc w:val="both"/>
      </w:pPr>
      <w:r>
        <w:rPr>
          <w:sz w:val="20"/>
        </w:rPr>
        <w:t xml:space="preserve">ведомственная информация о развитии отраслей экономики;</w:t>
      </w:r>
    </w:p>
    <w:p>
      <w:pPr>
        <w:pStyle w:val="0"/>
        <w:spacing w:before="200" w:line-rule="auto"/>
        <w:ind w:firstLine="540"/>
        <w:jc w:val="both"/>
      </w:pPr>
      <w:r>
        <w:rPr>
          <w:sz w:val="20"/>
        </w:rPr>
        <w:t xml:space="preserve">стратегии социально-экономического развития и схемы территориального планирования муниципальных образований Курской области;</w:t>
      </w:r>
    </w:p>
    <w:p>
      <w:pPr>
        <w:pStyle w:val="0"/>
        <w:spacing w:before="200" w:line-rule="auto"/>
        <w:ind w:firstLine="540"/>
        <w:jc w:val="both"/>
      </w:pPr>
      <w:r>
        <w:rPr>
          <w:sz w:val="20"/>
        </w:rPr>
        <w:t xml:space="preserve">планы развития ведущих предприятий;</w:t>
      </w:r>
    </w:p>
    <w:p>
      <w:pPr>
        <w:pStyle w:val="0"/>
        <w:spacing w:before="200" w:line-rule="auto"/>
        <w:ind w:firstLine="540"/>
        <w:jc w:val="both"/>
      </w:pPr>
      <w:r>
        <w:rPr>
          <w:sz w:val="20"/>
        </w:rPr>
        <w:t xml:space="preserve">лучшие практики в сфере управления в субъектах Российской Федерации; экспертные оценки и общенациональные рейтинги;</w:t>
      </w:r>
    </w:p>
    <w:p>
      <w:pPr>
        <w:pStyle w:val="0"/>
        <w:spacing w:before="200" w:line-rule="auto"/>
        <w:ind w:firstLine="540"/>
        <w:jc w:val="both"/>
      </w:pPr>
      <w:r>
        <w:rPr>
          <w:sz w:val="20"/>
        </w:rPr>
        <w:t xml:space="preserve">научные работы в сфере стратегического управления развитием субъектов Российской Федерации.</w:t>
      </w:r>
    </w:p>
    <w:p>
      <w:pPr>
        <w:pStyle w:val="0"/>
        <w:spacing w:before="200" w:line-rule="auto"/>
        <w:ind w:firstLine="540"/>
        <w:jc w:val="both"/>
      </w:pPr>
      <w:r>
        <w:rPr>
          <w:sz w:val="20"/>
        </w:rPr>
        <w:t xml:space="preserve">При подготовке документа проведено стратегическое исследование Курской области, дана оценка уровня конкурентоспособности региона, обозначены стратегические цели и задачи развития на долгосрочную перспективу и целевые ориентиры их достижения, определены приоритетные отраслевые кооперации и потенциально привлекательные новые секторы экономики, сформирован перечень крупных инвестиционных проектов.</w:t>
      </w:r>
    </w:p>
    <w:p>
      <w:pPr>
        <w:pStyle w:val="0"/>
        <w:spacing w:before="200" w:line-rule="auto"/>
        <w:ind w:firstLine="540"/>
        <w:jc w:val="both"/>
      </w:pPr>
      <w:r>
        <w:rPr>
          <w:sz w:val="20"/>
        </w:rPr>
        <w:t xml:space="preserve">Полученные результаты презентованы общественности и обсуждались с представителями различных социальных групп населения, представителями вузов, предприятий и организаций региона.</w:t>
      </w:r>
    </w:p>
    <w:p>
      <w:pPr>
        <w:pStyle w:val="0"/>
        <w:spacing w:before="200" w:line-rule="auto"/>
        <w:ind w:firstLine="540"/>
        <w:jc w:val="both"/>
      </w:pPr>
      <w:r>
        <w:rPr>
          <w:sz w:val="20"/>
        </w:rPr>
        <w:t xml:space="preserve">При разработке Стратегии использовались экономико-математические методы анализа и прогнозирования, SWOT-анализ, методы сценарного прогнозирования, экспертных оценок, современные информационные технологии.</w:t>
      </w:r>
    </w:p>
    <w:p>
      <w:pPr>
        <w:pStyle w:val="0"/>
        <w:spacing w:before="200" w:line-rule="auto"/>
        <w:ind w:firstLine="540"/>
        <w:jc w:val="both"/>
      </w:pPr>
      <w:r>
        <w:rPr>
          <w:sz w:val="20"/>
        </w:rPr>
        <w:t xml:space="preserve">Реализация Стратегии будет осуществляться в соответствии с Планом мероприятий по реализации Стратегии социально-экономического развития Курской области на период до 2030 года, государственными программами Курской области, Схемой территориального планирования Курской области.</w:t>
      </w:r>
    </w:p>
    <w:p>
      <w:pPr>
        <w:pStyle w:val="0"/>
        <w:jc w:val="both"/>
      </w:pPr>
      <w:r>
        <w:rPr>
          <w:sz w:val="20"/>
        </w:rPr>
      </w:r>
    </w:p>
    <w:p>
      <w:pPr>
        <w:pStyle w:val="2"/>
        <w:outlineLvl w:val="1"/>
        <w:jc w:val="center"/>
      </w:pPr>
      <w:r>
        <w:rPr>
          <w:sz w:val="20"/>
        </w:rPr>
        <w:t xml:space="preserve">2. Анализ уровня социально-экономического</w:t>
      </w:r>
    </w:p>
    <w:p>
      <w:pPr>
        <w:pStyle w:val="2"/>
        <w:jc w:val="center"/>
      </w:pPr>
      <w:r>
        <w:rPr>
          <w:sz w:val="20"/>
        </w:rPr>
        <w:t xml:space="preserve">развития Курской области</w:t>
      </w:r>
    </w:p>
    <w:p>
      <w:pPr>
        <w:pStyle w:val="0"/>
        <w:jc w:val="both"/>
      </w:pPr>
      <w:r>
        <w:rPr>
          <w:sz w:val="20"/>
        </w:rPr>
      </w:r>
    </w:p>
    <w:p>
      <w:pPr>
        <w:pStyle w:val="2"/>
        <w:outlineLvl w:val="2"/>
        <w:ind w:firstLine="540"/>
        <w:jc w:val="both"/>
      </w:pPr>
      <w:r>
        <w:rPr>
          <w:sz w:val="20"/>
        </w:rPr>
        <w:t xml:space="preserve">2.1. Экономико-географический (пространственный) потенциал</w:t>
      </w:r>
    </w:p>
    <w:p>
      <w:pPr>
        <w:pStyle w:val="0"/>
        <w:jc w:val="both"/>
      </w:pPr>
      <w:r>
        <w:rPr>
          <w:sz w:val="20"/>
        </w:rPr>
      </w:r>
    </w:p>
    <w:p>
      <w:pPr>
        <w:pStyle w:val="0"/>
        <w:ind w:firstLine="540"/>
        <w:jc w:val="both"/>
      </w:pPr>
      <w:r>
        <w:rPr>
          <w:sz w:val="20"/>
        </w:rPr>
        <w:t xml:space="preserve">Географическое положение. Курская область расположена на западе Российской Федерации и граничит с Украиной. Регион находится в 536 километрах от крупнейшего регионального рынка России - Московской агломерации и в 700 километрах от Черного моря. Транспортно-географическое положение региона можно считать выгодным, территорию Курской области пересекают транспортные коридоры международного значения, связывающие Россию с Украиной.</w:t>
      </w:r>
    </w:p>
    <w:p>
      <w:pPr>
        <w:pStyle w:val="0"/>
        <w:spacing w:before="200" w:line-rule="auto"/>
        <w:ind w:firstLine="540"/>
        <w:jc w:val="both"/>
      </w:pPr>
      <w:r>
        <w:rPr>
          <w:sz w:val="20"/>
        </w:rPr>
        <w:t xml:space="preserve">Административно-территориальное деление. Курская область включает в себя 347 муниципальных образований: 5 городских округов, 28 муниципальных районов, 27 городских поселений и 287 сельских поселений.</w:t>
      </w:r>
    </w:p>
    <w:p>
      <w:pPr>
        <w:pStyle w:val="0"/>
        <w:jc w:val="both"/>
      </w:pPr>
      <w:r>
        <w:rPr>
          <w:sz w:val="20"/>
        </w:rPr>
      </w:r>
    </w:p>
    <w:p>
      <w:pPr>
        <w:pStyle w:val="0"/>
        <w:jc w:val="center"/>
      </w:pPr>
      <w:r>
        <w:rPr>
          <w:position w:val="-270"/>
        </w:rPr>
        <w:drawing>
          <wp:inline distT="0" distB="0" distL="0" distR="0">
            <wp:extent cx="5041265" cy="3566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5041265" cy="356616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1. Административно-территориальное деление</w:t>
      </w:r>
    </w:p>
    <w:p>
      <w:pPr>
        <w:pStyle w:val="2"/>
        <w:jc w:val="center"/>
      </w:pPr>
      <w:r>
        <w:rPr>
          <w:sz w:val="20"/>
        </w:rPr>
        <w:t xml:space="preserve">Курской области</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ind w:firstLine="540"/>
        <w:jc w:val="both"/>
      </w:pPr>
      <w:r>
        <w:rPr>
          <w:sz w:val="20"/>
        </w:rPr>
      </w:r>
    </w:p>
    <w:p>
      <w:pPr>
        <w:pStyle w:val="0"/>
        <w:ind w:firstLine="540"/>
        <w:jc w:val="both"/>
      </w:pPr>
      <w:r>
        <w:rPr>
          <w:sz w:val="20"/>
        </w:rPr>
        <w:t xml:space="preserve">Основные характеристики 28 муниципальных районов и 5 городских округов представлены в </w:t>
      </w:r>
      <w:hyperlink w:history="0" w:anchor="P4660" w:tooltip="ОСНОВНЫЕ ХАРАКТЕРИСТИКИ">
        <w:r>
          <w:rPr>
            <w:sz w:val="20"/>
            <w:color w:val="0000ff"/>
          </w:rPr>
          <w:t xml:space="preserve">приложении N 1</w:t>
        </w:r>
      </w:hyperlink>
      <w:r>
        <w:rPr>
          <w:sz w:val="20"/>
        </w:rPr>
        <w:t xml:space="preserve">.</w:t>
      </w:r>
    </w:p>
    <w:p>
      <w:pPr>
        <w:pStyle w:val="0"/>
        <w:spacing w:before="200" w:line-rule="auto"/>
        <w:ind w:firstLine="540"/>
        <w:jc w:val="both"/>
      </w:pPr>
      <w:r>
        <w:rPr>
          <w:sz w:val="20"/>
        </w:rPr>
        <w:t xml:space="preserve">Транспортная инфраструктура. Курская область имеет развитую базовую транспортную инфраструктуру. Плотность автодорог общего пользования с твердым покрытием Курской области составляет 376 км на тыс. кв. км. По территории региона проходят железнодорожные, трубопроводные и автомобильные магистрали. В регионе расположен международный аэропорт. Через территорию области проходят 6 магистральных газопроводов и два нефтепровода.</w:t>
      </w:r>
    </w:p>
    <w:p>
      <w:pPr>
        <w:pStyle w:val="0"/>
        <w:spacing w:before="200" w:line-rule="auto"/>
        <w:ind w:firstLine="540"/>
        <w:jc w:val="both"/>
      </w:pPr>
      <w:r>
        <w:rPr>
          <w:sz w:val="20"/>
        </w:rPr>
        <w:t xml:space="preserve">На 01.01.2020 общая протяженность сети автомобильных дорог, проходящих по территории Курской области, составляет 17428,5 км, в том числе:</w:t>
      </w:r>
    </w:p>
    <w:p>
      <w:pPr>
        <w:pStyle w:val="0"/>
        <w:spacing w:before="200" w:line-rule="auto"/>
        <w:ind w:firstLine="540"/>
        <w:jc w:val="both"/>
      </w:pPr>
      <w:r>
        <w:rPr>
          <w:sz w:val="20"/>
        </w:rPr>
        <w:t xml:space="preserve">магистральные автомобильные дороги, имеющие федеральное значение (данные федеральные трассы соединяют Московский регион соответственно с западными и южными регионами России и играют важную роль в транспортном каркасе России, обеспечивая в том числе геополитические функции): М-2 "Крым" Москва - Тула - Орел - Курск - Белгород - граница с Украиной; М-3 "Украина" от Москвы через Калугу, Брянск, до границы с Украиной; а также федеральные дороги: Тросна - Калиновка А-142, Е-381, Р-298, "Курск - Воронеж" - Р-22, "Каспий" общей протяженностью - 417,1 км;</w:t>
      </w:r>
    </w:p>
    <w:p>
      <w:pPr>
        <w:pStyle w:val="0"/>
        <w:spacing w:before="200" w:line-rule="auto"/>
        <w:ind w:firstLine="540"/>
        <w:jc w:val="both"/>
      </w:pPr>
      <w:r>
        <w:rPr>
          <w:sz w:val="20"/>
        </w:rPr>
        <w:t xml:space="preserve">автомобильные дороги общего пользования регионального или межмуниципального значения - 6585,7 км;</w:t>
      </w:r>
    </w:p>
    <w:p>
      <w:pPr>
        <w:pStyle w:val="0"/>
        <w:spacing w:before="200" w:line-rule="auto"/>
        <w:ind w:firstLine="540"/>
        <w:jc w:val="both"/>
      </w:pPr>
      <w:r>
        <w:rPr>
          <w:sz w:val="20"/>
        </w:rPr>
        <w:t xml:space="preserve">автомобильные дороги общего пользования местного значения - 10425,7 км.</w:t>
      </w:r>
    </w:p>
    <w:p>
      <w:pPr>
        <w:pStyle w:val="0"/>
        <w:spacing w:before="200" w:line-rule="auto"/>
        <w:ind w:firstLine="540"/>
        <w:jc w:val="both"/>
      </w:pPr>
      <w:r>
        <w:rPr>
          <w:sz w:val="20"/>
        </w:rPr>
        <w:t xml:space="preserve">В Курской области проходят важные железнодорожные магистрали (длина железнодорожной сети региона 1544 км): "Москва - Тула - Орел - Курск - Белгород - Харьков (Украина)", "Москва - Касторная - Донбасс" (от нее отходит линия на Липецк), "Брянск - Льгов - Харьков", "Воронеж - Киев". Крупнейшими железнодорожными узлами являются Курск, Льгов, Касторное. По плотности железных дорог Курская область является одним из регионов-лидеров в России.</w:t>
      </w:r>
    </w:p>
    <w:p>
      <w:pPr>
        <w:pStyle w:val="0"/>
        <w:spacing w:before="200" w:line-rule="auto"/>
        <w:ind w:firstLine="540"/>
        <w:jc w:val="both"/>
      </w:pPr>
      <w:r>
        <w:rPr>
          <w:sz w:val="20"/>
        </w:rPr>
        <w:t xml:space="preserve">Перевозку пассажиров в пригородном железнодорожном сообщении по территории Курской области осуществляют две пригородные пассажирские компании: АО "Центральная ППК" на полигоне Московской железной дороги и АО "ППК "Черноземье" на полигоне Юго-Восточной железной дороги, с которыми, начиная с 2011 года, органами исполнительной власти Курской области ежегодно заключаются договоры на организацию транспортного обслуживания населения и на перевозку льготных категорий граждан, а также соглашения на перевозку обучающихся и детей в возрасте 5 - 7 лет.</w:t>
      </w:r>
    </w:p>
    <w:p>
      <w:pPr>
        <w:pStyle w:val="0"/>
        <w:jc w:val="both"/>
      </w:pPr>
      <w:r>
        <w:rPr>
          <w:sz w:val="20"/>
        </w:rPr>
        <w:t xml:space="preserve">(в ред. </w:t>
      </w:r>
      <w:hyperlink w:history="0" r:id="rId49"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В настоящее время пригородное железнодорожное сообщение по территории Курской агломерации охватывает основные ядра Курской агломерации: г. Курск, г. Курчатов, г. Щигры, а также проходит через Курский, Курчатовский, Октябрьский, Щигровский и Золотухинский районы Курской агломерации.</w:t>
      </w:r>
    </w:p>
    <w:p>
      <w:pPr>
        <w:pStyle w:val="0"/>
        <w:spacing w:before="200" w:line-rule="auto"/>
        <w:ind w:firstLine="540"/>
        <w:jc w:val="both"/>
      </w:pPr>
      <w:r>
        <w:rPr>
          <w:sz w:val="20"/>
        </w:rPr>
        <w:t xml:space="preserve">Развитие пригородного железнодорожного транспорта на территории Курской области осуществляется путем замены устаревшего подвижного состава на новый комфортабельный подвижной состав.</w:t>
      </w:r>
    </w:p>
    <w:p>
      <w:pPr>
        <w:pStyle w:val="0"/>
        <w:spacing w:before="200" w:line-rule="auto"/>
        <w:ind w:firstLine="540"/>
        <w:jc w:val="both"/>
      </w:pPr>
      <w:r>
        <w:rPr>
          <w:sz w:val="20"/>
        </w:rPr>
        <w:t xml:space="preserve">На 2020 год с компаниями заключены аналогичные договоры и соглашения, согласованы размеры движения и составность пригородных поездов. По территории Курской области курсируют 54 пригородных поезда (38 - на полигоне Московской железной дороги, 16 - на полигоне Юго-Восточной железной дороги).</w:t>
      </w:r>
    </w:p>
    <w:p>
      <w:pPr>
        <w:pStyle w:val="0"/>
        <w:spacing w:before="200" w:line-rule="auto"/>
        <w:ind w:firstLine="540"/>
        <w:jc w:val="both"/>
      </w:pPr>
      <w:r>
        <w:rPr>
          <w:sz w:val="20"/>
        </w:rPr>
        <w:t xml:space="preserve">Возмещение выпадающих доходов от предоставления льготного проезда в пригородном железнодорожном транспорте отдельным категориям граждан, обучающимся, детям в возрасте 5 - 7 лет, а также от государственного регулирования тарифов осуществляется органами исполнительной власти Курской области ежемесячно в полном объеме (при предоставлении пригородными пассажирскими компаниями справок-расчетов за фактически предоставленные транспортные услуги).</w:t>
      </w:r>
    </w:p>
    <w:p>
      <w:pPr>
        <w:pStyle w:val="0"/>
        <w:jc w:val="both"/>
      </w:pPr>
      <w:r>
        <w:rPr>
          <w:sz w:val="20"/>
        </w:rPr>
        <w:t xml:space="preserve">(в ред. </w:t>
      </w:r>
      <w:hyperlink w:history="0" r:id="rId50"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Дорожные работы в Курской области реализуются в рамках: государственной программы Курской области "Развитие транспортной системы, обеспечение перевозки пассажиров в Курской области и безопасности дорожного движения", регионального проекта "Жилье", проекта "Народный бюджет",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 национального проекта "Безопасные и качественные автомобильные дороги" (региональные проекты "Дорожная сеть", "Общесистемные меры развития").</w:t>
      </w:r>
    </w:p>
    <w:p>
      <w:pPr>
        <w:pStyle w:val="0"/>
        <w:spacing w:before="200" w:line-rule="auto"/>
        <w:ind w:firstLine="540"/>
        <w:jc w:val="both"/>
      </w:pPr>
      <w:r>
        <w:rPr>
          <w:sz w:val="20"/>
        </w:rPr>
        <w:t xml:space="preserve">За период с 2012 по 2017 гг. было построено несколько крупных дорожных объектов: обходы городов Обоянь и Фатеж, обход д. Зорино Курского района, который являлся первым этапом строительства Юго-восточного обхода города Курска. В 2015 - 2016 гг. был построен участок автомобильной дороги "Крым" - "Курск - Петрин" (третий этап Юго-восточного обхода), который имеет стратегическое значение для развития сети автомобильных дорог региона.</w:t>
      </w:r>
    </w:p>
    <w:p>
      <w:pPr>
        <w:pStyle w:val="0"/>
        <w:spacing w:before="200" w:line-rule="auto"/>
        <w:ind w:firstLine="540"/>
        <w:jc w:val="both"/>
      </w:pPr>
      <w:r>
        <w:rPr>
          <w:sz w:val="20"/>
        </w:rPr>
        <w:t xml:space="preserve">В период 2019 - 2020 годов в рамках реализации регионального проекта "Дорожная сеть" введена в эксплуатацию автомобильная дорога Чурилово - Букреевка в Курском районе Курской области протяженностью 1,55 км; в 2020 году предусматривается завершение строительства автомобильной дороги "Путепровод через железную дорогу" в Курчатовском районе Курской области, протяженностью 0,871 км и автомобильной дороги "Отрешково - Петровское - Беседино" - Безобразово в Курском районе Курской области протяженностью 0,96 км, и завершение реконструкции автомобильной дороги Курск - Поныри на участке км 22 + 400 - км 26 + 400 в Золотухинском районе Курской области протяженностью 3,98 км.</w:t>
      </w:r>
    </w:p>
    <w:p>
      <w:pPr>
        <w:pStyle w:val="0"/>
        <w:spacing w:before="200" w:line-rule="auto"/>
        <w:ind w:firstLine="540"/>
        <w:jc w:val="both"/>
      </w:pPr>
      <w:r>
        <w:rPr>
          <w:sz w:val="20"/>
        </w:rPr>
        <w:t xml:space="preserve">В 2019 году на дорожные работы направлен объем финансирования в размере более 8,6 млрд. рублей, из них 2,2 млрд. - средства федерального бюджета. Еще 6,4 млрд. рублей составили средства регионального дорожного фонда. Это позволило отремонтировать 627,8 км и построить 125,4 км автомобильных дорог регионального, муниципального и местного значения.</w:t>
      </w:r>
    </w:p>
    <w:p>
      <w:pPr>
        <w:pStyle w:val="0"/>
        <w:spacing w:before="200" w:line-rule="auto"/>
        <w:ind w:firstLine="540"/>
        <w:jc w:val="both"/>
      </w:pPr>
      <w:r>
        <w:rPr>
          <w:sz w:val="20"/>
        </w:rPr>
        <w:t xml:space="preserve">Отремонтировано 9 мостовых сооружений общей протяженностью 436 м, выполнено устройство трех линий электроосвещения общей протяженностью более 7,6 км.</w:t>
      </w:r>
    </w:p>
    <w:p>
      <w:pPr>
        <w:pStyle w:val="0"/>
        <w:spacing w:before="200" w:line-rule="auto"/>
        <w:ind w:firstLine="540"/>
        <w:jc w:val="both"/>
      </w:pPr>
      <w:r>
        <w:rPr>
          <w:sz w:val="20"/>
        </w:rPr>
        <w:t xml:space="preserve">В рамках регионального проекта "Общесистемные меры развития дорожного хозяйства" осуществляется 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Данный проект обеспечит применение новых механизмов развития и эксплуатации дорожной сети, использование контрактов жизненного цикла, наилучших технологий и материалов, создание механизмов экономического стимулирования сохранности автомобильных дорог регионального и местного значения, внедрения новых технических требований и стандартов обустройства автомобильных дорог, в том числе на основе цифровых технологий, направленных на устранение мест концентрации дорожно-транспортных происшествий, а также внедрение автоматизированных и роботизированных технологий организации дорожного движения и контроля за соблюдением правил дорожного движения.</w:t>
      </w:r>
    </w:p>
    <w:p>
      <w:pPr>
        <w:pStyle w:val="0"/>
        <w:ind w:firstLine="540"/>
        <w:jc w:val="both"/>
      </w:pPr>
      <w:r>
        <w:rPr>
          <w:sz w:val="20"/>
        </w:rPr>
      </w:r>
    </w:p>
    <w:p>
      <w:pPr>
        <w:pStyle w:val="2"/>
        <w:outlineLvl w:val="2"/>
        <w:ind w:firstLine="540"/>
        <w:jc w:val="both"/>
      </w:pPr>
      <w:r>
        <w:rPr>
          <w:sz w:val="20"/>
        </w:rPr>
        <w:t xml:space="preserve">2.2. Экологический и природно-ресурсный потенциал</w:t>
      </w:r>
    </w:p>
    <w:p>
      <w:pPr>
        <w:pStyle w:val="0"/>
        <w:ind w:firstLine="540"/>
        <w:jc w:val="both"/>
      </w:pPr>
      <w:r>
        <w:rPr>
          <w:sz w:val="20"/>
        </w:rPr>
      </w:r>
    </w:p>
    <w:p>
      <w:pPr>
        <w:pStyle w:val="0"/>
        <w:ind w:firstLine="540"/>
        <w:jc w:val="both"/>
      </w:pPr>
      <w:r>
        <w:rPr>
          <w:sz w:val="20"/>
        </w:rPr>
        <w:t xml:space="preserve">Природно-ресурсный потенциал. Климат Курской области является умеренно континентальным, регион характеризуется комфортными условиями для проживания населения (умеренно холодная зима и теплое лето). Характерны высокие значения показателя суммы средних суточных температур за период вегетации (с температурой выше 10°C) - от 2300°C на севере до 2550°C на юго-востоке области.</w:t>
      </w:r>
    </w:p>
    <w:p>
      <w:pPr>
        <w:pStyle w:val="0"/>
        <w:spacing w:before="200" w:line-rule="auto"/>
        <w:ind w:firstLine="540"/>
        <w:jc w:val="both"/>
      </w:pPr>
      <w:r>
        <w:rPr>
          <w:sz w:val="20"/>
        </w:rPr>
        <w:t xml:space="preserve">Земельный фонд региона составляет 3 млн. га, из них 2,3 млн. га - земли сельскохозяйственного назначения (76,7%), 422,1 тыс. га - земли населенных пунктов (14%), 220,4 тыс. га - земли лесного фонда (7,3%). Около 54% земельных ресурсов составляет пашня.</w:t>
      </w:r>
    </w:p>
    <w:p>
      <w:pPr>
        <w:pStyle w:val="0"/>
        <w:spacing w:before="200" w:line-rule="auto"/>
        <w:ind w:firstLine="540"/>
        <w:jc w:val="both"/>
      </w:pPr>
      <w:r>
        <w:rPr>
          <w:sz w:val="20"/>
        </w:rPr>
        <w:t xml:space="preserve">Благоприятные агроклиматические условия, наличие плодородных почв (преимущественно черноземы оподзоленные и выщелоченные (около 65%) и серые лесные (около 20%) обуславливают разнообразие выращиваемых сельскохозяйственных культур (как ранних и средних, так и позднеспелых сортов).</w:t>
      </w:r>
    </w:p>
    <w:p>
      <w:pPr>
        <w:pStyle w:val="0"/>
        <w:spacing w:before="200" w:line-rule="auto"/>
        <w:ind w:firstLine="540"/>
        <w:jc w:val="both"/>
      </w:pPr>
      <w:r>
        <w:rPr>
          <w:sz w:val="20"/>
        </w:rPr>
        <w:t xml:space="preserve">Имеется ряд крупных месторождений. Железные руды сконцентрированы более чем в 30 месторождениях (Курская магнитная аномалия, крупнейший в мире район по запасам железа), основное месторождение - Михайловское. На территории области также установлены рудопроявления и геохимические аномалии благородных, редких и цветных металлов.</w:t>
      </w:r>
    </w:p>
    <w:p>
      <w:pPr>
        <w:pStyle w:val="0"/>
        <w:spacing w:before="200" w:line-rule="auto"/>
        <w:ind w:firstLine="540"/>
        <w:jc w:val="both"/>
      </w:pPr>
      <w:r>
        <w:rPr>
          <w:sz w:val="20"/>
        </w:rPr>
        <w:t xml:space="preserve">Ландшафты области имеют высокую рекреационную привлекательность. На территории области функционируют Центрально-Черноземный государственный природный биосферный заповедник имени профессора В.В. Алехина, Дворцово-парковый ансамбль "Марьино", Курская коренная пустынь.</w:t>
      </w:r>
    </w:p>
    <w:p>
      <w:pPr>
        <w:pStyle w:val="0"/>
        <w:spacing w:before="200" w:line-rule="auto"/>
        <w:ind w:firstLine="540"/>
        <w:jc w:val="both"/>
      </w:pPr>
      <w:r>
        <w:rPr>
          <w:sz w:val="20"/>
        </w:rPr>
        <w:t xml:space="preserve">Экологическая ситуация. На территории Курской области расположены 1 заповедник (Центрально-Черноземный государственный природный биосферный заповедник им. профессора В.В. Алехина) и 40 особо охраняемых природных территорий регионального значения, общая площадь 9881,353 га, что составляет 0,33% от территории Курской области. В соответствии с Национальным экологическим рейтингом субъектов Российской Федерации (http://greenpatrol.ru) по состоянию на 31.08.2020 Курская область занимает 6-е место в России, что говорит о высоком экологическом потенциале региона.</w:t>
      </w:r>
    </w:p>
    <w:p>
      <w:pPr>
        <w:pStyle w:val="0"/>
        <w:spacing w:before="200" w:line-rule="auto"/>
        <w:ind w:firstLine="540"/>
        <w:jc w:val="both"/>
      </w:pPr>
      <w:r>
        <w:rPr>
          <w:sz w:val="20"/>
        </w:rPr>
        <w:t xml:space="preserve">Можно выделить несколько ключевых зон высокого антропогенного воздействия. Во-первых, это Курский промышленный ареал, в котором сосредоточено около половины всех предприятий области, имеются проблемы загрязнения воздуха, водных объектов и почв, возрастают объемы образования твердых коммунальных отходов (ТКО). Во-вторых, это Железногорский промышленный ареал - второй по объемам в России производитель железорудного сырья для металлургической промышленности (ПАО "Михайловский ГОК им. А.В. Варичева"), характеризующийся высоким загрязнением атмосферного воздуха и нарушением земель. В-третьих, это Курчатовский промышленный ареал, деятельность которого связана с функционированием Курской АЭС.</w:t>
      </w:r>
    </w:p>
    <w:p>
      <w:pPr>
        <w:pStyle w:val="0"/>
        <w:spacing w:before="200" w:line-rule="auto"/>
        <w:ind w:firstLine="540"/>
        <w:jc w:val="both"/>
      </w:pPr>
      <w:r>
        <w:rPr>
          <w:sz w:val="20"/>
        </w:rPr>
        <w:t xml:space="preserve">В 2019 году общий объем выбросов загрязняющих веществ (включая выбросы от ж/д транспорта) составил 64,57 тыс. т, что на 56,8% меньше, чем в 2018 году. Выбросы от стационарных источников в 2019 году составили 36,6 тыс. т (по сравнению с 2018 годом значение показателя сократилось на 28,8%, по сравнению с 2010 годом - на 11,6%).</w:t>
      </w:r>
    </w:p>
    <w:p>
      <w:pPr>
        <w:pStyle w:val="0"/>
        <w:spacing w:before="200" w:line-rule="auto"/>
        <w:ind w:firstLine="540"/>
        <w:jc w:val="both"/>
      </w:pPr>
      <w:r>
        <w:rPr>
          <w:sz w:val="20"/>
        </w:rPr>
        <w:t xml:space="preserve">Выбросы от автомобильного транспорта составили 27,97 тыс. т (по сравнению с 2017 годом уменьшились на 71,05%, по сравнению с 2010 годом - на 73,9%).</w:t>
      </w:r>
    </w:p>
    <w:p>
      <w:pPr>
        <w:pStyle w:val="0"/>
        <w:spacing w:before="200" w:line-rule="auto"/>
        <w:ind w:firstLine="540"/>
        <w:jc w:val="both"/>
      </w:pPr>
      <w:r>
        <w:rPr>
          <w:sz w:val="20"/>
        </w:rPr>
        <w:t xml:space="preserve">С 2010 году объем выбросов загрязняющих веществ от всех источников сократился примерно на 4%. Курская область является одним из лидеров в Российской Федерации по доле уловленных и обезвреженных загрязняющих атмосферу веществ, отходящих от стационарных источников (в 2017 году данный показатель составил 99,2%).</w:t>
      </w:r>
    </w:p>
    <w:p>
      <w:pPr>
        <w:pStyle w:val="0"/>
        <w:spacing w:before="200" w:line-rule="auto"/>
        <w:ind w:firstLine="540"/>
        <w:jc w:val="both"/>
      </w:pPr>
      <w:r>
        <w:rPr>
          <w:sz w:val="20"/>
        </w:rPr>
        <w:t xml:space="preserve">Основная доля в общем объеме выбросов загрязняющих веществ в атмосферный воздух, отходящих от стационарных источников, в Курской области приходится на ПАО "Михайловский ГОК им. А.В. Варичева", объекты по транспортировке газа, предприятия теплоэнергетики. Близкое расположение автомагистралей оказывает негативное влияние на загрязнение атмосферного воздуха селитебных территорий.</w:t>
      </w:r>
    </w:p>
    <w:p>
      <w:pPr>
        <w:pStyle w:val="0"/>
        <w:spacing w:before="200" w:line-rule="auto"/>
        <w:ind w:firstLine="540"/>
        <w:jc w:val="both"/>
      </w:pPr>
      <w:r>
        <w:rPr>
          <w:sz w:val="20"/>
        </w:rPr>
        <w:t xml:space="preserve">Объем сброшенных загрязненных сточных вод в водные объекты в 2017 году составил 13,34 млн. м</w:t>
      </w:r>
      <w:r>
        <w:rPr>
          <w:sz w:val="20"/>
          <w:vertAlign w:val="superscript"/>
        </w:rPr>
        <w:t xml:space="preserve">3</w:t>
      </w:r>
      <w:r>
        <w:rPr>
          <w:sz w:val="20"/>
        </w:rPr>
        <w:t xml:space="preserve"> (в 2016 году - 11,62), очистка которых не соответствовала требованиям по охране водных ресурсов. К основным источникам загрязнения водных объектов относятся МУП "Курскводоканал", коммунальные водопроводно-канализационные хозяйства Железногорска и Курчатова. В области существует проблема неудовлетворительного технического состояния очистных сооружений, недостаточной гидравлической нагрузки и пр., особенно некрупных очистных сооружений, построенных в 1980-х гг.</w:t>
      </w:r>
    </w:p>
    <w:p>
      <w:pPr>
        <w:pStyle w:val="0"/>
        <w:spacing w:before="200" w:line-rule="auto"/>
        <w:ind w:firstLine="540"/>
        <w:jc w:val="both"/>
      </w:pPr>
      <w:r>
        <w:rPr>
          <w:sz w:val="20"/>
        </w:rPr>
        <w:t xml:space="preserve">Наблюдается устойчивая тенденция к повышению показателя рециклирования твердых коммунальных отходов и сокращения их общего объема (за исключением отдельных промышленных ареалов). По итогам 2016 года объем ТКО, отправленных на переработку, составил 18,3%.</w:t>
      </w:r>
    </w:p>
    <w:p>
      <w:pPr>
        <w:pStyle w:val="0"/>
        <w:spacing w:before="200" w:line-rule="auto"/>
        <w:ind w:firstLine="540"/>
        <w:jc w:val="both"/>
      </w:pPr>
      <w:r>
        <w:rPr>
          <w:sz w:val="20"/>
        </w:rPr>
        <w:t xml:space="preserve">18 декабря 2018 года был утвержден новый норматив накопления, который в среднем сократился для курян на 30% и составил полтора кубических метра. Кроме того, был пересмотрен тариф для региональных операторов на 2019 год. Он вырос минимально - на 3,7% по сравнению с 2018 годом. Все это в конечном итоге привело к значительному уменьшению платы граждан за услуги по утилизации ТКО. Усилен также контроль за деятельностью региональных операторов.</w:t>
      </w:r>
    </w:p>
    <w:p>
      <w:pPr>
        <w:pStyle w:val="0"/>
        <w:spacing w:before="200" w:line-rule="auto"/>
        <w:ind w:firstLine="540"/>
        <w:jc w:val="both"/>
      </w:pPr>
      <w:r>
        <w:rPr>
          <w:sz w:val="20"/>
        </w:rPr>
        <w:t xml:space="preserve">С декабря 2018 года проводятся мероприятия по использованию системы спутниковой навигации ГЛОНАСС и видеонаблюдения в сфере обращения с твердыми коммунальными отходами. Применение данных технологий позволяет вести контроль за деятельностью региональных операторов в режиме реального времени.</w:t>
      </w:r>
    </w:p>
    <w:p>
      <w:pPr>
        <w:pStyle w:val="0"/>
        <w:spacing w:before="200" w:line-rule="auto"/>
        <w:ind w:firstLine="540"/>
        <w:jc w:val="both"/>
      </w:pPr>
      <w:r>
        <w:rPr>
          <w:sz w:val="20"/>
        </w:rPr>
        <w:t xml:space="preserve">Территориальной схемой обращения с отходами предлагается в 2022 году ввод в эксплуатацию мусоросортировочного комплекса АО "Спецавтобаза по уборке г. Курска" и перспективного мусоросортировочного комплекса на территории Советского района Курской области.</w:t>
      </w:r>
    </w:p>
    <w:p>
      <w:pPr>
        <w:pStyle w:val="0"/>
        <w:spacing w:before="200" w:line-rule="auto"/>
        <w:ind w:firstLine="540"/>
        <w:jc w:val="both"/>
      </w:pPr>
      <w:r>
        <w:rPr>
          <w:sz w:val="20"/>
        </w:rPr>
        <w:t xml:space="preserve">Для земель области характерны такие негативные процессы, как усиливающаяся эрозия, потеря плодородия почв, переуплотненность, закустаренность кормовых угодий, загрязненность различными веществами в связи с ярко выраженной специализацией области в сельском хозяйстве и активным ведением сельскохозяйственной деятельности.</w:t>
      </w:r>
    </w:p>
    <w:p>
      <w:pPr>
        <w:pStyle w:val="0"/>
        <w:jc w:val="both"/>
      </w:pPr>
      <w:r>
        <w:rPr>
          <w:sz w:val="20"/>
        </w:rPr>
      </w:r>
    </w:p>
    <w:p>
      <w:pPr>
        <w:pStyle w:val="2"/>
        <w:outlineLvl w:val="2"/>
        <w:ind w:firstLine="540"/>
        <w:jc w:val="both"/>
      </w:pPr>
      <w:r>
        <w:rPr>
          <w:sz w:val="20"/>
        </w:rPr>
        <w:t xml:space="preserve">2.3. Демографические тенденции, социальное развитие и человеческий капитал</w:t>
      </w:r>
    </w:p>
    <w:p>
      <w:pPr>
        <w:pStyle w:val="0"/>
        <w:ind w:firstLine="540"/>
        <w:jc w:val="both"/>
      </w:pPr>
      <w:r>
        <w:rPr>
          <w:sz w:val="20"/>
        </w:rPr>
      </w:r>
    </w:p>
    <w:p>
      <w:pPr>
        <w:pStyle w:val="0"/>
        <w:ind w:firstLine="540"/>
        <w:jc w:val="both"/>
      </w:pPr>
      <w:r>
        <w:rPr>
          <w:sz w:val="20"/>
        </w:rPr>
        <w:t xml:space="preserve">Демографические тенденции. В Курской области наблюдается сокращение численности населения за счет естественной и миграционной убыли. Тренды увеличения продолжительности жизни и старения населения характеризуются среднероссийскими темпами.</w:t>
      </w:r>
    </w:p>
    <w:p>
      <w:pPr>
        <w:pStyle w:val="0"/>
        <w:spacing w:before="200" w:line-rule="auto"/>
        <w:ind w:firstLine="540"/>
        <w:jc w:val="both"/>
      </w:pPr>
      <w:r>
        <w:rPr>
          <w:sz w:val="20"/>
        </w:rPr>
        <w:t xml:space="preserve">Среднегодовая численность постоянного населения Курской области в 2018 году составила 1111,1 тыс. человек, из которых 68,0% - городское население (его доля растет). С 1990 по 2016 гг. наблюдалось ежегодное снижение численности населения области. По сравнению с 2000 годом (1274,1 тыс. человек) численность постоянного населения сократилась на 12,8%. Если в 2000 году в Курской области проживало 0,87% населения России, то в 2018 году - 0,76%.</w:t>
      </w:r>
    </w:p>
    <w:p>
      <w:pPr>
        <w:pStyle w:val="0"/>
        <w:jc w:val="both"/>
      </w:pPr>
      <w:r>
        <w:rPr>
          <w:sz w:val="20"/>
        </w:rPr>
      </w:r>
    </w:p>
    <w:p>
      <w:pPr>
        <w:pStyle w:val="0"/>
        <w:jc w:val="center"/>
      </w:pPr>
      <w:r>
        <w:rPr>
          <w:position w:val="-270"/>
        </w:rPr>
        <w:drawing>
          <wp:inline distT="0" distB="0" distL="0" distR="0">
            <wp:extent cx="5041265" cy="3566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5041265" cy="356616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2. Население Курской области</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spacing w:before="200" w:line-rule="auto"/>
        <w:ind w:firstLine="540"/>
        <w:jc w:val="both"/>
      </w:pPr>
      <w:r>
        <w:rPr>
          <w:sz w:val="20"/>
        </w:rPr>
        <w:t xml:space="preserve">Сохраняется естественная убыль населения с тенденциями незначительного роста рождаемости (вплоть до 2015 года) и снижения уровня смертности населения. По общему коэффициенту рождаемости (9,2 родившихся на 1000 человек населения) Курская область занимает 74-е место среди регионов России, по общему коэффициенту смертности - 78-е (15,4 умерших на 1000 человек населения). Таким образом, коэффициент естественного прироста населения составил (-6,0) человек на 1000 чел. населения (средний по России - (-2,9).</w:t>
      </w:r>
    </w:p>
    <w:p>
      <w:pPr>
        <w:pStyle w:val="0"/>
        <w:jc w:val="both"/>
      </w:pPr>
      <w:r>
        <w:rPr>
          <w:sz w:val="20"/>
        </w:rPr>
      </w:r>
    </w:p>
    <w:p>
      <w:pPr>
        <w:pStyle w:val="0"/>
        <w:outlineLvl w:val="3"/>
        <w:jc w:val="right"/>
      </w:pPr>
      <w:r>
        <w:rPr>
          <w:sz w:val="20"/>
        </w:rPr>
        <w:t xml:space="preserve">Таблица N 1</w:t>
      </w:r>
    </w:p>
    <w:p>
      <w:pPr>
        <w:pStyle w:val="0"/>
        <w:jc w:val="both"/>
      </w:pPr>
      <w:r>
        <w:rPr>
          <w:sz w:val="20"/>
        </w:rPr>
      </w:r>
    </w:p>
    <w:p>
      <w:pPr>
        <w:pStyle w:val="2"/>
        <w:jc w:val="center"/>
      </w:pPr>
      <w:r>
        <w:rPr>
          <w:sz w:val="20"/>
        </w:rPr>
        <w:t xml:space="preserve">Смертность населения Курской области по причинам смерти</w:t>
      </w:r>
    </w:p>
    <w:p>
      <w:pPr>
        <w:pStyle w:val="2"/>
        <w:jc w:val="center"/>
      </w:pPr>
      <w:r>
        <w:rPr>
          <w:sz w:val="20"/>
        </w:rPr>
        <w:t xml:space="preserve">за 2017 - 2019 гг. (на 100 тысяч населения)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58"/>
        <w:gridCol w:w="992"/>
        <w:gridCol w:w="913"/>
        <w:gridCol w:w="941"/>
        <w:gridCol w:w="1027"/>
        <w:gridCol w:w="821"/>
        <w:gridCol w:w="830"/>
      </w:tblGrid>
      <w:tr>
        <w:tc>
          <w:tcPr>
            <w:tcW w:w="3458" w:type="dxa"/>
            <w:vAlign w:val="center"/>
            <w:vMerge w:val="restart"/>
          </w:tcPr>
          <w:p>
            <w:pPr>
              <w:pStyle w:val="0"/>
              <w:jc w:val="center"/>
            </w:pPr>
            <w:r>
              <w:rPr>
                <w:sz w:val="20"/>
              </w:rPr>
              <w:t xml:space="preserve">Причины смерти (класс причин)</w:t>
            </w:r>
          </w:p>
        </w:tc>
        <w:tc>
          <w:tcPr>
            <w:tcW w:w="992" w:type="dxa"/>
            <w:vAlign w:val="center"/>
            <w:vMerge w:val="restart"/>
          </w:tcPr>
          <w:p>
            <w:pPr>
              <w:pStyle w:val="0"/>
              <w:jc w:val="center"/>
            </w:pPr>
            <w:r>
              <w:rPr>
                <w:sz w:val="20"/>
              </w:rPr>
              <w:t xml:space="preserve">2017 год</w:t>
            </w:r>
          </w:p>
        </w:tc>
        <w:tc>
          <w:tcPr>
            <w:tcW w:w="913" w:type="dxa"/>
            <w:vAlign w:val="center"/>
            <w:vMerge w:val="restart"/>
          </w:tcPr>
          <w:p>
            <w:pPr>
              <w:pStyle w:val="0"/>
              <w:jc w:val="center"/>
            </w:pPr>
            <w:r>
              <w:rPr>
                <w:sz w:val="20"/>
              </w:rPr>
              <w:t xml:space="preserve">2018 год</w:t>
            </w:r>
          </w:p>
        </w:tc>
        <w:tc>
          <w:tcPr>
            <w:tcW w:w="941" w:type="dxa"/>
            <w:vAlign w:val="center"/>
            <w:vMerge w:val="restart"/>
          </w:tcPr>
          <w:p>
            <w:pPr>
              <w:pStyle w:val="0"/>
              <w:jc w:val="center"/>
            </w:pPr>
            <w:r>
              <w:rPr>
                <w:sz w:val="20"/>
              </w:rPr>
              <w:t xml:space="preserve">2019 год</w:t>
            </w:r>
          </w:p>
        </w:tc>
        <w:tc>
          <w:tcPr>
            <w:tcW w:w="1027" w:type="dxa"/>
            <w:vAlign w:val="center"/>
            <w:vMerge w:val="restart"/>
          </w:tcPr>
          <w:p>
            <w:pPr>
              <w:pStyle w:val="0"/>
              <w:jc w:val="center"/>
            </w:pPr>
            <w:r>
              <w:rPr>
                <w:sz w:val="20"/>
              </w:rPr>
              <w:t xml:space="preserve">2019 год к 2018 году в %</w:t>
            </w:r>
          </w:p>
        </w:tc>
        <w:tc>
          <w:tcPr>
            <w:gridSpan w:val="2"/>
            <w:tcW w:w="1651" w:type="dxa"/>
            <w:vAlign w:val="center"/>
          </w:tcPr>
          <w:p>
            <w:pPr>
              <w:pStyle w:val="0"/>
              <w:jc w:val="center"/>
            </w:pPr>
            <w:r>
              <w:rPr>
                <w:sz w:val="20"/>
              </w:rPr>
              <w:t xml:space="preserve">2019 год</w:t>
            </w:r>
          </w:p>
        </w:tc>
      </w:tr>
      <w:tr>
        <w:tc>
          <w:tcPr>
            <w:vMerge w:val="continue"/>
          </w:tcPr>
          <w:p/>
        </w:tc>
        <w:tc>
          <w:tcPr>
            <w:vMerge w:val="continue"/>
          </w:tcPr>
          <w:p/>
        </w:tc>
        <w:tc>
          <w:tcPr>
            <w:vMerge w:val="continue"/>
          </w:tcPr>
          <w:p/>
        </w:tc>
        <w:tc>
          <w:tcPr>
            <w:vMerge w:val="continue"/>
          </w:tcPr>
          <w:p/>
        </w:tc>
        <w:tc>
          <w:tcPr>
            <w:vMerge w:val="continue"/>
          </w:tcPr>
          <w:p/>
        </w:tc>
        <w:tc>
          <w:tcPr>
            <w:tcW w:w="821" w:type="dxa"/>
            <w:vAlign w:val="center"/>
          </w:tcPr>
          <w:p>
            <w:pPr>
              <w:pStyle w:val="0"/>
              <w:jc w:val="center"/>
            </w:pPr>
            <w:r>
              <w:rPr>
                <w:sz w:val="20"/>
              </w:rPr>
              <w:t xml:space="preserve">РФ</w:t>
            </w:r>
          </w:p>
        </w:tc>
        <w:tc>
          <w:tcPr>
            <w:tcW w:w="830" w:type="dxa"/>
            <w:vAlign w:val="center"/>
          </w:tcPr>
          <w:p>
            <w:pPr>
              <w:pStyle w:val="0"/>
              <w:jc w:val="center"/>
            </w:pPr>
            <w:r>
              <w:rPr>
                <w:sz w:val="20"/>
              </w:rPr>
              <w:t xml:space="preserve">ЦФО</w:t>
            </w:r>
          </w:p>
        </w:tc>
      </w:tr>
      <w:tr>
        <w:tc>
          <w:tcPr>
            <w:tcW w:w="3458" w:type="dxa"/>
            <w:vAlign w:val="center"/>
          </w:tcPr>
          <w:p>
            <w:pPr>
              <w:pStyle w:val="0"/>
              <w:ind w:firstLine="129"/>
            </w:pPr>
            <w:r>
              <w:rPr>
                <w:sz w:val="20"/>
              </w:rPr>
              <w:t xml:space="preserve">Всего умерших от всех причин,</w:t>
            </w:r>
          </w:p>
        </w:tc>
        <w:tc>
          <w:tcPr>
            <w:tcW w:w="992" w:type="dxa"/>
            <w:vAlign w:val="center"/>
          </w:tcPr>
          <w:p>
            <w:pPr>
              <w:pStyle w:val="0"/>
              <w:jc w:val="center"/>
            </w:pPr>
            <w:r>
              <w:rPr>
                <w:sz w:val="20"/>
              </w:rPr>
              <w:t xml:space="preserve">15,5</w:t>
            </w:r>
          </w:p>
        </w:tc>
        <w:tc>
          <w:tcPr>
            <w:tcW w:w="913" w:type="dxa"/>
            <w:vAlign w:val="center"/>
          </w:tcPr>
          <w:p>
            <w:pPr>
              <w:pStyle w:val="0"/>
              <w:jc w:val="center"/>
            </w:pPr>
            <w:r>
              <w:rPr>
                <w:sz w:val="20"/>
              </w:rPr>
              <w:t xml:space="preserve">15,4</w:t>
            </w:r>
          </w:p>
        </w:tc>
        <w:tc>
          <w:tcPr>
            <w:tcW w:w="941" w:type="dxa"/>
            <w:vAlign w:val="center"/>
          </w:tcPr>
          <w:p>
            <w:pPr>
              <w:pStyle w:val="0"/>
              <w:jc w:val="center"/>
            </w:pPr>
            <w:r>
              <w:rPr>
                <w:sz w:val="20"/>
              </w:rPr>
              <w:t xml:space="preserve">15,02</w:t>
            </w:r>
          </w:p>
        </w:tc>
        <w:tc>
          <w:tcPr>
            <w:tcW w:w="1027" w:type="dxa"/>
            <w:vAlign w:val="center"/>
          </w:tcPr>
          <w:p>
            <w:pPr>
              <w:pStyle w:val="0"/>
              <w:jc w:val="center"/>
            </w:pPr>
            <w:r>
              <w:rPr>
                <w:sz w:val="20"/>
              </w:rPr>
              <w:t xml:space="preserve">97,3</w:t>
            </w:r>
          </w:p>
        </w:tc>
        <w:tc>
          <w:tcPr>
            <w:tcW w:w="821" w:type="dxa"/>
            <w:vAlign w:val="center"/>
          </w:tcPr>
          <w:p>
            <w:pPr>
              <w:pStyle w:val="0"/>
              <w:jc w:val="center"/>
            </w:pPr>
            <w:r>
              <w:rPr>
                <w:sz w:val="20"/>
              </w:rPr>
              <w:t xml:space="preserve">12,2</w:t>
            </w:r>
          </w:p>
        </w:tc>
        <w:tc>
          <w:tcPr>
            <w:tcW w:w="830" w:type="dxa"/>
            <w:vAlign w:val="center"/>
          </w:tcPr>
          <w:p>
            <w:pPr>
              <w:pStyle w:val="0"/>
              <w:jc w:val="center"/>
            </w:pPr>
            <w:r>
              <w:rPr>
                <w:sz w:val="20"/>
              </w:rPr>
              <w:t xml:space="preserve">12,7</w:t>
            </w:r>
          </w:p>
        </w:tc>
      </w:tr>
      <w:tr>
        <w:tc>
          <w:tcPr>
            <w:tcW w:w="3458" w:type="dxa"/>
            <w:vAlign w:val="center"/>
          </w:tcPr>
          <w:p>
            <w:pPr>
              <w:pStyle w:val="0"/>
              <w:ind w:firstLine="129"/>
            </w:pPr>
            <w:r>
              <w:rPr>
                <w:sz w:val="20"/>
              </w:rPr>
              <w:t xml:space="preserve">из них по причинам:</w:t>
            </w:r>
          </w:p>
        </w:tc>
        <w:tc>
          <w:tcPr>
            <w:tcW w:w="992" w:type="dxa"/>
            <w:vAlign w:val="center"/>
          </w:tcPr>
          <w:p>
            <w:pPr>
              <w:pStyle w:val="0"/>
            </w:pPr>
            <w:r>
              <w:rPr>
                <w:sz w:val="20"/>
              </w:rPr>
            </w:r>
          </w:p>
        </w:tc>
        <w:tc>
          <w:tcPr>
            <w:tcW w:w="913" w:type="dxa"/>
            <w:vAlign w:val="center"/>
          </w:tcPr>
          <w:p>
            <w:pPr>
              <w:pStyle w:val="0"/>
            </w:pPr>
            <w:r>
              <w:rPr>
                <w:sz w:val="20"/>
              </w:rPr>
            </w:r>
          </w:p>
        </w:tc>
        <w:tc>
          <w:tcPr>
            <w:tcW w:w="941" w:type="dxa"/>
            <w:vAlign w:val="center"/>
          </w:tcPr>
          <w:p>
            <w:pPr>
              <w:pStyle w:val="0"/>
            </w:pPr>
            <w:r>
              <w:rPr>
                <w:sz w:val="20"/>
              </w:rPr>
            </w:r>
          </w:p>
        </w:tc>
        <w:tc>
          <w:tcPr>
            <w:tcW w:w="1027" w:type="dxa"/>
            <w:vAlign w:val="center"/>
          </w:tcPr>
          <w:p>
            <w:pPr>
              <w:pStyle w:val="0"/>
            </w:pPr>
            <w:r>
              <w:rPr>
                <w:sz w:val="20"/>
              </w:rPr>
            </w:r>
          </w:p>
        </w:tc>
        <w:tc>
          <w:tcPr>
            <w:tcW w:w="821" w:type="dxa"/>
            <w:vAlign w:val="center"/>
          </w:tcPr>
          <w:p>
            <w:pPr>
              <w:pStyle w:val="0"/>
            </w:pPr>
            <w:r>
              <w:rPr>
                <w:sz w:val="20"/>
              </w:rPr>
            </w:r>
          </w:p>
        </w:tc>
        <w:tc>
          <w:tcPr>
            <w:tcW w:w="830" w:type="dxa"/>
            <w:vAlign w:val="center"/>
          </w:tcPr>
          <w:p>
            <w:pPr>
              <w:pStyle w:val="0"/>
            </w:pPr>
            <w:r>
              <w:rPr>
                <w:sz w:val="20"/>
              </w:rPr>
            </w:r>
          </w:p>
        </w:tc>
      </w:tr>
      <w:tr>
        <w:tc>
          <w:tcPr>
            <w:tcW w:w="3458" w:type="dxa"/>
            <w:vAlign w:val="center"/>
          </w:tcPr>
          <w:p>
            <w:pPr>
              <w:pStyle w:val="0"/>
              <w:ind w:firstLine="129"/>
            </w:pPr>
            <w:r>
              <w:rPr>
                <w:sz w:val="20"/>
              </w:rPr>
              <w:t xml:space="preserve">младенческая смертность на 1000 родившихся живыми</w:t>
            </w:r>
          </w:p>
        </w:tc>
        <w:tc>
          <w:tcPr>
            <w:tcW w:w="992" w:type="dxa"/>
            <w:vAlign w:val="center"/>
          </w:tcPr>
          <w:p>
            <w:pPr>
              <w:pStyle w:val="0"/>
              <w:jc w:val="center"/>
            </w:pPr>
            <w:r>
              <w:rPr>
                <w:sz w:val="20"/>
              </w:rPr>
              <w:t xml:space="preserve">5,6</w:t>
            </w:r>
          </w:p>
        </w:tc>
        <w:tc>
          <w:tcPr>
            <w:tcW w:w="913" w:type="dxa"/>
            <w:vAlign w:val="center"/>
          </w:tcPr>
          <w:p>
            <w:pPr>
              <w:pStyle w:val="0"/>
              <w:jc w:val="center"/>
            </w:pPr>
            <w:r>
              <w:rPr>
                <w:sz w:val="20"/>
              </w:rPr>
              <w:t xml:space="preserve">5,2</w:t>
            </w:r>
          </w:p>
        </w:tc>
        <w:tc>
          <w:tcPr>
            <w:tcW w:w="941" w:type="dxa"/>
            <w:vAlign w:val="center"/>
          </w:tcPr>
          <w:p>
            <w:pPr>
              <w:pStyle w:val="0"/>
              <w:jc w:val="center"/>
            </w:pPr>
            <w:r>
              <w:rPr>
                <w:sz w:val="20"/>
              </w:rPr>
              <w:t xml:space="preserve">4,3</w:t>
            </w:r>
          </w:p>
        </w:tc>
        <w:tc>
          <w:tcPr>
            <w:tcW w:w="1027" w:type="dxa"/>
            <w:vAlign w:val="center"/>
          </w:tcPr>
          <w:p>
            <w:pPr>
              <w:pStyle w:val="0"/>
              <w:jc w:val="center"/>
            </w:pPr>
            <w:r>
              <w:rPr>
                <w:sz w:val="20"/>
              </w:rPr>
              <w:t xml:space="preserve">82,7</w:t>
            </w:r>
          </w:p>
        </w:tc>
        <w:tc>
          <w:tcPr>
            <w:tcW w:w="821" w:type="dxa"/>
            <w:vAlign w:val="center"/>
          </w:tcPr>
          <w:p>
            <w:pPr>
              <w:pStyle w:val="0"/>
              <w:jc w:val="center"/>
            </w:pPr>
            <w:r>
              <w:rPr>
                <w:sz w:val="20"/>
              </w:rPr>
              <w:t xml:space="preserve">4,9</w:t>
            </w:r>
          </w:p>
        </w:tc>
        <w:tc>
          <w:tcPr>
            <w:tcW w:w="830" w:type="dxa"/>
            <w:vAlign w:val="center"/>
          </w:tcPr>
          <w:p>
            <w:pPr>
              <w:pStyle w:val="0"/>
              <w:jc w:val="center"/>
            </w:pPr>
            <w:r>
              <w:rPr>
                <w:sz w:val="20"/>
              </w:rPr>
              <w:t xml:space="preserve">4,4</w:t>
            </w:r>
          </w:p>
        </w:tc>
      </w:tr>
      <w:tr>
        <w:tc>
          <w:tcPr>
            <w:tcW w:w="3458" w:type="dxa"/>
            <w:vAlign w:val="center"/>
          </w:tcPr>
          <w:p>
            <w:pPr>
              <w:pStyle w:val="0"/>
              <w:ind w:firstLine="129"/>
            </w:pPr>
            <w:r>
              <w:rPr>
                <w:sz w:val="20"/>
              </w:rPr>
              <w:t xml:space="preserve">некоторых инфекционных и паразитарных болезней</w:t>
            </w:r>
          </w:p>
        </w:tc>
        <w:tc>
          <w:tcPr>
            <w:tcW w:w="992" w:type="dxa"/>
            <w:vAlign w:val="center"/>
          </w:tcPr>
          <w:p>
            <w:pPr>
              <w:pStyle w:val="0"/>
              <w:jc w:val="center"/>
            </w:pPr>
            <w:r>
              <w:rPr>
                <w:sz w:val="20"/>
              </w:rPr>
              <w:t xml:space="preserve">9,2</w:t>
            </w:r>
          </w:p>
        </w:tc>
        <w:tc>
          <w:tcPr>
            <w:tcW w:w="913" w:type="dxa"/>
            <w:vAlign w:val="center"/>
          </w:tcPr>
          <w:p>
            <w:pPr>
              <w:pStyle w:val="0"/>
              <w:jc w:val="center"/>
            </w:pPr>
            <w:r>
              <w:rPr>
                <w:sz w:val="20"/>
              </w:rPr>
              <w:t xml:space="preserve">6,7</w:t>
            </w:r>
          </w:p>
        </w:tc>
        <w:tc>
          <w:tcPr>
            <w:tcW w:w="941" w:type="dxa"/>
            <w:vAlign w:val="center"/>
          </w:tcPr>
          <w:p>
            <w:pPr>
              <w:pStyle w:val="0"/>
              <w:jc w:val="center"/>
            </w:pPr>
            <w:r>
              <w:rPr>
                <w:sz w:val="20"/>
              </w:rPr>
              <w:t xml:space="preserve">7,6</w:t>
            </w:r>
          </w:p>
        </w:tc>
        <w:tc>
          <w:tcPr>
            <w:tcW w:w="1027" w:type="dxa"/>
            <w:vAlign w:val="center"/>
          </w:tcPr>
          <w:p>
            <w:pPr>
              <w:pStyle w:val="0"/>
              <w:jc w:val="center"/>
            </w:pPr>
            <w:r>
              <w:rPr>
                <w:sz w:val="20"/>
              </w:rPr>
              <w:t xml:space="preserve">113,4</w:t>
            </w:r>
          </w:p>
        </w:tc>
        <w:tc>
          <w:tcPr>
            <w:tcW w:w="821" w:type="dxa"/>
            <w:vAlign w:val="center"/>
          </w:tcPr>
          <w:p>
            <w:pPr>
              <w:pStyle w:val="0"/>
              <w:jc w:val="center"/>
            </w:pPr>
            <w:r>
              <w:rPr>
                <w:sz w:val="20"/>
              </w:rPr>
              <w:t xml:space="preserve">21,3</w:t>
            </w:r>
          </w:p>
        </w:tc>
        <w:tc>
          <w:tcPr>
            <w:tcW w:w="830" w:type="dxa"/>
            <w:vAlign w:val="center"/>
          </w:tcPr>
          <w:p>
            <w:pPr>
              <w:pStyle w:val="0"/>
              <w:jc w:val="center"/>
            </w:pPr>
            <w:r>
              <w:rPr>
                <w:sz w:val="20"/>
              </w:rPr>
              <w:t xml:space="preserve">10,7</w:t>
            </w:r>
          </w:p>
        </w:tc>
      </w:tr>
      <w:tr>
        <w:tc>
          <w:tcPr>
            <w:tcW w:w="3458" w:type="dxa"/>
            <w:vAlign w:val="center"/>
          </w:tcPr>
          <w:p>
            <w:pPr>
              <w:pStyle w:val="0"/>
              <w:ind w:firstLine="129"/>
            </w:pPr>
            <w:r>
              <w:rPr>
                <w:sz w:val="20"/>
              </w:rPr>
              <w:t xml:space="preserve">туберкулеза</w:t>
            </w:r>
          </w:p>
        </w:tc>
        <w:tc>
          <w:tcPr>
            <w:tcW w:w="992" w:type="dxa"/>
            <w:vAlign w:val="center"/>
          </w:tcPr>
          <w:p>
            <w:pPr>
              <w:pStyle w:val="0"/>
              <w:jc w:val="center"/>
            </w:pPr>
            <w:r>
              <w:rPr>
                <w:sz w:val="20"/>
              </w:rPr>
              <w:t xml:space="preserve">6,3</w:t>
            </w:r>
          </w:p>
        </w:tc>
        <w:tc>
          <w:tcPr>
            <w:tcW w:w="913" w:type="dxa"/>
            <w:vAlign w:val="center"/>
          </w:tcPr>
          <w:p>
            <w:pPr>
              <w:pStyle w:val="0"/>
              <w:jc w:val="center"/>
            </w:pPr>
            <w:r>
              <w:rPr>
                <w:sz w:val="20"/>
              </w:rPr>
              <w:t xml:space="preserve">3,8</w:t>
            </w:r>
          </w:p>
        </w:tc>
        <w:tc>
          <w:tcPr>
            <w:tcW w:w="941" w:type="dxa"/>
            <w:vAlign w:val="center"/>
          </w:tcPr>
          <w:p>
            <w:pPr>
              <w:pStyle w:val="0"/>
              <w:jc w:val="center"/>
            </w:pPr>
            <w:r>
              <w:rPr>
                <w:sz w:val="20"/>
              </w:rPr>
              <w:t xml:space="preserve">4,4</w:t>
            </w:r>
          </w:p>
        </w:tc>
        <w:tc>
          <w:tcPr>
            <w:tcW w:w="1027" w:type="dxa"/>
            <w:vAlign w:val="center"/>
          </w:tcPr>
          <w:p>
            <w:pPr>
              <w:pStyle w:val="0"/>
              <w:jc w:val="center"/>
            </w:pPr>
            <w:r>
              <w:rPr>
                <w:sz w:val="20"/>
              </w:rPr>
              <w:t xml:space="preserve">115,8</w:t>
            </w:r>
          </w:p>
        </w:tc>
        <w:tc>
          <w:tcPr>
            <w:tcW w:w="821" w:type="dxa"/>
            <w:vAlign w:val="center"/>
          </w:tcPr>
          <w:p>
            <w:pPr>
              <w:pStyle w:val="0"/>
              <w:jc w:val="center"/>
            </w:pPr>
            <w:r>
              <w:rPr>
                <w:sz w:val="20"/>
              </w:rPr>
              <w:t xml:space="preserve">5,0</w:t>
            </w:r>
          </w:p>
        </w:tc>
        <w:tc>
          <w:tcPr>
            <w:tcW w:w="830" w:type="dxa"/>
            <w:vAlign w:val="center"/>
          </w:tcPr>
          <w:p>
            <w:pPr>
              <w:pStyle w:val="0"/>
              <w:jc w:val="center"/>
            </w:pPr>
            <w:r>
              <w:rPr>
                <w:sz w:val="20"/>
              </w:rPr>
              <w:t xml:space="preserve">2,1</w:t>
            </w:r>
          </w:p>
        </w:tc>
      </w:tr>
      <w:tr>
        <w:tc>
          <w:tcPr>
            <w:tcW w:w="3458" w:type="dxa"/>
            <w:vAlign w:val="center"/>
          </w:tcPr>
          <w:p>
            <w:pPr>
              <w:pStyle w:val="0"/>
              <w:ind w:firstLine="129"/>
            </w:pPr>
            <w:r>
              <w:rPr>
                <w:sz w:val="20"/>
              </w:rPr>
              <w:t xml:space="preserve">новообразований</w:t>
            </w:r>
          </w:p>
        </w:tc>
        <w:tc>
          <w:tcPr>
            <w:tcW w:w="992" w:type="dxa"/>
            <w:vAlign w:val="center"/>
          </w:tcPr>
          <w:p>
            <w:pPr>
              <w:pStyle w:val="0"/>
              <w:jc w:val="center"/>
            </w:pPr>
            <w:r>
              <w:rPr>
                <w:sz w:val="20"/>
              </w:rPr>
              <w:t xml:space="preserve">244,3</w:t>
            </w:r>
          </w:p>
        </w:tc>
        <w:tc>
          <w:tcPr>
            <w:tcW w:w="913" w:type="dxa"/>
            <w:vAlign w:val="center"/>
          </w:tcPr>
          <w:p>
            <w:pPr>
              <w:pStyle w:val="0"/>
              <w:jc w:val="center"/>
            </w:pPr>
            <w:r>
              <w:rPr>
                <w:sz w:val="20"/>
              </w:rPr>
              <w:t xml:space="preserve">230,3</w:t>
            </w:r>
          </w:p>
        </w:tc>
        <w:tc>
          <w:tcPr>
            <w:tcW w:w="941" w:type="dxa"/>
            <w:vAlign w:val="center"/>
          </w:tcPr>
          <w:p>
            <w:pPr>
              <w:pStyle w:val="0"/>
              <w:jc w:val="center"/>
            </w:pPr>
            <w:r>
              <w:rPr>
                <w:sz w:val="20"/>
              </w:rPr>
              <w:t xml:space="preserve">240,1</w:t>
            </w:r>
          </w:p>
        </w:tc>
        <w:tc>
          <w:tcPr>
            <w:tcW w:w="1027" w:type="dxa"/>
            <w:vAlign w:val="center"/>
          </w:tcPr>
          <w:p>
            <w:pPr>
              <w:pStyle w:val="0"/>
              <w:jc w:val="center"/>
            </w:pPr>
            <w:r>
              <w:rPr>
                <w:sz w:val="20"/>
              </w:rPr>
              <w:t xml:space="preserve">104,3</w:t>
            </w:r>
          </w:p>
        </w:tc>
        <w:tc>
          <w:tcPr>
            <w:tcW w:w="821" w:type="dxa"/>
            <w:vAlign w:val="center"/>
          </w:tcPr>
          <w:p>
            <w:pPr>
              <w:pStyle w:val="0"/>
              <w:jc w:val="center"/>
            </w:pPr>
            <w:r>
              <w:rPr>
                <w:sz w:val="20"/>
              </w:rPr>
              <w:t xml:space="preserve">201,5</w:t>
            </w:r>
          </w:p>
        </w:tc>
        <w:tc>
          <w:tcPr>
            <w:tcW w:w="830" w:type="dxa"/>
            <w:vAlign w:val="center"/>
          </w:tcPr>
          <w:p>
            <w:pPr>
              <w:pStyle w:val="0"/>
              <w:jc w:val="center"/>
            </w:pPr>
            <w:r>
              <w:rPr>
                <w:sz w:val="20"/>
              </w:rPr>
              <w:t xml:space="preserve">210,0</w:t>
            </w:r>
          </w:p>
        </w:tc>
      </w:tr>
      <w:tr>
        <w:tc>
          <w:tcPr>
            <w:tcW w:w="3458" w:type="dxa"/>
            <w:vAlign w:val="center"/>
          </w:tcPr>
          <w:p>
            <w:pPr>
              <w:pStyle w:val="0"/>
              <w:ind w:firstLine="129"/>
            </w:pPr>
            <w:r>
              <w:rPr>
                <w:sz w:val="20"/>
              </w:rPr>
              <w:t xml:space="preserve">в том числе от злокачественных</w:t>
            </w:r>
          </w:p>
        </w:tc>
        <w:tc>
          <w:tcPr>
            <w:tcW w:w="992" w:type="dxa"/>
            <w:vAlign w:val="center"/>
          </w:tcPr>
          <w:p>
            <w:pPr>
              <w:pStyle w:val="0"/>
              <w:jc w:val="center"/>
            </w:pPr>
            <w:r>
              <w:rPr>
                <w:sz w:val="20"/>
              </w:rPr>
              <w:t xml:space="preserve">242,5</w:t>
            </w:r>
          </w:p>
        </w:tc>
        <w:tc>
          <w:tcPr>
            <w:tcW w:w="913" w:type="dxa"/>
            <w:vAlign w:val="center"/>
          </w:tcPr>
          <w:p>
            <w:pPr>
              <w:pStyle w:val="0"/>
              <w:jc w:val="center"/>
            </w:pPr>
            <w:r>
              <w:rPr>
                <w:sz w:val="20"/>
              </w:rPr>
              <w:t xml:space="preserve">226,9</w:t>
            </w:r>
          </w:p>
        </w:tc>
        <w:tc>
          <w:tcPr>
            <w:tcW w:w="941" w:type="dxa"/>
            <w:vAlign w:val="center"/>
          </w:tcPr>
          <w:p>
            <w:pPr>
              <w:pStyle w:val="0"/>
              <w:jc w:val="center"/>
            </w:pPr>
            <w:r>
              <w:rPr>
                <w:sz w:val="20"/>
              </w:rPr>
              <w:t xml:space="preserve">237,2</w:t>
            </w:r>
          </w:p>
        </w:tc>
        <w:tc>
          <w:tcPr>
            <w:tcW w:w="1027" w:type="dxa"/>
            <w:vAlign w:val="center"/>
          </w:tcPr>
          <w:p>
            <w:pPr>
              <w:pStyle w:val="0"/>
              <w:jc w:val="center"/>
            </w:pPr>
            <w:r>
              <w:rPr>
                <w:sz w:val="20"/>
              </w:rPr>
              <w:t xml:space="preserve">104,5</w:t>
            </w:r>
          </w:p>
        </w:tc>
        <w:tc>
          <w:tcPr>
            <w:tcW w:w="821" w:type="dxa"/>
            <w:vAlign w:val="center"/>
          </w:tcPr>
          <w:p>
            <w:pPr>
              <w:pStyle w:val="0"/>
              <w:jc w:val="center"/>
            </w:pPr>
            <w:r>
              <w:rPr>
                <w:sz w:val="20"/>
              </w:rPr>
              <w:t xml:space="preserve">198,6</w:t>
            </w:r>
          </w:p>
        </w:tc>
        <w:tc>
          <w:tcPr>
            <w:tcW w:w="830" w:type="dxa"/>
            <w:vAlign w:val="center"/>
          </w:tcPr>
          <w:p>
            <w:pPr>
              <w:pStyle w:val="0"/>
              <w:jc w:val="center"/>
            </w:pPr>
            <w:r>
              <w:rPr>
                <w:sz w:val="20"/>
              </w:rPr>
              <w:t xml:space="preserve">206,7</w:t>
            </w:r>
          </w:p>
        </w:tc>
      </w:tr>
      <w:tr>
        <w:tc>
          <w:tcPr>
            <w:tcW w:w="3458" w:type="dxa"/>
            <w:vAlign w:val="center"/>
          </w:tcPr>
          <w:p>
            <w:pPr>
              <w:pStyle w:val="0"/>
              <w:ind w:firstLine="129"/>
            </w:pPr>
            <w:r>
              <w:rPr>
                <w:sz w:val="20"/>
              </w:rPr>
              <w:t xml:space="preserve">кровообращения</w:t>
            </w:r>
          </w:p>
        </w:tc>
        <w:tc>
          <w:tcPr>
            <w:tcW w:w="992" w:type="dxa"/>
            <w:vAlign w:val="center"/>
          </w:tcPr>
          <w:p>
            <w:pPr>
              <w:pStyle w:val="0"/>
              <w:jc w:val="center"/>
            </w:pPr>
            <w:r>
              <w:rPr>
                <w:sz w:val="20"/>
              </w:rPr>
              <w:t xml:space="preserve">699,7</w:t>
            </w:r>
          </w:p>
        </w:tc>
        <w:tc>
          <w:tcPr>
            <w:tcW w:w="913" w:type="dxa"/>
            <w:vAlign w:val="center"/>
          </w:tcPr>
          <w:p>
            <w:pPr>
              <w:pStyle w:val="0"/>
              <w:jc w:val="center"/>
            </w:pPr>
            <w:r>
              <w:rPr>
                <w:sz w:val="20"/>
              </w:rPr>
              <w:t xml:space="preserve">706,4</w:t>
            </w:r>
          </w:p>
        </w:tc>
        <w:tc>
          <w:tcPr>
            <w:tcW w:w="941" w:type="dxa"/>
            <w:vAlign w:val="center"/>
          </w:tcPr>
          <w:p>
            <w:pPr>
              <w:pStyle w:val="0"/>
              <w:jc w:val="center"/>
            </w:pPr>
            <w:r>
              <w:rPr>
                <w:sz w:val="20"/>
              </w:rPr>
              <w:t xml:space="preserve">694,4</w:t>
            </w:r>
          </w:p>
        </w:tc>
        <w:tc>
          <w:tcPr>
            <w:tcW w:w="1027" w:type="dxa"/>
            <w:vAlign w:val="center"/>
          </w:tcPr>
          <w:p>
            <w:pPr>
              <w:pStyle w:val="0"/>
              <w:jc w:val="center"/>
            </w:pPr>
            <w:r>
              <w:rPr>
                <w:sz w:val="20"/>
              </w:rPr>
              <w:t xml:space="preserve">98,3</w:t>
            </w:r>
          </w:p>
        </w:tc>
        <w:tc>
          <w:tcPr>
            <w:tcW w:w="821" w:type="dxa"/>
            <w:vAlign w:val="center"/>
          </w:tcPr>
          <w:p>
            <w:pPr>
              <w:pStyle w:val="0"/>
              <w:jc w:val="center"/>
            </w:pPr>
            <w:r>
              <w:rPr>
                <w:sz w:val="20"/>
              </w:rPr>
              <w:t xml:space="preserve">573,7</w:t>
            </w:r>
          </w:p>
        </w:tc>
        <w:tc>
          <w:tcPr>
            <w:tcW w:w="830" w:type="dxa"/>
            <w:vAlign w:val="center"/>
          </w:tcPr>
          <w:p>
            <w:pPr>
              <w:pStyle w:val="0"/>
              <w:jc w:val="center"/>
            </w:pPr>
            <w:r>
              <w:rPr>
                <w:sz w:val="20"/>
              </w:rPr>
              <w:t xml:space="preserve">579,3</w:t>
            </w:r>
          </w:p>
        </w:tc>
      </w:tr>
      <w:tr>
        <w:tc>
          <w:tcPr>
            <w:tcW w:w="3458" w:type="dxa"/>
            <w:vAlign w:val="center"/>
          </w:tcPr>
          <w:p>
            <w:pPr>
              <w:pStyle w:val="0"/>
              <w:ind w:firstLine="129"/>
            </w:pPr>
            <w:r>
              <w:rPr>
                <w:sz w:val="20"/>
              </w:rPr>
              <w:t xml:space="preserve">болезней органов дыхания</w:t>
            </w:r>
          </w:p>
        </w:tc>
        <w:tc>
          <w:tcPr>
            <w:tcW w:w="992" w:type="dxa"/>
            <w:vAlign w:val="center"/>
          </w:tcPr>
          <w:p>
            <w:pPr>
              <w:pStyle w:val="0"/>
              <w:jc w:val="center"/>
            </w:pPr>
            <w:r>
              <w:rPr>
                <w:sz w:val="20"/>
              </w:rPr>
              <w:t xml:space="preserve">73,3</w:t>
            </w:r>
          </w:p>
        </w:tc>
        <w:tc>
          <w:tcPr>
            <w:tcW w:w="913" w:type="dxa"/>
            <w:vAlign w:val="center"/>
          </w:tcPr>
          <w:p>
            <w:pPr>
              <w:pStyle w:val="0"/>
              <w:jc w:val="center"/>
            </w:pPr>
            <w:r>
              <w:rPr>
                <w:sz w:val="20"/>
              </w:rPr>
              <w:t xml:space="preserve">70,5</w:t>
            </w:r>
          </w:p>
        </w:tc>
        <w:tc>
          <w:tcPr>
            <w:tcW w:w="941" w:type="dxa"/>
            <w:vAlign w:val="center"/>
          </w:tcPr>
          <w:p>
            <w:pPr>
              <w:pStyle w:val="0"/>
              <w:jc w:val="center"/>
            </w:pPr>
            <w:r>
              <w:rPr>
                <w:sz w:val="20"/>
              </w:rPr>
              <w:t xml:space="preserve">77,2</w:t>
            </w:r>
          </w:p>
        </w:tc>
        <w:tc>
          <w:tcPr>
            <w:tcW w:w="1027" w:type="dxa"/>
            <w:vAlign w:val="center"/>
          </w:tcPr>
          <w:p>
            <w:pPr>
              <w:pStyle w:val="0"/>
              <w:jc w:val="center"/>
            </w:pPr>
            <w:r>
              <w:rPr>
                <w:sz w:val="20"/>
              </w:rPr>
              <w:t xml:space="preserve">109,5</w:t>
            </w:r>
          </w:p>
        </w:tc>
        <w:tc>
          <w:tcPr>
            <w:tcW w:w="821" w:type="dxa"/>
            <w:vAlign w:val="center"/>
          </w:tcPr>
          <w:p>
            <w:pPr>
              <w:pStyle w:val="0"/>
              <w:jc w:val="center"/>
            </w:pPr>
            <w:r>
              <w:rPr>
                <w:sz w:val="20"/>
              </w:rPr>
              <w:t xml:space="preserve">39,5</w:t>
            </w:r>
          </w:p>
        </w:tc>
        <w:tc>
          <w:tcPr>
            <w:tcW w:w="830" w:type="dxa"/>
            <w:vAlign w:val="center"/>
          </w:tcPr>
          <w:p>
            <w:pPr>
              <w:pStyle w:val="0"/>
              <w:jc w:val="center"/>
            </w:pPr>
            <w:r>
              <w:rPr>
                <w:sz w:val="20"/>
              </w:rPr>
              <w:t xml:space="preserve">37,7</w:t>
            </w:r>
          </w:p>
        </w:tc>
      </w:tr>
      <w:tr>
        <w:tc>
          <w:tcPr>
            <w:tcW w:w="3458" w:type="dxa"/>
            <w:vAlign w:val="center"/>
          </w:tcPr>
          <w:p>
            <w:pPr>
              <w:pStyle w:val="0"/>
              <w:ind w:firstLine="129"/>
            </w:pPr>
            <w:r>
              <w:rPr>
                <w:sz w:val="20"/>
              </w:rPr>
              <w:t xml:space="preserve">болезней органов пищеварения</w:t>
            </w:r>
          </w:p>
        </w:tc>
        <w:tc>
          <w:tcPr>
            <w:tcW w:w="992" w:type="dxa"/>
            <w:vAlign w:val="center"/>
          </w:tcPr>
          <w:p>
            <w:pPr>
              <w:pStyle w:val="0"/>
              <w:jc w:val="center"/>
            </w:pPr>
            <w:r>
              <w:rPr>
                <w:sz w:val="20"/>
              </w:rPr>
              <w:t xml:space="preserve">69,7</w:t>
            </w:r>
          </w:p>
        </w:tc>
        <w:tc>
          <w:tcPr>
            <w:tcW w:w="913" w:type="dxa"/>
            <w:vAlign w:val="center"/>
          </w:tcPr>
          <w:p>
            <w:pPr>
              <w:pStyle w:val="0"/>
              <w:jc w:val="center"/>
            </w:pPr>
            <w:r>
              <w:rPr>
                <w:sz w:val="20"/>
              </w:rPr>
              <w:t xml:space="preserve">71,9</w:t>
            </w:r>
          </w:p>
        </w:tc>
        <w:tc>
          <w:tcPr>
            <w:tcW w:w="941" w:type="dxa"/>
            <w:vAlign w:val="center"/>
          </w:tcPr>
          <w:p>
            <w:pPr>
              <w:pStyle w:val="0"/>
              <w:jc w:val="center"/>
            </w:pPr>
            <w:r>
              <w:rPr>
                <w:sz w:val="20"/>
              </w:rPr>
              <w:t xml:space="preserve">73,7</w:t>
            </w:r>
          </w:p>
        </w:tc>
        <w:tc>
          <w:tcPr>
            <w:tcW w:w="1027" w:type="dxa"/>
            <w:vAlign w:val="center"/>
          </w:tcPr>
          <w:p>
            <w:pPr>
              <w:pStyle w:val="0"/>
              <w:jc w:val="center"/>
            </w:pPr>
            <w:r>
              <w:rPr>
                <w:sz w:val="20"/>
              </w:rPr>
              <w:t xml:space="preserve">102,5</w:t>
            </w:r>
          </w:p>
        </w:tc>
        <w:tc>
          <w:tcPr>
            <w:tcW w:w="821" w:type="dxa"/>
            <w:vAlign w:val="center"/>
          </w:tcPr>
          <w:p>
            <w:pPr>
              <w:pStyle w:val="0"/>
              <w:jc w:val="center"/>
            </w:pPr>
            <w:r>
              <w:rPr>
                <w:sz w:val="20"/>
              </w:rPr>
              <w:t xml:space="preserve">66,4</w:t>
            </w:r>
          </w:p>
        </w:tc>
        <w:tc>
          <w:tcPr>
            <w:tcW w:w="830" w:type="dxa"/>
            <w:vAlign w:val="center"/>
          </w:tcPr>
          <w:p>
            <w:pPr>
              <w:pStyle w:val="0"/>
              <w:jc w:val="center"/>
            </w:pPr>
            <w:r>
              <w:rPr>
                <w:sz w:val="20"/>
              </w:rPr>
              <w:t xml:space="preserve">65,2</w:t>
            </w:r>
          </w:p>
        </w:tc>
      </w:tr>
      <w:tr>
        <w:tc>
          <w:tcPr>
            <w:tcW w:w="3458" w:type="dxa"/>
            <w:vAlign w:val="center"/>
          </w:tcPr>
          <w:p>
            <w:pPr>
              <w:pStyle w:val="0"/>
              <w:ind w:firstLine="129"/>
            </w:pPr>
            <w:r>
              <w:rPr>
                <w:sz w:val="20"/>
              </w:rPr>
              <w:t xml:space="preserve">внешних причин,</w:t>
            </w:r>
          </w:p>
        </w:tc>
        <w:tc>
          <w:tcPr>
            <w:tcW w:w="992" w:type="dxa"/>
            <w:vAlign w:val="center"/>
          </w:tcPr>
          <w:p>
            <w:pPr>
              <w:pStyle w:val="0"/>
              <w:jc w:val="center"/>
            </w:pPr>
            <w:r>
              <w:rPr>
                <w:sz w:val="20"/>
              </w:rPr>
              <w:t xml:space="preserve">84,6</w:t>
            </w:r>
          </w:p>
        </w:tc>
        <w:tc>
          <w:tcPr>
            <w:tcW w:w="913" w:type="dxa"/>
            <w:vAlign w:val="center"/>
          </w:tcPr>
          <w:p>
            <w:pPr>
              <w:pStyle w:val="0"/>
              <w:jc w:val="center"/>
            </w:pPr>
            <w:r>
              <w:rPr>
                <w:sz w:val="20"/>
              </w:rPr>
              <w:t xml:space="preserve">88,2</w:t>
            </w:r>
          </w:p>
        </w:tc>
        <w:tc>
          <w:tcPr>
            <w:tcW w:w="941" w:type="dxa"/>
            <w:vAlign w:val="center"/>
          </w:tcPr>
          <w:p>
            <w:pPr>
              <w:pStyle w:val="0"/>
              <w:jc w:val="center"/>
            </w:pPr>
            <w:r>
              <w:rPr>
                <w:sz w:val="20"/>
              </w:rPr>
              <w:t xml:space="preserve">88,1</w:t>
            </w:r>
          </w:p>
        </w:tc>
        <w:tc>
          <w:tcPr>
            <w:tcW w:w="1027" w:type="dxa"/>
            <w:vAlign w:val="center"/>
          </w:tcPr>
          <w:p>
            <w:pPr>
              <w:pStyle w:val="0"/>
              <w:jc w:val="center"/>
            </w:pPr>
            <w:r>
              <w:rPr>
                <w:sz w:val="20"/>
              </w:rPr>
              <w:t xml:space="preserve">99,9</w:t>
            </w:r>
          </w:p>
        </w:tc>
        <w:tc>
          <w:tcPr>
            <w:tcW w:w="821" w:type="dxa"/>
            <w:vAlign w:val="center"/>
          </w:tcPr>
          <w:p>
            <w:pPr>
              <w:pStyle w:val="0"/>
              <w:jc w:val="center"/>
            </w:pPr>
            <w:r>
              <w:rPr>
                <w:sz w:val="20"/>
              </w:rPr>
              <w:t xml:space="preserve">87,4</w:t>
            </w:r>
          </w:p>
        </w:tc>
        <w:tc>
          <w:tcPr>
            <w:tcW w:w="830" w:type="dxa"/>
            <w:vAlign w:val="center"/>
          </w:tcPr>
          <w:p>
            <w:pPr>
              <w:pStyle w:val="0"/>
              <w:jc w:val="center"/>
            </w:pPr>
            <w:r>
              <w:rPr>
                <w:sz w:val="20"/>
              </w:rPr>
              <w:t xml:space="preserve">75,1</w:t>
            </w:r>
          </w:p>
        </w:tc>
      </w:tr>
      <w:tr>
        <w:tc>
          <w:tcPr>
            <w:tcW w:w="3458" w:type="dxa"/>
            <w:vAlign w:val="center"/>
          </w:tcPr>
          <w:p>
            <w:pPr>
              <w:pStyle w:val="0"/>
              <w:ind w:firstLine="129"/>
            </w:pPr>
            <w:r>
              <w:rPr>
                <w:sz w:val="20"/>
              </w:rPr>
              <w:t xml:space="preserve">из них:</w:t>
            </w:r>
          </w:p>
        </w:tc>
        <w:tc>
          <w:tcPr>
            <w:tcW w:w="992" w:type="dxa"/>
            <w:vAlign w:val="center"/>
          </w:tcPr>
          <w:p>
            <w:pPr>
              <w:pStyle w:val="0"/>
            </w:pPr>
            <w:r>
              <w:rPr>
                <w:sz w:val="20"/>
              </w:rPr>
            </w:r>
          </w:p>
        </w:tc>
        <w:tc>
          <w:tcPr>
            <w:tcW w:w="913" w:type="dxa"/>
            <w:vAlign w:val="center"/>
          </w:tcPr>
          <w:p>
            <w:pPr>
              <w:pStyle w:val="0"/>
            </w:pPr>
            <w:r>
              <w:rPr>
                <w:sz w:val="20"/>
              </w:rPr>
            </w:r>
          </w:p>
        </w:tc>
        <w:tc>
          <w:tcPr>
            <w:tcW w:w="941" w:type="dxa"/>
            <w:vAlign w:val="center"/>
          </w:tcPr>
          <w:p>
            <w:pPr>
              <w:pStyle w:val="0"/>
            </w:pPr>
            <w:r>
              <w:rPr>
                <w:sz w:val="20"/>
              </w:rPr>
            </w:r>
          </w:p>
        </w:tc>
        <w:tc>
          <w:tcPr>
            <w:tcW w:w="1027" w:type="dxa"/>
            <w:vAlign w:val="center"/>
          </w:tcPr>
          <w:p>
            <w:pPr>
              <w:pStyle w:val="0"/>
            </w:pPr>
            <w:r>
              <w:rPr>
                <w:sz w:val="20"/>
              </w:rPr>
            </w:r>
          </w:p>
        </w:tc>
        <w:tc>
          <w:tcPr>
            <w:tcW w:w="821" w:type="dxa"/>
            <w:vAlign w:val="center"/>
          </w:tcPr>
          <w:p>
            <w:pPr>
              <w:pStyle w:val="0"/>
            </w:pPr>
            <w:r>
              <w:rPr>
                <w:sz w:val="20"/>
              </w:rPr>
            </w:r>
          </w:p>
        </w:tc>
        <w:tc>
          <w:tcPr>
            <w:tcW w:w="830" w:type="dxa"/>
            <w:vAlign w:val="center"/>
          </w:tcPr>
          <w:p>
            <w:pPr>
              <w:pStyle w:val="0"/>
            </w:pPr>
            <w:r>
              <w:rPr>
                <w:sz w:val="20"/>
              </w:rPr>
            </w:r>
          </w:p>
        </w:tc>
      </w:tr>
      <w:tr>
        <w:tc>
          <w:tcPr>
            <w:tcW w:w="3458" w:type="dxa"/>
            <w:vAlign w:val="center"/>
          </w:tcPr>
          <w:p>
            <w:pPr>
              <w:pStyle w:val="0"/>
              <w:ind w:left="271"/>
            </w:pPr>
            <w:r>
              <w:rPr>
                <w:sz w:val="20"/>
              </w:rPr>
              <w:t xml:space="preserve">от всех видов транспортных несчастных случаев</w:t>
            </w:r>
          </w:p>
        </w:tc>
        <w:tc>
          <w:tcPr>
            <w:tcW w:w="992" w:type="dxa"/>
            <w:vAlign w:val="center"/>
          </w:tcPr>
          <w:p>
            <w:pPr>
              <w:pStyle w:val="0"/>
              <w:jc w:val="center"/>
            </w:pPr>
            <w:r>
              <w:rPr>
                <w:sz w:val="20"/>
              </w:rPr>
              <w:t xml:space="preserve">17,6</w:t>
            </w:r>
          </w:p>
        </w:tc>
        <w:tc>
          <w:tcPr>
            <w:tcW w:w="913" w:type="dxa"/>
            <w:vAlign w:val="center"/>
          </w:tcPr>
          <w:p>
            <w:pPr>
              <w:pStyle w:val="0"/>
              <w:jc w:val="center"/>
            </w:pPr>
            <w:r>
              <w:rPr>
                <w:sz w:val="20"/>
              </w:rPr>
              <w:t xml:space="preserve">19,3</w:t>
            </w:r>
          </w:p>
        </w:tc>
        <w:tc>
          <w:tcPr>
            <w:tcW w:w="941" w:type="dxa"/>
            <w:vAlign w:val="center"/>
          </w:tcPr>
          <w:p>
            <w:pPr>
              <w:pStyle w:val="0"/>
              <w:jc w:val="center"/>
            </w:pPr>
            <w:r>
              <w:rPr>
                <w:sz w:val="20"/>
              </w:rPr>
              <w:t xml:space="preserve">18,4</w:t>
            </w:r>
          </w:p>
        </w:tc>
        <w:tc>
          <w:tcPr>
            <w:tcW w:w="1027" w:type="dxa"/>
            <w:vAlign w:val="center"/>
          </w:tcPr>
          <w:p>
            <w:pPr>
              <w:pStyle w:val="0"/>
              <w:jc w:val="center"/>
            </w:pPr>
            <w:r>
              <w:rPr>
                <w:sz w:val="20"/>
              </w:rPr>
              <w:t xml:space="preserve">95,3</w:t>
            </w:r>
          </w:p>
        </w:tc>
        <w:tc>
          <w:tcPr>
            <w:tcW w:w="821" w:type="dxa"/>
            <w:vAlign w:val="center"/>
          </w:tcPr>
          <w:p>
            <w:pPr>
              <w:pStyle w:val="0"/>
              <w:jc w:val="center"/>
            </w:pPr>
            <w:r>
              <w:rPr>
                <w:sz w:val="20"/>
              </w:rPr>
              <w:t xml:space="preserve">12,0</w:t>
            </w:r>
          </w:p>
        </w:tc>
        <w:tc>
          <w:tcPr>
            <w:tcW w:w="830" w:type="dxa"/>
            <w:vAlign w:val="center"/>
          </w:tcPr>
          <w:p>
            <w:pPr>
              <w:pStyle w:val="0"/>
              <w:jc w:val="center"/>
            </w:pPr>
            <w:r>
              <w:rPr>
                <w:sz w:val="20"/>
              </w:rPr>
              <w:t xml:space="preserve">12,0</w:t>
            </w:r>
          </w:p>
        </w:tc>
      </w:tr>
      <w:tr>
        <w:tc>
          <w:tcPr>
            <w:tcW w:w="3458" w:type="dxa"/>
            <w:vAlign w:val="center"/>
          </w:tcPr>
          <w:p>
            <w:pPr>
              <w:pStyle w:val="0"/>
              <w:ind w:firstLine="129"/>
            </w:pPr>
            <w:r>
              <w:rPr>
                <w:sz w:val="20"/>
              </w:rPr>
              <w:t xml:space="preserve">в том числе от ДТП</w:t>
            </w:r>
          </w:p>
        </w:tc>
        <w:tc>
          <w:tcPr>
            <w:tcW w:w="992" w:type="dxa"/>
            <w:vAlign w:val="center"/>
          </w:tcPr>
          <w:p>
            <w:pPr>
              <w:pStyle w:val="0"/>
              <w:jc w:val="center"/>
            </w:pPr>
            <w:r>
              <w:rPr>
                <w:sz w:val="20"/>
              </w:rPr>
              <w:t xml:space="preserve">12,9</w:t>
            </w:r>
          </w:p>
        </w:tc>
        <w:tc>
          <w:tcPr>
            <w:tcW w:w="913" w:type="dxa"/>
            <w:vAlign w:val="center"/>
          </w:tcPr>
          <w:p>
            <w:pPr>
              <w:pStyle w:val="0"/>
              <w:jc w:val="center"/>
            </w:pPr>
            <w:r>
              <w:rPr>
                <w:sz w:val="20"/>
              </w:rPr>
              <w:t xml:space="preserve">13,4</w:t>
            </w:r>
          </w:p>
        </w:tc>
        <w:tc>
          <w:tcPr>
            <w:tcW w:w="941" w:type="dxa"/>
            <w:vAlign w:val="center"/>
          </w:tcPr>
          <w:p>
            <w:pPr>
              <w:pStyle w:val="0"/>
              <w:jc w:val="center"/>
            </w:pPr>
            <w:r>
              <w:rPr>
                <w:sz w:val="20"/>
              </w:rPr>
              <w:t xml:space="preserve">15,3</w:t>
            </w:r>
          </w:p>
        </w:tc>
        <w:tc>
          <w:tcPr>
            <w:tcW w:w="1027" w:type="dxa"/>
            <w:vAlign w:val="center"/>
          </w:tcPr>
          <w:p>
            <w:pPr>
              <w:pStyle w:val="0"/>
              <w:jc w:val="center"/>
            </w:pPr>
            <w:r>
              <w:rPr>
                <w:sz w:val="20"/>
              </w:rPr>
              <w:t xml:space="preserve">114,2</w:t>
            </w:r>
          </w:p>
        </w:tc>
        <w:tc>
          <w:tcPr>
            <w:tcW w:w="821" w:type="dxa"/>
            <w:vAlign w:val="center"/>
          </w:tcPr>
          <w:p>
            <w:pPr>
              <w:pStyle w:val="0"/>
              <w:jc w:val="center"/>
            </w:pPr>
            <w:r>
              <w:rPr>
                <w:sz w:val="20"/>
              </w:rPr>
              <w:t xml:space="preserve">9,1</w:t>
            </w:r>
          </w:p>
        </w:tc>
        <w:tc>
          <w:tcPr>
            <w:tcW w:w="830" w:type="dxa"/>
            <w:vAlign w:val="center"/>
          </w:tcPr>
          <w:p>
            <w:pPr>
              <w:pStyle w:val="0"/>
              <w:jc w:val="center"/>
            </w:pPr>
            <w:r>
              <w:rPr>
                <w:sz w:val="20"/>
              </w:rPr>
              <w:t xml:space="preserve">7,8</w:t>
            </w:r>
          </w:p>
        </w:tc>
      </w:tr>
      <w:tr>
        <w:tc>
          <w:tcPr>
            <w:tcW w:w="3458" w:type="dxa"/>
            <w:vAlign w:val="center"/>
          </w:tcPr>
          <w:p>
            <w:pPr>
              <w:pStyle w:val="0"/>
              <w:ind w:firstLine="129"/>
            </w:pPr>
            <w:r>
              <w:rPr>
                <w:sz w:val="20"/>
              </w:rPr>
              <w:t xml:space="preserve">случайных отравлений алкоголем</w:t>
            </w:r>
          </w:p>
        </w:tc>
        <w:tc>
          <w:tcPr>
            <w:tcW w:w="992" w:type="dxa"/>
            <w:vAlign w:val="center"/>
          </w:tcPr>
          <w:p>
            <w:pPr>
              <w:pStyle w:val="0"/>
              <w:jc w:val="center"/>
            </w:pPr>
            <w:r>
              <w:rPr>
                <w:sz w:val="20"/>
              </w:rPr>
              <w:t xml:space="preserve">2,8</w:t>
            </w:r>
          </w:p>
        </w:tc>
        <w:tc>
          <w:tcPr>
            <w:tcW w:w="913" w:type="dxa"/>
            <w:vAlign w:val="center"/>
          </w:tcPr>
          <w:p>
            <w:pPr>
              <w:pStyle w:val="0"/>
              <w:jc w:val="center"/>
            </w:pPr>
            <w:r>
              <w:rPr>
                <w:sz w:val="20"/>
              </w:rPr>
              <w:t xml:space="preserve">3,0</w:t>
            </w:r>
          </w:p>
        </w:tc>
        <w:tc>
          <w:tcPr>
            <w:tcW w:w="941" w:type="dxa"/>
            <w:vAlign w:val="center"/>
          </w:tcPr>
          <w:p>
            <w:pPr>
              <w:pStyle w:val="0"/>
              <w:jc w:val="center"/>
            </w:pPr>
            <w:r>
              <w:rPr>
                <w:sz w:val="20"/>
              </w:rPr>
              <w:t xml:space="preserve">7,2</w:t>
            </w:r>
          </w:p>
        </w:tc>
        <w:tc>
          <w:tcPr>
            <w:tcW w:w="1027" w:type="dxa"/>
            <w:vAlign w:val="center"/>
          </w:tcPr>
          <w:p>
            <w:pPr>
              <w:pStyle w:val="0"/>
              <w:jc w:val="center"/>
            </w:pPr>
            <w:r>
              <w:rPr>
                <w:sz w:val="20"/>
              </w:rPr>
              <w:t xml:space="preserve">240,0</w:t>
            </w:r>
          </w:p>
        </w:tc>
        <w:tc>
          <w:tcPr>
            <w:tcW w:w="821" w:type="dxa"/>
            <w:vAlign w:val="center"/>
          </w:tcPr>
          <w:p>
            <w:pPr>
              <w:pStyle w:val="0"/>
              <w:jc w:val="center"/>
            </w:pPr>
            <w:r>
              <w:rPr>
                <w:sz w:val="20"/>
              </w:rPr>
              <w:t xml:space="preserve">4,4</w:t>
            </w:r>
          </w:p>
        </w:tc>
        <w:tc>
          <w:tcPr>
            <w:tcW w:w="830" w:type="dxa"/>
            <w:vAlign w:val="center"/>
          </w:tcPr>
          <w:p>
            <w:pPr>
              <w:pStyle w:val="0"/>
              <w:jc w:val="center"/>
            </w:pPr>
            <w:r>
              <w:rPr>
                <w:sz w:val="20"/>
              </w:rPr>
              <w:t xml:space="preserve">4,6</w:t>
            </w:r>
          </w:p>
        </w:tc>
      </w:tr>
      <w:tr>
        <w:tc>
          <w:tcPr>
            <w:tcW w:w="3458" w:type="dxa"/>
            <w:vAlign w:val="center"/>
          </w:tcPr>
          <w:p>
            <w:pPr>
              <w:pStyle w:val="0"/>
              <w:ind w:firstLine="129"/>
            </w:pPr>
            <w:r>
              <w:rPr>
                <w:sz w:val="20"/>
              </w:rPr>
              <w:t xml:space="preserve">самоубийств</w:t>
            </w:r>
          </w:p>
        </w:tc>
        <w:tc>
          <w:tcPr>
            <w:tcW w:w="992" w:type="dxa"/>
            <w:vAlign w:val="center"/>
          </w:tcPr>
          <w:p>
            <w:pPr>
              <w:pStyle w:val="0"/>
              <w:jc w:val="center"/>
            </w:pPr>
            <w:r>
              <w:rPr>
                <w:sz w:val="20"/>
              </w:rPr>
              <w:t xml:space="preserve">6,2</w:t>
            </w:r>
          </w:p>
        </w:tc>
        <w:tc>
          <w:tcPr>
            <w:tcW w:w="913" w:type="dxa"/>
            <w:vAlign w:val="center"/>
          </w:tcPr>
          <w:p>
            <w:pPr>
              <w:pStyle w:val="0"/>
              <w:jc w:val="center"/>
            </w:pPr>
            <w:r>
              <w:rPr>
                <w:sz w:val="20"/>
              </w:rPr>
              <w:t xml:space="preserve">8,4</w:t>
            </w:r>
          </w:p>
        </w:tc>
        <w:tc>
          <w:tcPr>
            <w:tcW w:w="941" w:type="dxa"/>
            <w:vAlign w:val="center"/>
          </w:tcPr>
          <w:p>
            <w:pPr>
              <w:pStyle w:val="0"/>
              <w:jc w:val="center"/>
            </w:pPr>
            <w:r>
              <w:rPr>
                <w:sz w:val="20"/>
              </w:rPr>
              <w:t xml:space="preserve">11,0</w:t>
            </w:r>
          </w:p>
        </w:tc>
        <w:tc>
          <w:tcPr>
            <w:tcW w:w="1027" w:type="dxa"/>
            <w:vAlign w:val="center"/>
          </w:tcPr>
          <w:p>
            <w:pPr>
              <w:pStyle w:val="0"/>
              <w:jc w:val="center"/>
            </w:pPr>
            <w:r>
              <w:rPr>
                <w:sz w:val="20"/>
              </w:rPr>
              <w:t xml:space="preserve">131,0</w:t>
            </w:r>
          </w:p>
        </w:tc>
        <w:tc>
          <w:tcPr>
            <w:tcW w:w="821" w:type="dxa"/>
            <w:vAlign w:val="center"/>
          </w:tcPr>
          <w:p>
            <w:pPr>
              <w:pStyle w:val="0"/>
              <w:jc w:val="center"/>
            </w:pPr>
            <w:r>
              <w:rPr>
                <w:sz w:val="20"/>
              </w:rPr>
              <w:t xml:space="preserve">11,6</w:t>
            </w:r>
          </w:p>
        </w:tc>
        <w:tc>
          <w:tcPr>
            <w:tcW w:w="830" w:type="dxa"/>
            <w:vAlign w:val="center"/>
          </w:tcPr>
          <w:p>
            <w:pPr>
              <w:pStyle w:val="0"/>
              <w:jc w:val="center"/>
            </w:pPr>
            <w:r>
              <w:rPr>
                <w:sz w:val="20"/>
              </w:rPr>
              <w:t xml:space="preserve">8,1</w:t>
            </w:r>
          </w:p>
        </w:tc>
      </w:tr>
      <w:tr>
        <w:tc>
          <w:tcPr>
            <w:tcW w:w="3458" w:type="dxa"/>
            <w:vAlign w:val="center"/>
          </w:tcPr>
          <w:p>
            <w:pPr>
              <w:pStyle w:val="0"/>
              <w:ind w:firstLine="129"/>
            </w:pPr>
            <w:r>
              <w:rPr>
                <w:sz w:val="20"/>
              </w:rPr>
              <w:t xml:space="preserve">убийств</w:t>
            </w:r>
          </w:p>
        </w:tc>
        <w:tc>
          <w:tcPr>
            <w:tcW w:w="992" w:type="dxa"/>
            <w:vAlign w:val="center"/>
          </w:tcPr>
          <w:p>
            <w:pPr>
              <w:pStyle w:val="0"/>
              <w:jc w:val="center"/>
            </w:pPr>
            <w:r>
              <w:rPr>
                <w:sz w:val="20"/>
              </w:rPr>
              <w:t xml:space="preserve">2,9</w:t>
            </w:r>
          </w:p>
        </w:tc>
        <w:tc>
          <w:tcPr>
            <w:tcW w:w="913" w:type="dxa"/>
            <w:vAlign w:val="center"/>
          </w:tcPr>
          <w:p>
            <w:pPr>
              <w:pStyle w:val="0"/>
              <w:jc w:val="center"/>
            </w:pPr>
            <w:r>
              <w:rPr>
                <w:sz w:val="20"/>
              </w:rPr>
              <w:t xml:space="preserve">4,6</w:t>
            </w:r>
          </w:p>
        </w:tc>
        <w:tc>
          <w:tcPr>
            <w:tcW w:w="941" w:type="dxa"/>
            <w:vAlign w:val="center"/>
          </w:tcPr>
          <w:p>
            <w:pPr>
              <w:pStyle w:val="0"/>
              <w:jc w:val="center"/>
            </w:pPr>
            <w:r>
              <w:rPr>
                <w:sz w:val="20"/>
              </w:rPr>
              <w:t xml:space="preserve">4,1</w:t>
            </w:r>
          </w:p>
        </w:tc>
        <w:tc>
          <w:tcPr>
            <w:tcW w:w="1027" w:type="dxa"/>
            <w:vAlign w:val="center"/>
          </w:tcPr>
          <w:p>
            <w:pPr>
              <w:pStyle w:val="0"/>
              <w:jc w:val="center"/>
            </w:pPr>
            <w:r>
              <w:rPr>
                <w:sz w:val="20"/>
              </w:rPr>
              <w:t xml:space="preserve">89,1</w:t>
            </w:r>
          </w:p>
        </w:tc>
        <w:tc>
          <w:tcPr>
            <w:tcW w:w="821" w:type="dxa"/>
            <w:vAlign w:val="center"/>
          </w:tcPr>
          <w:p>
            <w:pPr>
              <w:pStyle w:val="0"/>
              <w:jc w:val="center"/>
            </w:pPr>
            <w:r>
              <w:rPr>
                <w:sz w:val="20"/>
              </w:rPr>
              <w:t xml:space="preserve">4,9</w:t>
            </w:r>
          </w:p>
        </w:tc>
        <w:tc>
          <w:tcPr>
            <w:tcW w:w="830" w:type="dxa"/>
            <w:vAlign w:val="center"/>
          </w:tcPr>
          <w:p>
            <w:pPr>
              <w:pStyle w:val="0"/>
              <w:jc w:val="center"/>
            </w:pPr>
            <w:r>
              <w:rPr>
                <w:sz w:val="20"/>
              </w:rPr>
              <w:t xml:space="preserve">3,8</w:t>
            </w:r>
          </w:p>
        </w:tc>
      </w:tr>
    </w:tbl>
    <w:p>
      <w:pPr>
        <w:pStyle w:val="0"/>
        <w:jc w:val="both"/>
      </w:pPr>
      <w:r>
        <w:rPr>
          <w:sz w:val="20"/>
        </w:rPr>
      </w:r>
    </w:p>
    <w:p>
      <w:pPr>
        <w:pStyle w:val="0"/>
        <w:ind w:firstLine="540"/>
        <w:jc w:val="both"/>
      </w:pPr>
      <w:r>
        <w:rPr>
          <w:sz w:val="20"/>
        </w:rPr>
        <w:t xml:space="preserve">С 2011 года в регионе наблюдался миграционный прирост населения, с 2013 года его увеличение большей частью обусловил политический кризис на Украине, который способствовал переселению украинских граждан в Курскую область до 2016 года включительно. В 2017 - 2018 гг. в регионе наблюдалась миграционная убыль населения.</w:t>
      </w:r>
    </w:p>
    <w:p>
      <w:pPr>
        <w:pStyle w:val="0"/>
        <w:spacing w:before="200" w:line-rule="auto"/>
        <w:ind w:firstLine="540"/>
        <w:jc w:val="both"/>
      </w:pPr>
      <w:r>
        <w:rPr>
          <w:sz w:val="20"/>
        </w:rPr>
        <w:t xml:space="preserve">При этом, Курская область является достаточно привлекательной для иностранных граждан. За период с 2016 по 2019 годы включительно:</w:t>
      </w:r>
    </w:p>
    <w:p>
      <w:pPr>
        <w:pStyle w:val="0"/>
        <w:spacing w:before="200" w:line-rule="auto"/>
        <w:ind w:firstLine="540"/>
        <w:jc w:val="both"/>
      </w:pPr>
      <w:r>
        <w:rPr>
          <w:sz w:val="20"/>
        </w:rPr>
        <w:t xml:space="preserve">- приняли участие в программе Курской области по оказанию содействия добровольному переселению в Российскую Федерацию соотечественников, проживающих за рубежом, - 7530 человек;</w:t>
      </w:r>
    </w:p>
    <w:p>
      <w:pPr>
        <w:pStyle w:val="0"/>
        <w:spacing w:before="200" w:line-rule="auto"/>
        <w:ind w:firstLine="540"/>
        <w:jc w:val="both"/>
      </w:pPr>
      <w:r>
        <w:rPr>
          <w:sz w:val="20"/>
        </w:rPr>
        <w:t xml:space="preserve">- выдано 14495 разрешений на временное проживание и 8419 видов на жительство на территории Российской Федерации;</w:t>
      </w:r>
    </w:p>
    <w:p>
      <w:pPr>
        <w:pStyle w:val="0"/>
        <w:spacing w:before="200" w:line-rule="auto"/>
        <w:ind w:firstLine="540"/>
        <w:jc w:val="both"/>
      </w:pPr>
      <w:r>
        <w:rPr>
          <w:sz w:val="20"/>
        </w:rPr>
        <w:t xml:space="preserve">- приобрели гражданство Российской Федерации 18158 человек.</w:t>
      </w:r>
    </w:p>
    <w:p>
      <w:pPr>
        <w:pStyle w:val="0"/>
        <w:spacing w:before="200" w:line-rule="auto"/>
        <w:ind w:firstLine="540"/>
        <w:jc w:val="both"/>
      </w:pPr>
      <w:r>
        <w:rPr>
          <w:sz w:val="20"/>
        </w:rPr>
        <w:t xml:space="preserve">Основные миграционные потоки - из Украины, Узбекистана, Армении, Белоруссии и Таджикистана.</w:t>
      </w:r>
    </w:p>
    <w:p>
      <w:pPr>
        <w:pStyle w:val="0"/>
        <w:spacing w:before="200" w:line-rule="auto"/>
        <w:ind w:firstLine="540"/>
        <w:jc w:val="both"/>
      </w:pPr>
      <w:r>
        <w:rPr>
          <w:sz w:val="20"/>
        </w:rPr>
        <w:t xml:space="preserve">Кроме этого, Курская область является одним из центров Российской Федерации по линии образовательной миграции. В профессиональных образовательных организациях и образовательных организациях высшего образования региона одновременно обучается почти 4 тысячи иностранных студентов из 89 стран мира.</w:t>
      </w:r>
    </w:p>
    <w:p>
      <w:pPr>
        <w:pStyle w:val="0"/>
        <w:spacing w:before="200" w:line-rule="auto"/>
        <w:ind w:firstLine="540"/>
        <w:jc w:val="both"/>
      </w:pPr>
      <w:r>
        <w:rPr>
          <w:sz w:val="20"/>
        </w:rPr>
        <w:t xml:space="preserve">Согласно проведенным социологическим исследованиям Курская область относится к моноэтническим регионам с низкой вероятностью межэтнических конфликтов.</w:t>
      </w:r>
    </w:p>
    <w:p>
      <w:pPr>
        <w:pStyle w:val="0"/>
        <w:jc w:val="both"/>
      </w:pPr>
      <w:r>
        <w:rPr>
          <w:sz w:val="20"/>
        </w:rPr>
      </w:r>
    </w:p>
    <w:p>
      <w:pPr>
        <w:pStyle w:val="0"/>
        <w:jc w:val="center"/>
      </w:pPr>
      <w:r>
        <w:rPr>
          <w:position w:val="-269"/>
        </w:rPr>
        <w:drawing>
          <wp:inline distT="0" distB="0" distL="0" distR="0">
            <wp:extent cx="5041265" cy="3554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5041265" cy="355409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3. Естественный прирост (убыль) населения</w:t>
      </w:r>
    </w:p>
    <w:p>
      <w:pPr>
        <w:pStyle w:val="2"/>
        <w:jc w:val="center"/>
      </w:pPr>
      <w:r>
        <w:rPr>
          <w:sz w:val="20"/>
        </w:rPr>
        <w:t xml:space="preserve">Курской области</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ind w:firstLine="540"/>
        <w:jc w:val="both"/>
      </w:pPr>
      <w:r>
        <w:rPr>
          <w:sz w:val="20"/>
        </w:rPr>
        <w:t xml:space="preserve">По ожидаемой продолжительности жизни при рождении Курская область (71,91 года) занимает место в пятом десятке в России (72,91 года). Показатель с 2001 по 2018 годы вырос на 6,59 года (по России в целом - на 7,6 года). Фиксируется снижение численности населения трудоспособного возраста (60,5% в общей численности населения в 2005 году, в 2018 году - 54,0%), увеличивается доля населения старше трудоспособного возраста: если в 2005 году эта категория составляла 24,3% от общей численности населения, то в 2018 году - уже 29,1%.</w:t>
      </w:r>
    </w:p>
    <w:p>
      <w:pPr>
        <w:pStyle w:val="0"/>
        <w:spacing w:before="200" w:line-rule="auto"/>
        <w:ind w:firstLine="540"/>
        <w:jc w:val="both"/>
      </w:pPr>
      <w:r>
        <w:rPr>
          <w:sz w:val="20"/>
        </w:rPr>
        <w:t xml:space="preserve">Современная стратегия развития системы здравоохранения Курской области ориентирована на повышение доступности и качества медицинской помощи, эффективное использование ресурсов здравоохранения на основе структурного преобразования системы оказания первичной медико-санитарной помощи, развития института профилактической медицины и внедрения инновационных методов лечения заболеваний, являющихся основными причинами смертности населения Курской области.</w:t>
      </w:r>
    </w:p>
    <w:p>
      <w:pPr>
        <w:pStyle w:val="0"/>
        <w:spacing w:before="200" w:line-rule="auto"/>
        <w:ind w:firstLine="540"/>
        <w:jc w:val="both"/>
      </w:pPr>
      <w:r>
        <w:rPr>
          <w:sz w:val="20"/>
        </w:rPr>
        <w:t xml:space="preserve">Число медицинских организаций, подведомственных комитету здравоохранения Курской области и оказывающих медицинскую помощь в стационарных условиях, составило в 2019 году составило 50. Число больничных коек в расчете на 10000 человек составило в 2019 году 79,34 (в 2017 году - 78,56). Число фельдшерско-акушерских пунктов (ФАП) составило в 2019 году 599 (в 2017 году - 603). Изменение количества ФАП связано с изменением численности населения в зонах обслуживания (уменьшение количества населения ниже 100 человек) и соответственное закрытие указанных ФАП. Стоит отметить, что наряду с закрытием ФАП, в 2019 году было введено в эксплуатацию 2 ФАПа - в Касторенском и Курском районах.</w:t>
      </w:r>
    </w:p>
    <w:p>
      <w:pPr>
        <w:pStyle w:val="0"/>
        <w:spacing w:before="200" w:line-rule="auto"/>
        <w:ind w:firstLine="540"/>
        <w:jc w:val="both"/>
      </w:pPr>
      <w:r>
        <w:rPr>
          <w:sz w:val="20"/>
        </w:rPr>
        <w:t xml:space="preserve">Число врачей всех специальностей в расчете на 10000 населения составило в 2019 году 42,43 (в 2017 году - 41,99). Увеличения данного показателя удалось добиться за счет проведенной работы по привлечению на работу врачей, в том числе в сельскую местность.</w:t>
      </w:r>
    </w:p>
    <w:p>
      <w:pPr>
        <w:pStyle w:val="0"/>
        <w:spacing w:before="200" w:line-rule="auto"/>
        <w:ind w:firstLine="540"/>
        <w:jc w:val="both"/>
      </w:pPr>
      <w:r>
        <w:rPr>
          <w:sz w:val="20"/>
        </w:rPr>
        <w:t xml:space="preserve">Численность среднего медицинского персонала в расчете на 10000 населения составило в 2019 году 93,96 (в 2017 году - 93,66).</w:t>
      </w:r>
    </w:p>
    <w:p>
      <w:pPr>
        <w:pStyle w:val="0"/>
        <w:spacing w:before="200" w:line-rule="auto"/>
        <w:ind w:firstLine="540"/>
        <w:jc w:val="both"/>
      </w:pPr>
      <w:r>
        <w:rPr>
          <w:sz w:val="20"/>
        </w:rPr>
        <w:t xml:space="preserve">В течение 2019 года в области реализованы мероприятия 7 региональных проектов, входящих в национальный проект "Здравоохранение".</w:t>
      </w:r>
    </w:p>
    <w:p>
      <w:pPr>
        <w:pStyle w:val="0"/>
        <w:spacing w:before="200" w:line-rule="auto"/>
        <w:ind w:firstLine="540"/>
        <w:jc w:val="both"/>
      </w:pPr>
      <w:r>
        <w:rPr>
          <w:sz w:val="20"/>
        </w:rPr>
        <w:t xml:space="preserve">В рамках реализации регионального проекта "Развитие системы оказания первичной медико-санитарной помощи в Курской области" введены в эксплуатацию 6 фельдшерско-акушерских пунктов. Приобретен 21 передвижной медицинский комплекс для оказания медицинской помощи жителям населенных пунктов с численностью населения до 100 человек.</w:t>
      </w:r>
    </w:p>
    <w:p>
      <w:pPr>
        <w:pStyle w:val="0"/>
        <w:spacing w:before="200" w:line-rule="auto"/>
        <w:ind w:firstLine="540"/>
        <w:jc w:val="both"/>
      </w:pPr>
      <w:r>
        <w:rPr>
          <w:sz w:val="20"/>
        </w:rPr>
        <w:t xml:space="preserve">8 медицинских организаций участвуют в создании и тиражировании новой модели медицинской организации, оказывающей первичную медико-санитарную помощь, в которых реализуются проекты с использованием методов бережливого производства.</w:t>
      </w:r>
    </w:p>
    <w:p>
      <w:pPr>
        <w:pStyle w:val="0"/>
        <w:spacing w:before="200" w:line-rule="auto"/>
        <w:ind w:firstLine="540"/>
        <w:jc w:val="both"/>
      </w:pPr>
      <w:r>
        <w:rPr>
          <w:sz w:val="20"/>
        </w:rPr>
        <w:t xml:space="preserve">По итогам 2019 года число лиц, прошедших профилактические осмотры и диспансеризацию, составило 597 тыс. человек (105% от планового значения). Впервые выявлено 10034 случаев заболеваний, в том числе: злокачественных новообразований - 817, болезней системы кровообращения - 2747, болезней эндокринной системы - 3709, болезней органов дыхания - 213, болезней органов пищеварения - 251.</w:t>
      </w:r>
    </w:p>
    <w:p>
      <w:pPr>
        <w:pStyle w:val="0"/>
        <w:spacing w:before="200" w:line-rule="auto"/>
        <w:ind w:firstLine="540"/>
        <w:jc w:val="both"/>
      </w:pPr>
      <w:r>
        <w:rPr>
          <w:sz w:val="20"/>
        </w:rPr>
        <w:t xml:space="preserve">В 2019 году в 15 детских поликлиниках и поликлинических отделениях завершен капитальный ремонт, дооснащено медицинскими изделиями 8 детских поликлиник и поликлинических отделений, начато оснащение еще 8 детских поликлиник и поликлинических отделений.</w:t>
      </w:r>
    </w:p>
    <w:p>
      <w:pPr>
        <w:pStyle w:val="0"/>
        <w:spacing w:before="200" w:line-rule="auto"/>
        <w:ind w:firstLine="540"/>
        <w:jc w:val="both"/>
      </w:pPr>
      <w:r>
        <w:rPr>
          <w:sz w:val="20"/>
        </w:rPr>
        <w:t xml:space="preserve">Проведено переоснащение медицинским оборудованием регионального сосудистого центра (БМУ "Курская областная клиническая больница"), ПСО N 3 (ОБУЗ "Железногорская городская больница N 2"), из федерального бюджета на эти цели поступило 115,8 млн. рублей, которые полностью освоены.</w:t>
      </w:r>
    </w:p>
    <w:p>
      <w:pPr>
        <w:pStyle w:val="0"/>
        <w:spacing w:before="200" w:line-rule="auto"/>
        <w:ind w:firstLine="540"/>
        <w:jc w:val="both"/>
      </w:pPr>
      <w:r>
        <w:rPr>
          <w:sz w:val="20"/>
        </w:rPr>
        <w:t xml:space="preserve">По итогам 2019 года больничная летальность от острого инфаркта миокарда составила 16,5 случаев на 100 тыс. населения, что на 6,2% ниже целевого показателя (17,6), от инсульта - 17,2 случаев на 100 тыс. населения, что на 3,9% ниже целевого показателя (17,9).</w:t>
      </w:r>
    </w:p>
    <w:p>
      <w:pPr>
        <w:pStyle w:val="0"/>
        <w:spacing w:before="200" w:line-rule="auto"/>
        <w:ind w:firstLine="540"/>
        <w:jc w:val="both"/>
      </w:pPr>
      <w:r>
        <w:rPr>
          <w:sz w:val="20"/>
        </w:rPr>
        <w:t xml:space="preserve">Однако, смертность от инсульта составила 105,8 случаев на 100 тыс. населения, что на 5,2% выше целевого показателя (100,5), смертность от острого инфаркта миокарда составила 45,8 случаев на 100 тыс. населения, что выше на 0,4% целевого показателя (45,6).</w:t>
      </w:r>
    </w:p>
    <w:p>
      <w:pPr>
        <w:pStyle w:val="0"/>
        <w:spacing w:before="200" w:line-rule="auto"/>
        <w:ind w:firstLine="540"/>
        <w:jc w:val="both"/>
      </w:pPr>
      <w:r>
        <w:rPr>
          <w:sz w:val="20"/>
        </w:rPr>
        <w:t xml:space="preserve">В 2019 году завершено строительство и введен в строй операционный блок Курского областного онкологического диспансера, в котором разместились 10 современных операционных, отделение реанимации с комнатами пробуждения, и здание стационара (мощностью 340 коек) с отделениями химиотерапии и хирургическими отделениями по локализациям. В настоящее время центр работает на полную мощность.</w:t>
      </w:r>
    </w:p>
    <w:p>
      <w:pPr>
        <w:pStyle w:val="0"/>
        <w:spacing w:before="200" w:line-rule="auto"/>
        <w:ind w:firstLine="540"/>
        <w:jc w:val="both"/>
      </w:pPr>
      <w:r>
        <w:rPr>
          <w:sz w:val="20"/>
        </w:rPr>
        <w:t xml:space="preserve">Проводилось переоснащение медицинским оборудованием медицинских организаций, оказывающих помощь онкологическим больным, - приобретено 40 единиц медицинского оборудования на общую сумму 253,5 млн. рублей.</w:t>
      </w:r>
    </w:p>
    <w:p>
      <w:pPr>
        <w:pStyle w:val="0"/>
        <w:spacing w:before="200" w:line-rule="auto"/>
        <w:ind w:firstLine="540"/>
        <w:jc w:val="both"/>
      </w:pPr>
      <w:r>
        <w:rPr>
          <w:sz w:val="20"/>
        </w:rPr>
        <w:t xml:space="preserve">По итогам 2019 года снижение смертности от новообразований, в том числе от злокачественных (до 185 случаев на 100 тыс. населения), составило 236,5; доля злокачественных новообразований, выявленных на ранних стадиях (I - II стадии), - 57,8%; удельный вес больных со злокачественными новообразованиями, состоящих на учете 5 лет и более, - 54,5%; одногодичная летальность больных со злокачественными новообразованиями - 21%.</w:t>
      </w:r>
    </w:p>
    <w:p>
      <w:pPr>
        <w:pStyle w:val="0"/>
        <w:spacing w:before="200" w:line-rule="auto"/>
        <w:ind w:firstLine="540"/>
        <w:jc w:val="both"/>
      </w:pPr>
      <w:r>
        <w:rPr>
          <w:sz w:val="20"/>
        </w:rPr>
        <w:t xml:space="preserve">В рамках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проведены закупки информационно-коммуникационного оборудования и программного обеспечения для оснащения государственных медицинских организаций на 51,9 млн. рублей.</w:t>
      </w:r>
    </w:p>
    <w:p>
      <w:pPr>
        <w:pStyle w:val="0"/>
        <w:spacing w:before="200" w:line-rule="auto"/>
        <w:ind w:firstLine="540"/>
        <w:jc w:val="both"/>
      </w:pPr>
      <w:r>
        <w:rPr>
          <w:sz w:val="20"/>
        </w:rPr>
        <w:t xml:space="preserve">Проведены работы по модернизации и развитию централизованной региональной государственной системы "Управление скорой и неотложной медицинской помощью (в том числе санитарной авиации)", взаимодействующей с "Системой 112", на 28,4 млн. рублей; по модернизации и развитию государственной информационной системы в сфере здравоохранения Курской области, в части региональной централизованной системы (подсистемы) "Управление льготным лекарственным обеспечением", на 11,3 млн. рублей.</w:t>
      </w:r>
    </w:p>
    <w:p>
      <w:pPr>
        <w:pStyle w:val="0"/>
        <w:spacing w:before="200" w:line-rule="auto"/>
        <w:ind w:firstLine="540"/>
        <w:jc w:val="both"/>
      </w:pPr>
      <w:r>
        <w:rPr>
          <w:sz w:val="20"/>
        </w:rPr>
        <w:t xml:space="preserve">В целях сокращения дефицита медицинских кадров в государственных учреждениях здравоохранения Курской области действует региональный проект "Обеспечение медицинских организаций Курской области квалифицированными кадрами". В 2019 году заключено 116 договоров с гражданами на обучение по программам специалитета и 124 договора на обучение по программам ординатуры.</w:t>
      </w:r>
    </w:p>
    <w:p>
      <w:pPr>
        <w:pStyle w:val="0"/>
        <w:spacing w:before="200" w:line-rule="auto"/>
        <w:ind w:firstLine="540"/>
        <w:jc w:val="both"/>
      </w:pPr>
      <w:r>
        <w:rPr>
          <w:sz w:val="20"/>
        </w:rPr>
        <w:t xml:space="preserve">Студентам и ординаторам, обучающимся в рамках договора о целевом обучении, из средств областного бюджета обеспечены меры поддержки на общую сумму 2,34 млн. рублей.</w:t>
      </w:r>
    </w:p>
    <w:p>
      <w:pPr>
        <w:pStyle w:val="0"/>
        <w:spacing w:before="200" w:line-rule="auto"/>
        <w:ind w:firstLine="540"/>
        <w:jc w:val="both"/>
      </w:pPr>
      <w:r>
        <w:rPr>
          <w:sz w:val="20"/>
        </w:rPr>
        <w:t xml:space="preserve">В рамках социальной поддержки медицинских работников в регионе реализуются мероприятия по возмещению затрат на уплату процентов по кредитам и займам, полученным в российских кредитных и ипотечных агентствах, полученных на приобретение или строительство жилья; по социальной поддержке отдельных категорий граждан по оплате жилого помещения и коммунальных услуг.</w:t>
      </w:r>
    </w:p>
    <w:p>
      <w:pPr>
        <w:pStyle w:val="0"/>
        <w:spacing w:before="200" w:line-rule="auto"/>
        <w:ind w:firstLine="540"/>
        <w:jc w:val="both"/>
      </w:pPr>
      <w:r>
        <w:rPr>
          <w:sz w:val="20"/>
        </w:rPr>
        <w:t xml:space="preserve">Наиболее эффективным мероприятием, оказывающим положительное влияние на кадровую ситуацию, является реализация программы "Земский доктор". За весь период реализации программы (с 2012 года) на работу в медицинские организации, расположенные в сельских населенных пунктах, рабочих поселках или поселках городского типа был привлечен 301 молодой специалист, из них в 2019 году - 33 человека.</w:t>
      </w:r>
    </w:p>
    <w:p>
      <w:pPr>
        <w:pStyle w:val="0"/>
        <w:spacing w:before="200" w:line-rule="auto"/>
        <w:ind w:firstLine="540"/>
        <w:jc w:val="both"/>
      </w:pPr>
      <w:r>
        <w:rPr>
          <w:sz w:val="20"/>
        </w:rPr>
        <w:t xml:space="preserve">В целях улучшения кадровой ситуации, снижения дефицита кадров в сельской местности и привлечения медицинских работников, имеющих среднее медицинское образование, на работу в фельдшерско-акушерские пункты Курской области начата реализация региональной программы "Земский фельдшер". Всего за период действия программы (с 2017 года) трудоустроено 46 медицинских работников со средним медицинским образованием, из них в 2019 году - 20 человек.</w:t>
      </w:r>
    </w:p>
    <w:p>
      <w:pPr>
        <w:pStyle w:val="0"/>
        <w:spacing w:before="200" w:line-rule="auto"/>
        <w:ind w:firstLine="540"/>
        <w:jc w:val="both"/>
      </w:pPr>
      <w:r>
        <w:rPr>
          <w:sz w:val="20"/>
        </w:rPr>
        <w:t xml:space="preserve">Службой скорой (в том числе специализированной) медицинской помощи в 2019 году получено 43 автомобиля скорой помощи.</w:t>
      </w:r>
    </w:p>
    <w:p>
      <w:pPr>
        <w:pStyle w:val="0"/>
        <w:spacing w:before="200" w:line-rule="auto"/>
        <w:ind w:firstLine="540"/>
        <w:jc w:val="both"/>
      </w:pPr>
      <w:r>
        <w:rPr>
          <w:sz w:val="20"/>
        </w:rPr>
        <w:t xml:space="preserve">Доля граждан, систематически занимающихся физической культурой и спортом, составила 47,1% (в 2017 году - около 41%). Уровень обеспеченности спортсооружениями, в том числе для лиц с ограниченными возможностями здоровья и инвалидов, составляет 50,8%. По России этот показатель несколько ниже - 49,9%.</w:t>
      </w:r>
    </w:p>
    <w:p>
      <w:pPr>
        <w:pStyle w:val="0"/>
        <w:spacing w:before="200" w:line-rule="auto"/>
        <w:ind w:firstLine="540"/>
        <w:jc w:val="both"/>
      </w:pPr>
      <w:r>
        <w:rPr>
          <w:sz w:val="20"/>
        </w:rPr>
        <w:t xml:space="preserve">Уровень жизни и рынок труда. Курская область занимает высокое 16-е место в Российской Федерации по индексу человеческого развития. В рейтинге регионов по качеству жизни РИА "Рейтинг" в 2018 году Курская область заняла 15-е место.</w:t>
      </w:r>
    </w:p>
    <w:p>
      <w:pPr>
        <w:pStyle w:val="0"/>
        <w:spacing w:before="200" w:line-rule="auto"/>
        <w:ind w:firstLine="540"/>
        <w:jc w:val="both"/>
      </w:pPr>
      <w:r>
        <w:rPr>
          <w:sz w:val="20"/>
        </w:rPr>
        <w:t xml:space="preserve">Уровень жизни в регионе несколько ниже среднероссийского. Среднедушевые денежные доходы населения в 2018 году составили 27,0 тыс. рублей (среднероссийское значение показателя - 33,2 тыс. рублей). При этом численность населения с денежными доходами ниже прожиточного минимума составила в 2018 году 9,9% от общей численности населения, что ниже, чем в России в среднем (12,6%). Начисленная номинальная средняя заработная плата одного работника в 2018 году составила 29,9 тыс. рублей, что существенно ниже аналогичного показателя по России - 43,7 тыс. рублей.</w:t>
      </w:r>
    </w:p>
    <w:p>
      <w:pPr>
        <w:pStyle w:val="0"/>
        <w:spacing w:before="200" w:line-rule="auto"/>
        <w:ind w:firstLine="540"/>
        <w:jc w:val="both"/>
      </w:pPr>
      <w:r>
        <w:rPr>
          <w:sz w:val="20"/>
        </w:rPr>
        <w:t xml:space="preserve">В структуре среднесписочной численности произошло существенное изменение в сторону отраслей непроизводственной сферы, в том числе наукоемкого сектора: образования, здравоохранения, финансовой деятельности. Так, с 2002 по 2018 годы доля работников списочного состава, занятых в сферах образования, здравоохранения, государственного управления, финансовой деятельности, операций с недвижимым имуществом, аренды и предоставления услуг возросла с 31,2% до 47,5% общей величины среднесписочной численности занятых в экономике. Частично изменение структуры занятости объясняется повышением производительности труда на производстве и технологическими сдвигами, а также конкуренцией с зарубежными компаниями. Существенно возросла неформальная занятость, особенно в условиях кризиса 2020 года.</w:t>
      </w:r>
    </w:p>
    <w:p>
      <w:pPr>
        <w:pStyle w:val="0"/>
        <w:spacing w:before="200" w:line-rule="auto"/>
        <w:ind w:firstLine="540"/>
        <w:jc w:val="both"/>
      </w:pPr>
      <w:r>
        <w:rPr>
          <w:sz w:val="20"/>
        </w:rPr>
        <w:t xml:space="preserve">Уровень безработицы (по данным выборочных обследований рабочей силы в среднем за май - июль 2020 года) составляет 5,6% (31,2 тыс. чел.), что ниже среднероссийского значения (6,2%). Численность безработных, зарегистрированных в органах службы занятости, на 1 января 2020 года сократилась по сравнению с соответствующей датой 2019 года на 446 человека и составила 3519 человек; уровень регистрируемой безработицы составил 0,61% (на 1 января 2019 года - 0,69%). Заявленная работодателями в органы службы занятости потребность в работниках в декабре 2019 года составила 7559 единиц, что на 2,0% больше аналогичного показателя 2018 года. Поэтому напряженность на рынке труда на 1 января 2020 года составила 0,5 человека на одну заявленную вакансию. По состоянию на 1 января 2020 года пособие по безработице получали 3071 человек; средний размер пособия по безработице составил 8830,87 рублей.</w:t>
      </w:r>
    </w:p>
    <w:p>
      <w:pPr>
        <w:pStyle w:val="0"/>
        <w:spacing w:before="200" w:line-rule="auto"/>
        <w:ind w:firstLine="540"/>
        <w:jc w:val="both"/>
      </w:pPr>
      <w:r>
        <w:rPr>
          <w:sz w:val="20"/>
        </w:rPr>
        <w:t xml:space="preserve">В 2018 году максимальную потребность в кадрах испытывали следующие отрасли региональной экономики: оптовая и розничная торговля, ремонт автотранспортных средств, мотоциклов, бытовых изделий и предметов личного пользования - 19,7%; обрабатывающие производства - 13,9%; сельское, лесное хозяйство, охота, рыболовство и рыбоводство - 12,1%; сфера услуг (за исключением социального обслуживания населения), аренда и операции с недвижимым имуществом - 10,2%; образование - 10,3% общей кадровой потребности экономики, исчисляемой согласно методике, утвержденной приказом Минтруда России от 15 августа 2018 г. N 527н. Сравнение с прогнозом баланса трудовых ресурсов за 2018 год позволяет предположить, что существенный дефицит кадров испытывали отрасли: аграрное производство, охота и лесное хозяйство - 8478 чел.; производство и распределение электроэнергии, газа и воды - 972 чел.; строительство - 3006 чел.; оптовая и розничная торговля и ремонт личного имущества - 5706 чел.; гостиницы и рестораны - 662 чел.; транспорт и связь - 2153 чел.; операции с недвижимым имуществом, аренда и предоставление услуг - 2522 чел.; государственное управление и обеспечение военной безопасности; обязательное социальное обеспечение - 1587 чел.</w:t>
      </w:r>
    </w:p>
    <w:p>
      <w:pPr>
        <w:pStyle w:val="0"/>
        <w:spacing w:before="200" w:line-rule="auto"/>
        <w:ind w:firstLine="540"/>
        <w:jc w:val="both"/>
      </w:pPr>
      <w:r>
        <w:rPr>
          <w:sz w:val="20"/>
        </w:rPr>
        <w:t xml:space="preserve">Среди рабочих профессий, по которым зафиксированы наиболее частые обращения в службу занятости: продавцы, операторы котельной, подсобные рабочие, водители, специалисты, бухгалтеры, менеджеры, инженеры, уборщики, контролеры, операторы животноводческих комплексов.</w:t>
      </w:r>
    </w:p>
    <w:p>
      <w:pPr>
        <w:pStyle w:val="0"/>
        <w:jc w:val="both"/>
      </w:pPr>
      <w:r>
        <w:rPr>
          <w:sz w:val="20"/>
        </w:rPr>
      </w:r>
    </w:p>
    <w:p>
      <w:pPr>
        <w:pStyle w:val="0"/>
        <w:jc w:val="center"/>
      </w:pPr>
      <w:r>
        <w:rPr>
          <w:position w:val="-270"/>
        </w:rPr>
        <w:drawing>
          <wp:inline distT="0" distB="0" distL="0" distR="0">
            <wp:extent cx="5041265" cy="3566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041265" cy="356616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4. Заработная плата Курской области</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ind w:firstLine="540"/>
        <w:jc w:val="both"/>
      </w:pPr>
      <w:r>
        <w:rPr>
          <w:sz w:val="20"/>
        </w:rPr>
        <w:t xml:space="preserve">Человеческий капитал. Важнейшее значение для развития региона имеет концентрация человеческого капитала. Доля занятых с высшим образованием составила в 2018 году 35,5%, что несколько выше среднероссийского значения - 35,1%, при этом указанная доля растет.</w:t>
      </w:r>
    </w:p>
    <w:p>
      <w:pPr>
        <w:pStyle w:val="0"/>
        <w:spacing w:before="200" w:line-rule="auto"/>
        <w:ind w:firstLine="540"/>
        <w:jc w:val="both"/>
      </w:pPr>
      <w:r>
        <w:rPr>
          <w:sz w:val="20"/>
        </w:rPr>
        <w:t xml:space="preserve">В Курской области действует 266 дошкольных образовательных организаций, из них 257 муниципальных, 2 областных и 7 частных; 23 центра раннего развития, на базе 40 общеобразовательных школ функционирует 61 дошкольная группа с полным днем пребывания для более 1000 детей. По данным Росстата охват детей дошкольным образованием растет: с 45,2% в 2005 году до 54,9% в 2017 году. Доступность дошкольного образования детей в возрасте от 3 до 7 лет в Курской области в 2019 году составляет 100%. Сохраняется проблема с доступностью яслей.</w:t>
      </w:r>
    </w:p>
    <w:p>
      <w:pPr>
        <w:pStyle w:val="0"/>
        <w:spacing w:before="200" w:line-rule="auto"/>
        <w:ind w:firstLine="540"/>
        <w:jc w:val="both"/>
      </w:pPr>
      <w:r>
        <w:rPr>
          <w:sz w:val="20"/>
        </w:rPr>
        <w:t xml:space="preserve">Активно в регионе поддерживается детское творчество. Созданы региональный модельный центр дополнительного образования, детский технопарк "Кванториум", региональный центр выявления и поддержки одаренных детей по типу центра "Сириус".</w:t>
      </w:r>
    </w:p>
    <w:p>
      <w:pPr>
        <w:pStyle w:val="0"/>
        <w:spacing w:before="200" w:line-rule="auto"/>
        <w:ind w:firstLine="540"/>
        <w:jc w:val="both"/>
      </w:pPr>
      <w:r>
        <w:rPr>
          <w:sz w:val="20"/>
        </w:rPr>
        <w:t xml:space="preserve">Численность обучающихся в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2019 году составила 116,4 тыс. чел. (в 2016 году - 110,2 тыс. чел.). Численность учителей при этом выросла с 11,2 тыс. чел. в 2016 году до 11,5 тыс. чел., соответственно нагрузка на учителей несколько возросла с 9,76 учеников на учителя до 10,16. Схожие тенденции наблюдаются по всей стране в результате оптимизации сети образовательных учреждений на фоне увеличения числа школьников в результате поддержки рождаемости. Повышение уровня нагрузки в будущем может отрицательно повлиять на качество образования в школах.</w:t>
      </w:r>
    </w:p>
    <w:p>
      <w:pPr>
        <w:pStyle w:val="0"/>
        <w:spacing w:before="200" w:line-rule="auto"/>
        <w:ind w:firstLine="540"/>
        <w:jc w:val="both"/>
      </w:pPr>
      <w:r>
        <w:rPr>
          <w:sz w:val="20"/>
        </w:rPr>
        <w:t xml:space="preserve">В Курской области расположено 28 профессиональных образовательных организаций, в которых ведется подготовка рабочих по 35 специальностям, а специалистов среднего звена - по 85. Численность обучающихся по образовательным программам подготовки специалистов среднего звена и рабочих увеличилась с 2016 по 2019 годы с 26,8 тыс. чел. до 27,6 тыс. чел., при этом число преподавателей в организациях, осуществляющих образовательную деятельность по образовательным программам среднего профессионального образования, выросло с 1464 до 1520 человек. Таким образом, на каждого преподавателя приходится 18,18 ученика, что менее, чем в 2016 году (18,34). Последовательно внедряется практико-ориентированная (дуальная) модель обучения. Представители региона ежегодно участвуют и становятся победителями в Национальном чемпионате рабочих профессий "Молодые профессионалы" (WorldSkillsRussia).</w:t>
      </w:r>
    </w:p>
    <w:p>
      <w:pPr>
        <w:pStyle w:val="0"/>
        <w:spacing w:before="200" w:line-rule="auto"/>
        <w:ind w:firstLine="540"/>
        <w:jc w:val="both"/>
      </w:pPr>
      <w:r>
        <w:rPr>
          <w:sz w:val="20"/>
        </w:rPr>
        <w:t xml:space="preserve">Система высшего образования Курской области, по состоянию на 1 октября 2019 года, представлена 13 образовательными организациями высшего образования и филиалами (далее - ООВО), в которых по программам среднего профессионального и высшего образования обучается более 41 тыс. человек (4 федеральные организации и 3 федеральных филиала; 1 организация, подведомственная Администрации Курской области; 3 негосударственные организации и 2 негосударственных филиала).</w:t>
      </w:r>
    </w:p>
    <w:p>
      <w:pPr>
        <w:pStyle w:val="0"/>
        <w:spacing w:before="200" w:line-rule="auto"/>
        <w:ind w:firstLine="540"/>
        <w:jc w:val="both"/>
      </w:pPr>
      <w:r>
        <w:rPr>
          <w:sz w:val="20"/>
        </w:rPr>
        <w:t xml:space="preserve">Более 87% обучающихся традиционно сосредоточено в 4 системообразующих ООВО. По состоянию на 1 октября 2019 года всего в регионе по программам высшего образования (бакалавриат, специалитет, магистратура) обучалось более 36 тыс. человек, в том числе: в Юго-Западном государственном университете - 10862, Курском государственном университете - 10604, Курском государственном медицинском университете - 6505, Курской государственной сельскохозяйственной академии им. И.И. Иванова - 3482.</w:t>
      </w:r>
    </w:p>
    <w:p>
      <w:pPr>
        <w:pStyle w:val="0"/>
        <w:spacing w:before="200" w:line-rule="auto"/>
        <w:ind w:firstLine="540"/>
        <w:jc w:val="both"/>
      </w:pPr>
      <w:r>
        <w:rPr>
          <w:sz w:val="20"/>
        </w:rPr>
        <w:t xml:space="preserve">Ежегодно контрольные цифры приема по программам высшего образования устанавливаются в соответствии с потребностями регионального рынка труда. На 2019 год выделено 3249 бюджетных мест (в 2018 году - 3440), снижение на 6%. В среднем по России снижение - на 13%.</w:t>
      </w:r>
    </w:p>
    <w:p>
      <w:pPr>
        <w:pStyle w:val="0"/>
        <w:spacing w:before="200" w:line-rule="auto"/>
        <w:ind w:firstLine="540"/>
        <w:jc w:val="both"/>
      </w:pPr>
      <w:r>
        <w:rPr>
          <w:sz w:val="20"/>
        </w:rPr>
        <w:t xml:space="preserve">Сеть ООВО региона способна обеспечить потребность Курской области в высококвалифицированных кадрах для различных отраслей экономики. Обеспечению баланса на региональном рынке способствует развитие практики приема на целевое обучение. В течение 12 лет отмечается общая тенденция увеличения доли целевиков в общем количестве студентов, обучающихся за счет средств бюджета (с 8% в 2007 году до 16% в 2019 году).</w:t>
      </w:r>
    </w:p>
    <w:p>
      <w:pPr>
        <w:pStyle w:val="0"/>
        <w:spacing w:before="200" w:line-rule="auto"/>
        <w:ind w:firstLine="540"/>
        <w:jc w:val="both"/>
      </w:pPr>
      <w:r>
        <w:rPr>
          <w:sz w:val="20"/>
        </w:rPr>
        <w:t xml:space="preserve">В структуре подготовки кадров по программам высшего образования (бакалавриата, специалитета, магистратуры) наибольший удельный вес занимают обучающиеся по направлениям подготовки, входящим в разделы "Науки об обществе" (29,41%) и "Здравоохранение и медицинские науки" (28,88%).</w:t>
      </w:r>
    </w:p>
    <w:p>
      <w:pPr>
        <w:pStyle w:val="0"/>
        <w:jc w:val="both"/>
      </w:pPr>
      <w:r>
        <w:rPr>
          <w:sz w:val="20"/>
        </w:rPr>
      </w:r>
    </w:p>
    <w:p>
      <w:pPr>
        <w:pStyle w:val="0"/>
        <w:jc w:val="center"/>
      </w:pPr>
      <w:r>
        <w:rPr>
          <w:position w:val="-182"/>
        </w:rPr>
        <w:drawing>
          <wp:inline distT="0" distB="0" distL="0" distR="0">
            <wp:extent cx="4681855" cy="2438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681855" cy="243840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5. Структура подготовки кадров по программам высшего</w:t>
      </w:r>
    </w:p>
    <w:p>
      <w:pPr>
        <w:pStyle w:val="2"/>
        <w:jc w:val="center"/>
      </w:pPr>
      <w:r>
        <w:rPr>
          <w:sz w:val="20"/>
        </w:rPr>
        <w:t xml:space="preserve">образования в 2018 году в Курской области</w:t>
      </w:r>
    </w:p>
    <w:p>
      <w:pPr>
        <w:pStyle w:val="0"/>
        <w:jc w:val="both"/>
      </w:pPr>
      <w:r>
        <w:rPr>
          <w:sz w:val="20"/>
        </w:rPr>
      </w:r>
    </w:p>
    <w:p>
      <w:pPr>
        <w:pStyle w:val="0"/>
        <w:ind w:firstLine="540"/>
        <w:jc w:val="both"/>
      </w:pPr>
      <w:r>
        <w:rPr>
          <w:sz w:val="20"/>
        </w:rPr>
        <w:t xml:space="preserve">В настоящее время взаимодействие образовательных организаций высшего образования и реального сектора экономики осуществляется, прежде всего, при организации производственных практик обучающихся, трудоустройстве выпускников, участии работодателей в подготовке и реализации основных образовательных программ, совместной реализации научных проектов.</w:t>
      </w:r>
    </w:p>
    <w:p>
      <w:pPr>
        <w:pStyle w:val="0"/>
        <w:spacing w:before="200" w:line-rule="auto"/>
        <w:ind w:firstLine="540"/>
        <w:jc w:val="both"/>
      </w:pPr>
      <w:r>
        <w:rPr>
          <w:sz w:val="20"/>
        </w:rPr>
        <w:t xml:space="preserve">В Курской области, по данным НИУ "Высшая школа экономики" за 2017 год, зафиксирован наибольший охват населения в возрасте 17 - 25 лет местами в вузах - 49,6% (в среднем по России этот показатель равен 33%). Высокий охват высшим образованием в Курской области, где обучается примерно 1% всех студентов России, объясняется сравнительно развитой сетью вузов с учетом численности населения региона. Также Курская область занимала 3-е место в ЦФО после Москвы и Московской области и 13 место в России по доле работников с высшим образованием.</w:t>
      </w:r>
    </w:p>
    <w:p>
      <w:pPr>
        <w:pStyle w:val="0"/>
        <w:spacing w:before="200" w:line-rule="auto"/>
        <w:ind w:firstLine="540"/>
        <w:jc w:val="both"/>
      </w:pPr>
      <w:r>
        <w:rPr>
          <w:sz w:val="20"/>
        </w:rPr>
        <w:t xml:space="preserve">Регион занимает 11-е место по числу студентов высших учебных заведений на 10000 жителей - 343 чел., что выше среднероссийского уровня (284 чел.). В целом численность студентов в образовательных организациях высшего образования снижается в связи с влиянием негативных демографических тенденций с 60 тыс. чел. в 2013 году до 36,4 тыс. человек в 2019 году, то есть на 39,4%. В России в целом сокращение составило 27,9%, что частично говорит о снижении привлекательности курских вузов. Основную конкуренцию вузам Курской области составляют образовательные организации Москвы и Санкт-Петербурга.</w:t>
      </w:r>
    </w:p>
    <w:p>
      <w:pPr>
        <w:pStyle w:val="0"/>
        <w:spacing w:before="200" w:line-rule="auto"/>
        <w:ind w:firstLine="540"/>
        <w:jc w:val="both"/>
      </w:pPr>
      <w:r>
        <w:rPr>
          <w:sz w:val="20"/>
        </w:rPr>
        <w:t xml:space="preserve">В 2019 году предпочтения выпускников 11 классов региона в получении профессионального образования в Курской области и других субъектах Российской Федерации представлены следующим образом: 2411 человек (53,4%) поступили в ООВО, расположенные на территории Курской области, 1299 (28,8%) - в ООВО, расположенные на территории других субъектов Российской Федерации, 14 (0,3%) - в ООВО иностранных государств, 507 (11,2%) - в профессиональные образовательные организации (далее - ПОО), расположенные на территории Курской области, а 77 (1,7%) - в ПОО, расположенные на территориях других субъектов Российской Федерации.</w:t>
      </w:r>
    </w:p>
    <w:p>
      <w:pPr>
        <w:pStyle w:val="0"/>
        <w:spacing w:before="200" w:line-rule="auto"/>
        <w:ind w:firstLine="540"/>
        <w:jc w:val="both"/>
      </w:pPr>
      <w:r>
        <w:rPr>
          <w:sz w:val="20"/>
        </w:rPr>
        <w:t xml:space="preserve">Курские выпускники (около 70%) отдают предпочтение получению высшего образования именно в курских образовательных организациях высшего образования. Вместе с тем, регион остается привлекательным и для абитуриентов из других субъектов Российской Федерации. География поступающих весьма обширна: в регион приезжают учиться из соседних областей (Белгородской, Липецкой, Орловской, Тамбовской, Брянской), а также Владимирской, Волгоградской, Ивановской, Калужской, Московской, Ульяновской, Тверской областях, республик Башкортостан, Крым, г. Москва и т.д.</w:t>
      </w:r>
    </w:p>
    <w:p>
      <w:pPr>
        <w:pStyle w:val="0"/>
        <w:spacing w:before="200" w:line-rule="auto"/>
        <w:ind w:firstLine="540"/>
        <w:jc w:val="both"/>
      </w:pPr>
      <w:r>
        <w:rPr>
          <w:sz w:val="20"/>
        </w:rPr>
        <w:t xml:space="preserve">Перечень наиболее востребованных направлений подготовки и специальностей, на которые зачислено в 2019 году наибольшее количество обучающихся, представлен в таблице N 2.</w:t>
      </w:r>
    </w:p>
    <w:p>
      <w:pPr>
        <w:pStyle w:val="0"/>
        <w:jc w:val="both"/>
      </w:pPr>
      <w:r>
        <w:rPr>
          <w:sz w:val="20"/>
        </w:rPr>
      </w:r>
    </w:p>
    <w:p>
      <w:pPr>
        <w:pStyle w:val="0"/>
        <w:outlineLvl w:val="3"/>
        <w:jc w:val="right"/>
      </w:pPr>
      <w:r>
        <w:rPr>
          <w:sz w:val="20"/>
        </w:rPr>
        <w:t xml:space="preserve">Таблица N 2</w:t>
      </w:r>
    </w:p>
    <w:p>
      <w:pPr>
        <w:pStyle w:val="0"/>
        <w:jc w:val="both"/>
      </w:pPr>
      <w:r>
        <w:rPr>
          <w:sz w:val="20"/>
        </w:rPr>
      </w:r>
    </w:p>
    <w:p>
      <w:pPr>
        <w:pStyle w:val="2"/>
        <w:jc w:val="center"/>
      </w:pPr>
      <w:r>
        <w:rPr>
          <w:sz w:val="20"/>
        </w:rPr>
        <w:t xml:space="preserve">Наиболее востребованные направления подготовки</w:t>
      </w:r>
    </w:p>
    <w:p>
      <w:pPr>
        <w:pStyle w:val="2"/>
        <w:jc w:val="center"/>
      </w:pPr>
      <w:r>
        <w:rPr>
          <w:sz w:val="20"/>
        </w:rPr>
        <w:t xml:space="preserve">(специальности)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9"/>
        <w:gridCol w:w="1127"/>
        <w:gridCol w:w="4050"/>
        <w:gridCol w:w="3101"/>
      </w:tblGrid>
      <w:tr>
        <w:tc>
          <w:tcPr>
            <w:tcW w:w="639" w:type="dxa"/>
            <w:vAlign w:val="center"/>
          </w:tcPr>
          <w:p>
            <w:pPr>
              <w:pStyle w:val="0"/>
              <w:jc w:val="center"/>
            </w:pPr>
            <w:r>
              <w:rPr>
                <w:sz w:val="20"/>
              </w:rPr>
              <w:t xml:space="preserve">N</w:t>
            </w:r>
          </w:p>
        </w:tc>
        <w:tc>
          <w:tcPr>
            <w:tcW w:w="1127" w:type="dxa"/>
            <w:vAlign w:val="center"/>
          </w:tcPr>
          <w:p>
            <w:pPr>
              <w:pStyle w:val="0"/>
              <w:jc w:val="center"/>
            </w:pPr>
            <w:r>
              <w:rPr>
                <w:sz w:val="20"/>
              </w:rPr>
              <w:t xml:space="preserve">Код</w:t>
            </w:r>
          </w:p>
        </w:tc>
        <w:tc>
          <w:tcPr>
            <w:tcW w:w="4050" w:type="dxa"/>
            <w:vAlign w:val="center"/>
          </w:tcPr>
          <w:p>
            <w:pPr>
              <w:pStyle w:val="0"/>
              <w:jc w:val="center"/>
            </w:pPr>
            <w:r>
              <w:rPr>
                <w:sz w:val="20"/>
              </w:rPr>
              <w:t xml:space="preserve">Направление подготовки (специальности)</w:t>
            </w:r>
          </w:p>
        </w:tc>
        <w:tc>
          <w:tcPr>
            <w:tcW w:w="3101" w:type="dxa"/>
            <w:vAlign w:val="center"/>
          </w:tcPr>
          <w:p>
            <w:pPr>
              <w:pStyle w:val="0"/>
              <w:jc w:val="center"/>
            </w:pPr>
            <w:r>
              <w:rPr>
                <w:sz w:val="20"/>
              </w:rPr>
              <w:t xml:space="preserve">Количество поступивших в ООВО Курской области в 2019 году</w:t>
            </w:r>
          </w:p>
        </w:tc>
      </w:tr>
      <w:tr>
        <w:tc>
          <w:tcPr>
            <w:tcW w:w="639" w:type="dxa"/>
            <w:vAlign w:val="center"/>
          </w:tcPr>
          <w:p>
            <w:pPr>
              <w:pStyle w:val="0"/>
              <w:jc w:val="center"/>
            </w:pPr>
            <w:r>
              <w:rPr>
                <w:sz w:val="20"/>
              </w:rPr>
              <w:t xml:space="preserve">1</w:t>
            </w:r>
          </w:p>
        </w:tc>
        <w:tc>
          <w:tcPr>
            <w:tcW w:w="1127" w:type="dxa"/>
            <w:vAlign w:val="center"/>
          </w:tcPr>
          <w:p>
            <w:pPr>
              <w:pStyle w:val="0"/>
              <w:jc w:val="center"/>
            </w:pPr>
            <w:r>
              <w:rPr>
                <w:sz w:val="20"/>
              </w:rPr>
              <w:t xml:space="preserve">31.05.01</w:t>
            </w:r>
          </w:p>
        </w:tc>
        <w:tc>
          <w:tcPr>
            <w:tcW w:w="4050" w:type="dxa"/>
            <w:vAlign w:val="center"/>
          </w:tcPr>
          <w:p>
            <w:pPr>
              <w:pStyle w:val="0"/>
              <w:jc w:val="center"/>
            </w:pPr>
            <w:r>
              <w:rPr>
                <w:sz w:val="20"/>
              </w:rPr>
              <w:t xml:space="preserve">Лечебное дело (специалитет)</w:t>
            </w:r>
          </w:p>
        </w:tc>
        <w:tc>
          <w:tcPr>
            <w:tcW w:w="3101" w:type="dxa"/>
            <w:vAlign w:val="center"/>
          </w:tcPr>
          <w:p>
            <w:pPr>
              <w:pStyle w:val="0"/>
              <w:jc w:val="center"/>
            </w:pPr>
            <w:r>
              <w:rPr>
                <w:sz w:val="20"/>
              </w:rPr>
              <w:t xml:space="preserve">845</w:t>
            </w:r>
          </w:p>
        </w:tc>
      </w:tr>
      <w:tr>
        <w:tc>
          <w:tcPr>
            <w:tcW w:w="639" w:type="dxa"/>
            <w:vAlign w:val="center"/>
          </w:tcPr>
          <w:p>
            <w:pPr>
              <w:pStyle w:val="0"/>
              <w:jc w:val="center"/>
            </w:pPr>
            <w:r>
              <w:rPr>
                <w:sz w:val="20"/>
              </w:rPr>
              <w:t xml:space="preserve">2</w:t>
            </w:r>
          </w:p>
        </w:tc>
        <w:tc>
          <w:tcPr>
            <w:tcW w:w="1127" w:type="dxa"/>
            <w:vAlign w:val="center"/>
          </w:tcPr>
          <w:p>
            <w:pPr>
              <w:pStyle w:val="0"/>
              <w:jc w:val="center"/>
            </w:pPr>
            <w:r>
              <w:rPr>
                <w:sz w:val="20"/>
              </w:rPr>
              <w:t xml:space="preserve">38.03.01</w:t>
            </w:r>
          </w:p>
        </w:tc>
        <w:tc>
          <w:tcPr>
            <w:tcW w:w="4050" w:type="dxa"/>
            <w:vAlign w:val="center"/>
          </w:tcPr>
          <w:p>
            <w:pPr>
              <w:pStyle w:val="0"/>
              <w:jc w:val="center"/>
            </w:pPr>
            <w:r>
              <w:rPr>
                <w:sz w:val="20"/>
              </w:rPr>
              <w:t xml:space="preserve">Экономика</w:t>
            </w:r>
          </w:p>
        </w:tc>
        <w:tc>
          <w:tcPr>
            <w:tcW w:w="3101" w:type="dxa"/>
            <w:vAlign w:val="center"/>
          </w:tcPr>
          <w:p>
            <w:pPr>
              <w:pStyle w:val="0"/>
              <w:jc w:val="center"/>
            </w:pPr>
            <w:r>
              <w:rPr>
                <w:sz w:val="20"/>
              </w:rPr>
              <w:t xml:space="preserve">548</w:t>
            </w:r>
          </w:p>
        </w:tc>
      </w:tr>
      <w:tr>
        <w:tc>
          <w:tcPr>
            <w:tcW w:w="639" w:type="dxa"/>
            <w:vAlign w:val="center"/>
          </w:tcPr>
          <w:p>
            <w:pPr>
              <w:pStyle w:val="0"/>
              <w:jc w:val="center"/>
            </w:pPr>
            <w:r>
              <w:rPr>
                <w:sz w:val="20"/>
              </w:rPr>
              <w:t xml:space="preserve">3</w:t>
            </w:r>
          </w:p>
        </w:tc>
        <w:tc>
          <w:tcPr>
            <w:tcW w:w="1127" w:type="dxa"/>
            <w:vAlign w:val="center"/>
          </w:tcPr>
          <w:p>
            <w:pPr>
              <w:pStyle w:val="0"/>
              <w:jc w:val="center"/>
            </w:pPr>
            <w:r>
              <w:rPr>
                <w:sz w:val="20"/>
              </w:rPr>
              <w:t xml:space="preserve">40.04.01</w:t>
            </w:r>
          </w:p>
        </w:tc>
        <w:tc>
          <w:tcPr>
            <w:tcW w:w="4050" w:type="dxa"/>
            <w:vAlign w:val="center"/>
          </w:tcPr>
          <w:p>
            <w:pPr>
              <w:pStyle w:val="0"/>
              <w:jc w:val="center"/>
            </w:pPr>
            <w:r>
              <w:rPr>
                <w:sz w:val="20"/>
              </w:rPr>
              <w:t xml:space="preserve">Юриспруденция (магистратура)</w:t>
            </w:r>
          </w:p>
        </w:tc>
        <w:tc>
          <w:tcPr>
            <w:tcW w:w="3101" w:type="dxa"/>
            <w:vAlign w:val="center"/>
          </w:tcPr>
          <w:p>
            <w:pPr>
              <w:pStyle w:val="0"/>
              <w:jc w:val="center"/>
            </w:pPr>
            <w:r>
              <w:rPr>
                <w:sz w:val="20"/>
              </w:rPr>
              <w:t xml:space="preserve">365</w:t>
            </w:r>
          </w:p>
        </w:tc>
      </w:tr>
      <w:tr>
        <w:tc>
          <w:tcPr>
            <w:tcW w:w="639" w:type="dxa"/>
            <w:vAlign w:val="center"/>
          </w:tcPr>
          <w:p>
            <w:pPr>
              <w:pStyle w:val="0"/>
              <w:jc w:val="center"/>
            </w:pPr>
            <w:r>
              <w:rPr>
                <w:sz w:val="20"/>
              </w:rPr>
              <w:t xml:space="preserve">4</w:t>
            </w:r>
          </w:p>
        </w:tc>
        <w:tc>
          <w:tcPr>
            <w:tcW w:w="1127" w:type="dxa"/>
            <w:vAlign w:val="center"/>
          </w:tcPr>
          <w:p>
            <w:pPr>
              <w:pStyle w:val="0"/>
              <w:jc w:val="center"/>
            </w:pPr>
            <w:r>
              <w:rPr>
                <w:sz w:val="20"/>
              </w:rPr>
              <w:t xml:space="preserve">44.03.05</w:t>
            </w:r>
          </w:p>
        </w:tc>
        <w:tc>
          <w:tcPr>
            <w:tcW w:w="4050" w:type="dxa"/>
            <w:vAlign w:val="center"/>
          </w:tcPr>
          <w:p>
            <w:pPr>
              <w:pStyle w:val="0"/>
              <w:jc w:val="center"/>
            </w:pPr>
            <w:r>
              <w:rPr>
                <w:sz w:val="20"/>
              </w:rPr>
              <w:t xml:space="preserve">Педагогическое образование</w:t>
            </w:r>
          </w:p>
          <w:p>
            <w:pPr>
              <w:pStyle w:val="0"/>
              <w:jc w:val="center"/>
            </w:pPr>
            <w:r>
              <w:rPr>
                <w:sz w:val="20"/>
              </w:rPr>
              <w:t xml:space="preserve">(с двумя профилями подготовки)</w:t>
            </w:r>
          </w:p>
        </w:tc>
        <w:tc>
          <w:tcPr>
            <w:tcW w:w="3101" w:type="dxa"/>
            <w:vAlign w:val="center"/>
          </w:tcPr>
          <w:p>
            <w:pPr>
              <w:pStyle w:val="0"/>
              <w:jc w:val="center"/>
            </w:pPr>
            <w:r>
              <w:rPr>
                <w:sz w:val="20"/>
              </w:rPr>
              <w:t xml:space="preserve">331</w:t>
            </w:r>
          </w:p>
        </w:tc>
      </w:tr>
      <w:tr>
        <w:tc>
          <w:tcPr>
            <w:tcW w:w="639" w:type="dxa"/>
            <w:vAlign w:val="center"/>
          </w:tcPr>
          <w:p>
            <w:pPr>
              <w:pStyle w:val="0"/>
              <w:jc w:val="center"/>
            </w:pPr>
            <w:r>
              <w:rPr>
                <w:sz w:val="20"/>
              </w:rPr>
              <w:t xml:space="preserve">5</w:t>
            </w:r>
          </w:p>
        </w:tc>
        <w:tc>
          <w:tcPr>
            <w:tcW w:w="1127" w:type="dxa"/>
            <w:vAlign w:val="center"/>
          </w:tcPr>
          <w:p>
            <w:pPr>
              <w:pStyle w:val="0"/>
              <w:jc w:val="center"/>
            </w:pPr>
            <w:r>
              <w:rPr>
                <w:sz w:val="20"/>
              </w:rPr>
              <w:t xml:space="preserve">38.03.02</w:t>
            </w:r>
          </w:p>
        </w:tc>
        <w:tc>
          <w:tcPr>
            <w:tcW w:w="4050" w:type="dxa"/>
            <w:vAlign w:val="center"/>
          </w:tcPr>
          <w:p>
            <w:pPr>
              <w:pStyle w:val="0"/>
              <w:jc w:val="center"/>
            </w:pPr>
            <w:r>
              <w:rPr>
                <w:sz w:val="20"/>
              </w:rPr>
              <w:t xml:space="preserve">Менеджмент</w:t>
            </w:r>
          </w:p>
        </w:tc>
        <w:tc>
          <w:tcPr>
            <w:tcW w:w="3101" w:type="dxa"/>
            <w:vAlign w:val="center"/>
          </w:tcPr>
          <w:p>
            <w:pPr>
              <w:pStyle w:val="0"/>
              <w:jc w:val="center"/>
            </w:pPr>
            <w:r>
              <w:rPr>
                <w:sz w:val="20"/>
              </w:rPr>
              <w:t xml:space="preserve">275</w:t>
            </w:r>
          </w:p>
        </w:tc>
      </w:tr>
      <w:tr>
        <w:tc>
          <w:tcPr>
            <w:tcW w:w="639" w:type="dxa"/>
            <w:vAlign w:val="center"/>
          </w:tcPr>
          <w:p>
            <w:pPr>
              <w:pStyle w:val="0"/>
              <w:jc w:val="center"/>
            </w:pPr>
            <w:r>
              <w:rPr>
                <w:sz w:val="20"/>
              </w:rPr>
              <w:t xml:space="preserve">6</w:t>
            </w:r>
          </w:p>
        </w:tc>
        <w:tc>
          <w:tcPr>
            <w:tcW w:w="1127" w:type="dxa"/>
            <w:vAlign w:val="center"/>
          </w:tcPr>
          <w:p>
            <w:pPr>
              <w:pStyle w:val="0"/>
              <w:jc w:val="center"/>
            </w:pPr>
            <w:r>
              <w:rPr>
                <w:sz w:val="20"/>
              </w:rPr>
              <w:t xml:space="preserve">08.03.01</w:t>
            </w:r>
          </w:p>
        </w:tc>
        <w:tc>
          <w:tcPr>
            <w:tcW w:w="4050" w:type="dxa"/>
            <w:vAlign w:val="center"/>
          </w:tcPr>
          <w:p>
            <w:pPr>
              <w:pStyle w:val="0"/>
              <w:jc w:val="center"/>
            </w:pPr>
            <w:r>
              <w:rPr>
                <w:sz w:val="20"/>
              </w:rPr>
              <w:t xml:space="preserve">Строительство</w:t>
            </w:r>
          </w:p>
        </w:tc>
        <w:tc>
          <w:tcPr>
            <w:tcW w:w="3101" w:type="dxa"/>
            <w:vAlign w:val="center"/>
          </w:tcPr>
          <w:p>
            <w:pPr>
              <w:pStyle w:val="0"/>
              <w:jc w:val="center"/>
            </w:pPr>
            <w:r>
              <w:rPr>
                <w:sz w:val="20"/>
              </w:rPr>
              <w:t xml:space="preserve">254</w:t>
            </w:r>
          </w:p>
        </w:tc>
      </w:tr>
      <w:tr>
        <w:tc>
          <w:tcPr>
            <w:tcW w:w="639" w:type="dxa"/>
            <w:vAlign w:val="center"/>
          </w:tcPr>
          <w:p>
            <w:pPr>
              <w:pStyle w:val="0"/>
              <w:jc w:val="center"/>
            </w:pPr>
            <w:r>
              <w:rPr>
                <w:sz w:val="20"/>
              </w:rPr>
              <w:t xml:space="preserve">7</w:t>
            </w:r>
          </w:p>
        </w:tc>
        <w:tc>
          <w:tcPr>
            <w:tcW w:w="1127" w:type="dxa"/>
            <w:vAlign w:val="center"/>
          </w:tcPr>
          <w:p>
            <w:pPr>
              <w:pStyle w:val="0"/>
              <w:jc w:val="center"/>
            </w:pPr>
            <w:r>
              <w:rPr>
                <w:sz w:val="20"/>
              </w:rPr>
              <w:t xml:space="preserve">38.03.04</w:t>
            </w:r>
          </w:p>
        </w:tc>
        <w:tc>
          <w:tcPr>
            <w:tcW w:w="4050" w:type="dxa"/>
            <w:vAlign w:val="center"/>
          </w:tcPr>
          <w:p>
            <w:pPr>
              <w:pStyle w:val="0"/>
              <w:jc w:val="center"/>
            </w:pPr>
            <w:r>
              <w:rPr>
                <w:sz w:val="20"/>
              </w:rPr>
              <w:t xml:space="preserve">Государственное и муниципальное управление</w:t>
            </w:r>
          </w:p>
        </w:tc>
        <w:tc>
          <w:tcPr>
            <w:tcW w:w="3101" w:type="dxa"/>
            <w:vAlign w:val="center"/>
          </w:tcPr>
          <w:p>
            <w:pPr>
              <w:pStyle w:val="0"/>
              <w:jc w:val="center"/>
            </w:pPr>
            <w:r>
              <w:rPr>
                <w:sz w:val="20"/>
              </w:rPr>
              <w:t xml:space="preserve">245</w:t>
            </w:r>
          </w:p>
        </w:tc>
      </w:tr>
      <w:tr>
        <w:tc>
          <w:tcPr>
            <w:tcW w:w="639" w:type="dxa"/>
            <w:vAlign w:val="center"/>
          </w:tcPr>
          <w:p>
            <w:pPr>
              <w:pStyle w:val="0"/>
              <w:jc w:val="center"/>
            </w:pPr>
            <w:r>
              <w:rPr>
                <w:sz w:val="20"/>
              </w:rPr>
              <w:t xml:space="preserve">8</w:t>
            </w:r>
          </w:p>
        </w:tc>
        <w:tc>
          <w:tcPr>
            <w:tcW w:w="1127" w:type="dxa"/>
            <w:vAlign w:val="center"/>
          </w:tcPr>
          <w:p>
            <w:pPr>
              <w:pStyle w:val="0"/>
              <w:jc w:val="center"/>
            </w:pPr>
            <w:r>
              <w:rPr>
                <w:sz w:val="20"/>
              </w:rPr>
              <w:t xml:space="preserve">44.04.01</w:t>
            </w:r>
          </w:p>
        </w:tc>
        <w:tc>
          <w:tcPr>
            <w:tcW w:w="4050" w:type="dxa"/>
            <w:vAlign w:val="center"/>
          </w:tcPr>
          <w:p>
            <w:pPr>
              <w:pStyle w:val="0"/>
              <w:jc w:val="center"/>
            </w:pPr>
            <w:r>
              <w:rPr>
                <w:sz w:val="20"/>
              </w:rPr>
              <w:t xml:space="preserve">Педагогическое образование (магистратура)</w:t>
            </w:r>
          </w:p>
        </w:tc>
        <w:tc>
          <w:tcPr>
            <w:tcW w:w="3101" w:type="dxa"/>
            <w:vAlign w:val="center"/>
          </w:tcPr>
          <w:p>
            <w:pPr>
              <w:pStyle w:val="0"/>
              <w:jc w:val="center"/>
            </w:pPr>
            <w:r>
              <w:rPr>
                <w:sz w:val="20"/>
              </w:rPr>
              <w:t xml:space="preserve">224</w:t>
            </w:r>
          </w:p>
        </w:tc>
      </w:tr>
      <w:tr>
        <w:tc>
          <w:tcPr>
            <w:tcW w:w="639" w:type="dxa"/>
            <w:vAlign w:val="center"/>
          </w:tcPr>
          <w:p>
            <w:pPr>
              <w:pStyle w:val="0"/>
              <w:jc w:val="center"/>
            </w:pPr>
            <w:r>
              <w:rPr>
                <w:sz w:val="20"/>
              </w:rPr>
              <w:t xml:space="preserve">9</w:t>
            </w:r>
          </w:p>
        </w:tc>
        <w:tc>
          <w:tcPr>
            <w:tcW w:w="1127" w:type="dxa"/>
            <w:vAlign w:val="center"/>
          </w:tcPr>
          <w:p>
            <w:pPr>
              <w:pStyle w:val="0"/>
              <w:jc w:val="center"/>
            </w:pPr>
            <w:r>
              <w:rPr>
                <w:sz w:val="20"/>
              </w:rPr>
              <w:t xml:space="preserve">13.03.02</w:t>
            </w:r>
          </w:p>
        </w:tc>
        <w:tc>
          <w:tcPr>
            <w:tcW w:w="4050" w:type="dxa"/>
            <w:vAlign w:val="center"/>
          </w:tcPr>
          <w:p>
            <w:pPr>
              <w:pStyle w:val="0"/>
              <w:jc w:val="center"/>
            </w:pPr>
            <w:r>
              <w:rPr>
                <w:sz w:val="20"/>
              </w:rPr>
              <w:t xml:space="preserve">Электроэнергетика и электротехника</w:t>
            </w:r>
          </w:p>
        </w:tc>
        <w:tc>
          <w:tcPr>
            <w:tcW w:w="3101" w:type="dxa"/>
            <w:vAlign w:val="center"/>
          </w:tcPr>
          <w:p>
            <w:pPr>
              <w:pStyle w:val="0"/>
              <w:jc w:val="center"/>
            </w:pPr>
            <w:r>
              <w:rPr>
                <w:sz w:val="20"/>
              </w:rPr>
              <w:t xml:space="preserve">212</w:t>
            </w:r>
          </w:p>
        </w:tc>
      </w:tr>
      <w:tr>
        <w:tc>
          <w:tcPr>
            <w:tcW w:w="639" w:type="dxa"/>
            <w:vAlign w:val="center"/>
          </w:tcPr>
          <w:p>
            <w:pPr>
              <w:pStyle w:val="0"/>
              <w:jc w:val="center"/>
            </w:pPr>
            <w:r>
              <w:rPr>
                <w:sz w:val="20"/>
              </w:rPr>
              <w:t xml:space="preserve">10</w:t>
            </w:r>
          </w:p>
        </w:tc>
        <w:tc>
          <w:tcPr>
            <w:tcW w:w="1127" w:type="dxa"/>
            <w:vAlign w:val="center"/>
          </w:tcPr>
          <w:p>
            <w:pPr>
              <w:pStyle w:val="0"/>
              <w:jc w:val="center"/>
            </w:pPr>
            <w:r>
              <w:rPr>
                <w:sz w:val="20"/>
              </w:rPr>
              <w:t xml:space="preserve">44.03.02</w:t>
            </w:r>
          </w:p>
        </w:tc>
        <w:tc>
          <w:tcPr>
            <w:tcW w:w="4050" w:type="dxa"/>
            <w:vAlign w:val="center"/>
          </w:tcPr>
          <w:p>
            <w:pPr>
              <w:pStyle w:val="0"/>
              <w:jc w:val="center"/>
            </w:pPr>
            <w:r>
              <w:rPr>
                <w:sz w:val="20"/>
              </w:rPr>
              <w:t xml:space="preserve">Психолого-педагогическое образование</w:t>
            </w:r>
          </w:p>
        </w:tc>
        <w:tc>
          <w:tcPr>
            <w:tcW w:w="3101" w:type="dxa"/>
            <w:vAlign w:val="center"/>
          </w:tcPr>
          <w:p>
            <w:pPr>
              <w:pStyle w:val="0"/>
              <w:jc w:val="center"/>
            </w:pPr>
            <w:r>
              <w:rPr>
                <w:sz w:val="20"/>
              </w:rPr>
              <w:t xml:space="preserve">211</w:t>
            </w:r>
          </w:p>
        </w:tc>
      </w:tr>
      <w:tr>
        <w:tc>
          <w:tcPr>
            <w:tcW w:w="639" w:type="dxa"/>
            <w:vAlign w:val="center"/>
          </w:tcPr>
          <w:p>
            <w:pPr>
              <w:pStyle w:val="0"/>
              <w:jc w:val="center"/>
            </w:pPr>
            <w:r>
              <w:rPr>
                <w:sz w:val="20"/>
              </w:rPr>
              <w:t xml:space="preserve">11</w:t>
            </w:r>
          </w:p>
        </w:tc>
        <w:tc>
          <w:tcPr>
            <w:tcW w:w="1127" w:type="dxa"/>
            <w:vAlign w:val="center"/>
          </w:tcPr>
          <w:p>
            <w:pPr>
              <w:pStyle w:val="0"/>
              <w:jc w:val="center"/>
            </w:pPr>
            <w:r>
              <w:rPr>
                <w:sz w:val="20"/>
              </w:rPr>
              <w:t xml:space="preserve">40.03.01</w:t>
            </w:r>
          </w:p>
        </w:tc>
        <w:tc>
          <w:tcPr>
            <w:tcW w:w="4050" w:type="dxa"/>
            <w:vAlign w:val="center"/>
          </w:tcPr>
          <w:p>
            <w:pPr>
              <w:pStyle w:val="0"/>
              <w:jc w:val="center"/>
            </w:pPr>
            <w:r>
              <w:rPr>
                <w:sz w:val="20"/>
              </w:rPr>
              <w:t xml:space="preserve">Юриспруденция</w:t>
            </w:r>
          </w:p>
        </w:tc>
        <w:tc>
          <w:tcPr>
            <w:tcW w:w="3101" w:type="dxa"/>
            <w:vAlign w:val="center"/>
          </w:tcPr>
          <w:p>
            <w:pPr>
              <w:pStyle w:val="0"/>
              <w:jc w:val="center"/>
            </w:pPr>
            <w:r>
              <w:rPr>
                <w:sz w:val="20"/>
              </w:rPr>
              <w:t xml:space="preserve">202</w:t>
            </w:r>
          </w:p>
        </w:tc>
      </w:tr>
      <w:tr>
        <w:tc>
          <w:tcPr>
            <w:tcW w:w="639" w:type="dxa"/>
            <w:vAlign w:val="center"/>
          </w:tcPr>
          <w:p>
            <w:pPr>
              <w:pStyle w:val="0"/>
              <w:jc w:val="center"/>
            </w:pPr>
            <w:r>
              <w:rPr>
                <w:sz w:val="20"/>
              </w:rPr>
              <w:t xml:space="preserve">12</w:t>
            </w:r>
          </w:p>
        </w:tc>
        <w:tc>
          <w:tcPr>
            <w:tcW w:w="1127" w:type="dxa"/>
            <w:vAlign w:val="center"/>
          </w:tcPr>
          <w:p>
            <w:pPr>
              <w:pStyle w:val="0"/>
              <w:jc w:val="center"/>
            </w:pPr>
            <w:r>
              <w:rPr>
                <w:sz w:val="20"/>
              </w:rPr>
              <w:t xml:space="preserve">38.04.01</w:t>
            </w:r>
          </w:p>
        </w:tc>
        <w:tc>
          <w:tcPr>
            <w:tcW w:w="4050" w:type="dxa"/>
            <w:vAlign w:val="center"/>
          </w:tcPr>
          <w:p>
            <w:pPr>
              <w:pStyle w:val="0"/>
              <w:jc w:val="center"/>
            </w:pPr>
            <w:r>
              <w:rPr>
                <w:sz w:val="20"/>
              </w:rPr>
              <w:t xml:space="preserve">Экономика (магистратура)</w:t>
            </w:r>
          </w:p>
        </w:tc>
        <w:tc>
          <w:tcPr>
            <w:tcW w:w="3101" w:type="dxa"/>
            <w:vAlign w:val="center"/>
          </w:tcPr>
          <w:p>
            <w:pPr>
              <w:pStyle w:val="0"/>
              <w:jc w:val="center"/>
            </w:pPr>
            <w:r>
              <w:rPr>
                <w:sz w:val="20"/>
              </w:rPr>
              <w:t xml:space="preserve">197</w:t>
            </w:r>
          </w:p>
        </w:tc>
      </w:tr>
      <w:tr>
        <w:tc>
          <w:tcPr>
            <w:tcW w:w="639" w:type="dxa"/>
            <w:vAlign w:val="center"/>
          </w:tcPr>
          <w:p>
            <w:pPr>
              <w:pStyle w:val="0"/>
              <w:jc w:val="center"/>
            </w:pPr>
            <w:r>
              <w:rPr>
                <w:sz w:val="20"/>
              </w:rPr>
              <w:t xml:space="preserve">13</w:t>
            </w:r>
          </w:p>
        </w:tc>
        <w:tc>
          <w:tcPr>
            <w:tcW w:w="1127" w:type="dxa"/>
            <w:vAlign w:val="center"/>
          </w:tcPr>
          <w:p>
            <w:pPr>
              <w:pStyle w:val="0"/>
              <w:jc w:val="center"/>
            </w:pPr>
            <w:r>
              <w:rPr>
                <w:sz w:val="20"/>
              </w:rPr>
              <w:t xml:space="preserve">44.03.01</w:t>
            </w:r>
          </w:p>
        </w:tc>
        <w:tc>
          <w:tcPr>
            <w:tcW w:w="4050" w:type="dxa"/>
            <w:vAlign w:val="center"/>
          </w:tcPr>
          <w:p>
            <w:pPr>
              <w:pStyle w:val="0"/>
              <w:jc w:val="center"/>
            </w:pPr>
            <w:r>
              <w:rPr>
                <w:sz w:val="20"/>
              </w:rPr>
              <w:t xml:space="preserve">Педагогическое образование</w:t>
            </w:r>
          </w:p>
        </w:tc>
        <w:tc>
          <w:tcPr>
            <w:tcW w:w="3101" w:type="dxa"/>
            <w:vAlign w:val="center"/>
          </w:tcPr>
          <w:p>
            <w:pPr>
              <w:pStyle w:val="0"/>
              <w:jc w:val="center"/>
            </w:pPr>
            <w:r>
              <w:rPr>
                <w:sz w:val="20"/>
              </w:rPr>
              <w:t xml:space="preserve">196</w:t>
            </w:r>
          </w:p>
        </w:tc>
      </w:tr>
      <w:tr>
        <w:tc>
          <w:tcPr>
            <w:tcW w:w="639" w:type="dxa"/>
            <w:vAlign w:val="center"/>
          </w:tcPr>
          <w:p>
            <w:pPr>
              <w:pStyle w:val="0"/>
              <w:jc w:val="center"/>
            </w:pPr>
            <w:r>
              <w:rPr>
                <w:sz w:val="20"/>
              </w:rPr>
              <w:t xml:space="preserve">14</w:t>
            </w:r>
          </w:p>
        </w:tc>
        <w:tc>
          <w:tcPr>
            <w:tcW w:w="1127" w:type="dxa"/>
            <w:vAlign w:val="center"/>
          </w:tcPr>
          <w:p>
            <w:pPr>
              <w:pStyle w:val="0"/>
              <w:jc w:val="center"/>
            </w:pPr>
            <w:r>
              <w:rPr>
                <w:sz w:val="20"/>
              </w:rPr>
              <w:t xml:space="preserve">40.05.02</w:t>
            </w:r>
          </w:p>
        </w:tc>
        <w:tc>
          <w:tcPr>
            <w:tcW w:w="4050" w:type="dxa"/>
            <w:vAlign w:val="center"/>
          </w:tcPr>
          <w:p>
            <w:pPr>
              <w:pStyle w:val="0"/>
              <w:jc w:val="center"/>
            </w:pPr>
            <w:r>
              <w:rPr>
                <w:sz w:val="20"/>
              </w:rPr>
              <w:t xml:space="preserve">Правоохранительная деятельность (специалитет)</w:t>
            </w:r>
          </w:p>
        </w:tc>
        <w:tc>
          <w:tcPr>
            <w:tcW w:w="3101" w:type="dxa"/>
            <w:vAlign w:val="center"/>
          </w:tcPr>
          <w:p>
            <w:pPr>
              <w:pStyle w:val="0"/>
              <w:jc w:val="center"/>
            </w:pPr>
            <w:r>
              <w:rPr>
                <w:sz w:val="20"/>
              </w:rPr>
              <w:t xml:space="preserve">194</w:t>
            </w:r>
          </w:p>
        </w:tc>
      </w:tr>
      <w:tr>
        <w:tc>
          <w:tcPr>
            <w:tcW w:w="639" w:type="dxa"/>
            <w:vAlign w:val="center"/>
          </w:tcPr>
          <w:p>
            <w:pPr>
              <w:pStyle w:val="0"/>
              <w:jc w:val="center"/>
            </w:pPr>
            <w:r>
              <w:rPr>
                <w:sz w:val="20"/>
              </w:rPr>
              <w:t xml:space="preserve">15</w:t>
            </w:r>
          </w:p>
        </w:tc>
        <w:tc>
          <w:tcPr>
            <w:tcW w:w="1127" w:type="dxa"/>
            <w:vAlign w:val="center"/>
          </w:tcPr>
          <w:p>
            <w:pPr>
              <w:pStyle w:val="0"/>
              <w:jc w:val="center"/>
            </w:pPr>
            <w:r>
              <w:rPr>
                <w:sz w:val="20"/>
              </w:rPr>
              <w:t xml:space="preserve">35.03.06</w:t>
            </w:r>
          </w:p>
        </w:tc>
        <w:tc>
          <w:tcPr>
            <w:tcW w:w="4050" w:type="dxa"/>
            <w:vAlign w:val="center"/>
          </w:tcPr>
          <w:p>
            <w:pPr>
              <w:pStyle w:val="0"/>
              <w:jc w:val="center"/>
            </w:pPr>
            <w:r>
              <w:rPr>
                <w:sz w:val="20"/>
              </w:rPr>
              <w:t xml:space="preserve">Агроинженерия</w:t>
            </w:r>
          </w:p>
        </w:tc>
        <w:tc>
          <w:tcPr>
            <w:tcW w:w="3101" w:type="dxa"/>
            <w:vAlign w:val="center"/>
          </w:tcPr>
          <w:p>
            <w:pPr>
              <w:pStyle w:val="0"/>
              <w:jc w:val="center"/>
            </w:pPr>
            <w:r>
              <w:rPr>
                <w:sz w:val="20"/>
              </w:rPr>
              <w:t xml:space="preserve">165</w:t>
            </w:r>
          </w:p>
        </w:tc>
      </w:tr>
    </w:tbl>
    <w:p>
      <w:pPr>
        <w:pStyle w:val="0"/>
        <w:jc w:val="both"/>
      </w:pPr>
      <w:r>
        <w:rPr>
          <w:sz w:val="20"/>
        </w:rPr>
      </w:r>
    </w:p>
    <w:p>
      <w:pPr>
        <w:pStyle w:val="0"/>
        <w:ind w:firstLine="540"/>
        <w:jc w:val="both"/>
      </w:pPr>
      <w:r>
        <w:rPr>
          <w:sz w:val="20"/>
        </w:rPr>
        <w:t xml:space="preserve">В Курской области самый большой набор обучающихся на бюджетной и внебюджетной основе на специальности (направления подготовки) "Лечебное дело" (845 человек), "Экономика" (548 человек), "Юриспруденция" (магистратура, 365 человек), "Педагогическое образование" (с двумя профилями - 331 человек), "Менеджмент" (275 человек), "Строительство" (254 человека).</w:t>
      </w:r>
    </w:p>
    <w:p>
      <w:pPr>
        <w:pStyle w:val="0"/>
        <w:spacing w:before="200" w:line-rule="auto"/>
        <w:ind w:firstLine="540"/>
        <w:jc w:val="both"/>
      </w:pPr>
      <w:r>
        <w:rPr>
          <w:sz w:val="20"/>
        </w:rPr>
        <w:t xml:space="preserve">По информации Рособрнадзора, названные направления подготовки и специальности являются самыми популярными у абитуриентов и в целом по России.</w:t>
      </w:r>
    </w:p>
    <w:p>
      <w:pPr>
        <w:pStyle w:val="0"/>
        <w:spacing w:before="200" w:line-rule="auto"/>
        <w:ind w:firstLine="540"/>
        <w:jc w:val="both"/>
      </w:pPr>
      <w:r>
        <w:rPr>
          <w:sz w:val="20"/>
        </w:rPr>
        <w:t xml:space="preserve">На основании среднего балла ЕГЭ зачисленных на бюджетные места можно судить о качестве приема в ООВО, расположенные на территории Курской области. Так, в период с 2016 по 2019 год наблюдается тенденция роста среднего балла ЕГЭ зачисленных на бюджетные места: 2016 год - 66,08 балла, 2017 год - 65,54 балла, 2018 год - 67,8 балла, 2019 год - 67,95 балла.</w:t>
      </w:r>
    </w:p>
    <w:p>
      <w:pPr>
        <w:pStyle w:val="0"/>
        <w:spacing w:before="200" w:line-rule="auto"/>
        <w:ind w:firstLine="540"/>
        <w:jc w:val="both"/>
      </w:pPr>
      <w:r>
        <w:rPr>
          <w:sz w:val="20"/>
        </w:rPr>
        <w:t xml:space="preserve">Трудоустройство выпускников - это один из ключевых критериев эффективности деятельности ООВО, положительный результат которой возможен только в итоге системной слаженной работы органов исполнительной власти региона и образовательных организаций высшего образования.</w:t>
      </w:r>
    </w:p>
    <w:p>
      <w:pPr>
        <w:pStyle w:val="0"/>
        <w:spacing w:before="200" w:line-rule="auto"/>
        <w:ind w:firstLine="540"/>
        <w:jc w:val="both"/>
      </w:pPr>
      <w:r>
        <w:rPr>
          <w:sz w:val="20"/>
        </w:rPr>
        <w:t xml:space="preserve">По итогам 4 квартала 2019 года, общий уровень трудоустройства выпускников ООВО составил 91%. В разрезе каналов занятости трудоустройство выпускников представлено следующим образом: трудоустроены 50% (из них по специальности - 62%), продолжили обучение 29%, призваны в армию 11%, ушли в отпуск по уходу за ребенком 2%, не определились с трудоустройством около 8%.</w:t>
      </w:r>
    </w:p>
    <w:p>
      <w:pPr>
        <w:pStyle w:val="0"/>
        <w:spacing w:before="200" w:line-rule="auto"/>
        <w:ind w:firstLine="540"/>
        <w:jc w:val="both"/>
      </w:pPr>
      <w:r>
        <w:rPr>
          <w:sz w:val="20"/>
        </w:rPr>
        <w:t xml:space="preserve">Высокий уровень основных видов деятельности ООВО, расположенных на территории Курской области, подтверждается результатами авторитетных рейтингов. В ежегодный рейтинг высших учебных заведений "ARES-2019" вошли 3 образовательные организации Курской области - Курский государственный медицинский университет, Курский государственный университет и Юго-Западный государственный университет.</w:t>
      </w:r>
    </w:p>
    <w:p>
      <w:pPr>
        <w:pStyle w:val="0"/>
        <w:spacing w:before="200" w:line-rule="auto"/>
        <w:ind w:firstLine="540"/>
        <w:jc w:val="both"/>
      </w:pPr>
      <w:r>
        <w:rPr>
          <w:sz w:val="20"/>
        </w:rPr>
        <w:t xml:space="preserve">В мировом рейтинге Round University Ranking (RUR) - 2018 Курский государственный медицинский университет замыкает тройку лидеров (из 783 университетов), в целом по России - второе место.</w:t>
      </w:r>
    </w:p>
    <w:p>
      <w:pPr>
        <w:pStyle w:val="0"/>
        <w:spacing w:before="200" w:line-rule="auto"/>
        <w:ind w:firstLine="540"/>
        <w:jc w:val="both"/>
      </w:pPr>
      <w:r>
        <w:rPr>
          <w:sz w:val="20"/>
        </w:rPr>
        <w:t xml:space="preserve">О престижности высшего образования, реализуемого в Курской области, свидетельствует и развитие международной интеграции, что способствует планомерному увеличению количества иностранных студентов (с 2045 человек в 2013 году до 3617 в 2019 году). В ООВО обучаются иностранные студенты более чем из 60 стран мира.</w:t>
      </w:r>
    </w:p>
    <w:p>
      <w:pPr>
        <w:pStyle w:val="0"/>
        <w:spacing w:before="200" w:line-rule="auto"/>
        <w:ind w:firstLine="540"/>
        <w:jc w:val="both"/>
      </w:pPr>
      <w:r>
        <w:rPr>
          <w:sz w:val="20"/>
        </w:rPr>
        <w:t xml:space="preserve">Существенный контингент иностранных студентов сосредоточен в ведущих системообразующих ООВО региона (Юго-Западный государственный университет, Курский государственный университет, Курский государственный медицинский университет и Курская государственная сельскохозяйственная академия им. И.И. Иванова), где обучается около 90% студентов-иностранцев. Лидером по количеству иностранных студентов является Курский государственный медицинский университет (более 2 тыс. человек, около 70% от общего количества иностранных студентов в регионе), причем абсолютное большинство обучающихся (97%) из стран дальнего зарубежья.</w:t>
      </w:r>
    </w:p>
    <w:p>
      <w:pPr>
        <w:pStyle w:val="0"/>
        <w:spacing w:before="200" w:line-rule="auto"/>
        <w:ind w:firstLine="540"/>
        <w:jc w:val="both"/>
      </w:pPr>
      <w:r>
        <w:rPr>
          <w:sz w:val="20"/>
        </w:rPr>
        <w:t xml:space="preserve">В сфере высшего образования Курской области четко выстроена система воспитательной работы, включающая комплекс мер по социальной и культурной адаптации иностранных граждан. Указанная деятельность осуществляется в тесном взаимодействии с сотрудниками УМВД России по Курской области, УФМС России по Курской области, прокуратуры Курской области, Следственного управления Следственного комитета Российской Федерации по Курской области.</w:t>
      </w:r>
    </w:p>
    <w:p>
      <w:pPr>
        <w:pStyle w:val="0"/>
        <w:spacing w:before="200" w:line-rule="auto"/>
        <w:ind w:firstLine="540"/>
        <w:jc w:val="both"/>
      </w:pPr>
      <w:r>
        <w:rPr>
          <w:sz w:val="20"/>
        </w:rPr>
        <w:t xml:space="preserve">В ООВО организовано постоянное взаимодействие с посольствами иностранных государств, созданы органы студенческого самоуправления, деятельность которых направлена на духовно-нравственное воспитание и формирование у молодежи гражданского сознания независимо от национальности, религии, вероисповедания.</w:t>
      </w:r>
    </w:p>
    <w:p>
      <w:pPr>
        <w:pStyle w:val="0"/>
        <w:spacing w:before="200" w:line-rule="auto"/>
        <w:ind w:firstLine="540"/>
        <w:jc w:val="both"/>
      </w:pPr>
      <w:r>
        <w:rPr>
          <w:sz w:val="20"/>
        </w:rPr>
        <w:t xml:space="preserve">По данным мониторинга количества иностранных студентов и объема средств от образовательной деятельности, полученных от иностранных граждан в 2017 году, проведенного РАНХиГС, Курская область находится на 3-м месте в России (вслед за Москвой и Санкт-Петербургом). По названному показателю Курский государственный медицинский университет занимает 2-е место в России (на 1 месте - Российский университет дружбы народов).</w:t>
      </w:r>
    </w:p>
    <w:p>
      <w:pPr>
        <w:pStyle w:val="0"/>
        <w:spacing w:before="200" w:line-rule="auto"/>
        <w:ind w:firstLine="540"/>
        <w:jc w:val="both"/>
      </w:pPr>
      <w:r>
        <w:rPr>
          <w:sz w:val="20"/>
        </w:rPr>
        <w:t xml:space="preserve">Курский государственный медицинский университет также ежегодно входит в рейтинг 100 лучших университетов страны по версии Рейтингового агентства RAEX ("Эксперт РА") (69-е место в 2018 году, 74-е - в 2017 году, 81-е - в 2016 году).</w:t>
      </w:r>
    </w:p>
    <w:p>
      <w:pPr>
        <w:pStyle w:val="0"/>
        <w:spacing w:before="200" w:line-rule="auto"/>
        <w:ind w:firstLine="540"/>
        <w:jc w:val="both"/>
      </w:pPr>
      <w:r>
        <w:rPr>
          <w:sz w:val="20"/>
        </w:rPr>
        <w:t xml:space="preserve">Система высшего образования Курской области фактически выступает экспортером образовательных услуг для других регионов России. Выпускники вузов уезжают в другие регионы на постоянную занятость. Фактически рынок труда Курской области не может обеспечить высококвалифицированные кадры рабочими местами. Кризисные явления в России не только создают очевидные угрозы занятости, но и возможности для менее развитых регионов. В предыдущие подобные периоды привлекательность города Москвы для квалифицированных иностранных граждан снижалась, так доля столицы в числе прибывших иностранных граждан сокращалась на 20 - 30% в кризисные 2015 - 2016 гг. В кризис кардинальным образом меняются предпочтения людей, а большой скученный город в результате пандемии может стать менее привлекательным, чем небольшие центры с комфортной городской средой. К тому же, ответом на этот кризис может стать большая автоматизация и цифровизация всех процессов. Поэтому высококвалифицированные кадры могут задуматься о переезде в другие регионы. В этих условиях значимость приобретут не только понятные экономические стимулы (зарплата, занятость), но и возможность самореализации (в том числе создание собственного бизнеса), комфортность и безопасность проживания. Курская область входит в число привлекательных регионов.</w:t>
      </w:r>
    </w:p>
    <w:p>
      <w:pPr>
        <w:pStyle w:val="0"/>
        <w:spacing w:before="200" w:line-rule="auto"/>
        <w:ind w:firstLine="540"/>
        <w:jc w:val="both"/>
      </w:pPr>
      <w:r>
        <w:rPr>
          <w:sz w:val="20"/>
        </w:rPr>
        <w:t xml:space="preserve">Научно-исследовательский потенциал. В Курской области имеются уникальные компетенции в научно-исследовательской сфере. По итогам 2019 года научно-технический потенциал Курской области представлен восемнадцатью учреждениями, в их числе: ФГУП "18 Центральный научно-исследовательский институт" Министерства обороны Российской Федерации, ФГБНУ "Курский федеральный аграрный научный центр", АО "Авиаавтоматика им. В.В. Тарасова", Льговская опытно-селекционная станция и т.д. Исследования проводятся также на базе ведущих ООВО региона и в Госкорпорации "Росатом".</w:t>
      </w:r>
    </w:p>
    <w:p>
      <w:pPr>
        <w:pStyle w:val="0"/>
        <w:spacing w:before="200" w:line-rule="auto"/>
        <w:ind w:firstLine="540"/>
        <w:jc w:val="both"/>
      </w:pPr>
      <w:r>
        <w:rPr>
          <w:sz w:val="20"/>
        </w:rPr>
        <w:t xml:space="preserve">Численность персонала, занятого исследованиями и разработками в регионе, за период с 2015 по 2019 годы уменьшилась на 440 человек (в 2015 году - 2891, в 2019 году - 2451). При этом за тот же период объем выполненных работ и услуг увеличился с 3088,0 млн. рублей в 2015 году до 3128,7 млн. рублей в 2019 году; внутренние затраты на научные исследования и разработки также незначительно выросли: с 2762,6 млн. рублей в 2015 году до 2893,3 млн. рублей в 2019 году.</w:t>
      </w:r>
    </w:p>
    <w:p>
      <w:pPr>
        <w:pStyle w:val="0"/>
        <w:spacing w:before="200" w:line-rule="auto"/>
        <w:ind w:firstLine="540"/>
        <w:jc w:val="both"/>
      </w:pPr>
      <w:r>
        <w:rPr>
          <w:sz w:val="20"/>
        </w:rPr>
        <w:t xml:space="preserve">Следует отметить научно-исследовательскую деятельность системообразующих ООВО Курской области, на базе которых осуществляется подготовка аспирантов в рамках реализации 18 укрупненных групп специальностей и направлений (УГСН). В настоящее время в регионе действует более 100 научных школ. Абсолютное большинство ведущих преподавателей курских ООВО преподавательскую работу сочетают с научной деятельностью.</w:t>
      </w:r>
    </w:p>
    <w:p>
      <w:pPr>
        <w:pStyle w:val="0"/>
        <w:spacing w:before="200" w:line-rule="auto"/>
        <w:ind w:firstLine="540"/>
        <w:jc w:val="both"/>
      </w:pPr>
      <w:r>
        <w:rPr>
          <w:sz w:val="20"/>
        </w:rPr>
        <w:t xml:space="preserve">Численность профессорско-преподавательского состава образовательных организаций высшего образования составляет около 1800 человек, из них: ученую степень кандидата наук имеют 1110 человек, доктора наук - 315, ученое звание доцента - 712, профессора - 194.</w:t>
      </w:r>
    </w:p>
    <w:p>
      <w:pPr>
        <w:pStyle w:val="0"/>
        <w:spacing w:before="200" w:line-rule="auto"/>
        <w:ind w:firstLine="540"/>
        <w:jc w:val="both"/>
      </w:pPr>
      <w:r>
        <w:rPr>
          <w:sz w:val="20"/>
        </w:rPr>
        <w:t xml:space="preserve">В Курской области научно-исследовательской работой занимаются более 5 тысяч молодых ученых; около 2 тысяч ежегодно принимают участие в межвузовских, общероссийских и международных конференциях; работы более 1 тыс. молодых ученых носят многолетний характер.</w:t>
      </w:r>
    </w:p>
    <w:p>
      <w:pPr>
        <w:pStyle w:val="0"/>
        <w:spacing w:before="200" w:line-rule="auto"/>
        <w:ind w:firstLine="540"/>
        <w:jc w:val="both"/>
      </w:pPr>
      <w:r>
        <w:rPr>
          <w:sz w:val="20"/>
        </w:rPr>
        <w:t xml:space="preserve">Талантливые молодые ученые успешно участвуют в федеральных проектах. Начиная с 2012 года, молодые ученые региона становятся обладателями грантов Президента Российской Федерации в рамках реализации </w:t>
      </w:r>
      <w:hyperlink w:history="0" r:id="rId55" w:tooltip="Указ Президента РФ от 09.02.2009 N 146 &quot;О мерах по усилению государственной поддержки молодых российских ученых - кандидатов и докторов наук&quot; {КонсультантПлюс}">
        <w:r>
          <w:rPr>
            <w:sz w:val="20"/>
            <w:color w:val="0000ff"/>
          </w:rPr>
          <w:t xml:space="preserve">Указа</w:t>
        </w:r>
      </w:hyperlink>
      <w:r>
        <w:rPr>
          <w:sz w:val="20"/>
        </w:rPr>
        <w:t xml:space="preserve"> Президента Российской Федерации от 9 февраля 2009 года N 146 "О мерах по усилению государственной поддержки молодых российских ученых-кандидатов и докторов наук" (в 2014 году - 5, в 2015 году - 5, в 2016 году - 6, в 2017 году - 7, в 2018 году - 8, в 2019 году - 5).</w:t>
      </w:r>
    </w:p>
    <w:p>
      <w:pPr>
        <w:pStyle w:val="0"/>
        <w:spacing w:before="200" w:line-rule="auto"/>
        <w:ind w:firstLine="540"/>
        <w:jc w:val="both"/>
      </w:pPr>
      <w:r>
        <w:rPr>
          <w:sz w:val="20"/>
        </w:rPr>
        <w:t xml:space="preserve">С 2012 года ежегодно более 30 студентов и аспирантов, обучающихся по приоритетным направлениям подготовки (специальностям), становятся получателями стипендии Президента Российской Федерации и Правительства Российской Федерации.</w:t>
      </w:r>
    </w:p>
    <w:p>
      <w:pPr>
        <w:pStyle w:val="0"/>
        <w:spacing w:before="200" w:line-rule="auto"/>
        <w:ind w:firstLine="540"/>
        <w:jc w:val="both"/>
      </w:pPr>
      <w:r>
        <w:rPr>
          <w:sz w:val="20"/>
        </w:rPr>
        <w:t xml:space="preserve">Органами исполнительной власти Курской области постоянно проводится работа по развитию инновационной деятельности в различных направлениях. Формируется необходимая нормативная база, создается инновационная инфраструктура, оказывается необходимая поддержка ученым и студентам, предлагающим новые идеи и разработки.</w:t>
      </w:r>
    </w:p>
    <w:p>
      <w:pPr>
        <w:pStyle w:val="0"/>
        <w:jc w:val="both"/>
      </w:pPr>
      <w:r>
        <w:rPr>
          <w:sz w:val="20"/>
        </w:rPr>
        <w:t xml:space="preserve">(в ред. </w:t>
      </w:r>
      <w:hyperlink w:history="0" r:id="rId56"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С 2000 года в Курской области также ежегодно назначаются и выплачиваются стипендии Губернатора Курской области для студентов и аспирантов, достигших наиболее значительных результатов в учебной и научной деятельности (в период с 2000 по 2005 годы - 3 стипендии, с 2006 по 2013 годы - 9, с 2014 года - 10).</w:t>
      </w:r>
    </w:p>
    <w:p>
      <w:pPr>
        <w:pStyle w:val="0"/>
        <w:spacing w:before="200" w:line-rule="auto"/>
        <w:ind w:firstLine="540"/>
        <w:jc w:val="both"/>
      </w:pPr>
      <w:r>
        <w:rPr>
          <w:sz w:val="20"/>
        </w:rPr>
        <w:t xml:space="preserve">Также в Курской области с 2012 года реализуется федеральная программа "Умник". За это время одобрение и поддержку в виде гранта размером до 500 тыс. рублей получили около 60 молодых ученых в сферах IT, медицины будущего, современных материалов, аппаратных комплексов, биотехнологий.</w:t>
      </w:r>
    </w:p>
    <w:p>
      <w:pPr>
        <w:pStyle w:val="0"/>
        <w:spacing w:before="200" w:line-rule="auto"/>
        <w:ind w:firstLine="540"/>
        <w:jc w:val="both"/>
      </w:pPr>
      <w:r>
        <w:rPr>
          <w:sz w:val="20"/>
        </w:rPr>
        <w:t xml:space="preserve">С 2013 года в регионе реализуется программа "Старт", направленная на создание новых и поддержку существующих малых инновационных предприятий, стремящихся разработать и освоить производство нового товара, изделия, технологии или услуги с использованием результатов собственных научно-технических и технологических исследований, находящихся на начальной стадии развития и имеющих значительный потенциал коммерциализации. В рамках данной инициативы в 2013 - 2017 гг. было поддержано 8 инновационных проектов, каждый из которых получил грантовую поддержку.</w:t>
      </w:r>
    </w:p>
    <w:p>
      <w:pPr>
        <w:pStyle w:val="0"/>
        <w:spacing w:before="200" w:line-rule="auto"/>
        <w:ind w:firstLine="540"/>
        <w:jc w:val="both"/>
      </w:pPr>
      <w:r>
        <w:rPr>
          <w:sz w:val="20"/>
        </w:rPr>
        <w:t xml:space="preserve">С целью создания и продвижения на рынок перспективной продукции, новых технологий и изобретений, имеющих высокую социальную значимость, ежегодно проводится областной конкурс инновационных проектов "Инновация и изобретение года" и присуждаются премии в 3 номинациях "Инновационная идея", "Инновационный проект", "Инновационный продукт".</w:t>
      </w:r>
    </w:p>
    <w:p>
      <w:pPr>
        <w:pStyle w:val="0"/>
        <w:spacing w:before="200" w:line-rule="auto"/>
        <w:ind w:firstLine="540"/>
        <w:jc w:val="both"/>
      </w:pPr>
      <w:r>
        <w:rPr>
          <w:sz w:val="20"/>
        </w:rPr>
        <w:t xml:space="preserve">Также ежегодно присуждается 4 премии Губернатора Курской области в области науки и инноваций для молодых ученых и специалистов. Основаниями для присуждения этой премии являются результаты научных исследований, внесших значительный вклад в развитие естественных, технических, общественных и гуманитарных наук; разработка образцов новой техники и прогрессивных технологий, обеспечивающих инновационное развитие экономики и социальной сферы; инновационные разработки в различных отраслях экономики, реализованные на территории Курской области.</w:t>
      </w:r>
    </w:p>
    <w:p>
      <w:pPr>
        <w:pStyle w:val="0"/>
        <w:spacing w:before="200" w:line-rule="auto"/>
        <w:ind w:firstLine="540"/>
        <w:jc w:val="both"/>
      </w:pPr>
      <w:r>
        <w:rPr>
          <w:sz w:val="20"/>
        </w:rPr>
        <w:t xml:space="preserve">Ежегодно осуществляется финансирование проектов в рамках Соглашения, заключенного между Администрацией Курской области и Российским фондом фундаментальных исследований.</w:t>
      </w:r>
    </w:p>
    <w:p>
      <w:pPr>
        <w:pStyle w:val="0"/>
        <w:spacing w:before="200" w:line-rule="auto"/>
        <w:ind w:firstLine="540"/>
        <w:jc w:val="both"/>
      </w:pPr>
      <w:r>
        <w:rPr>
          <w:sz w:val="20"/>
        </w:rPr>
        <w:t xml:space="preserve">Престиж научных исследований региона подтверждается при проведении мероприятий федерального уровня.</w:t>
      </w:r>
    </w:p>
    <w:p>
      <w:pPr>
        <w:pStyle w:val="0"/>
        <w:spacing w:before="200" w:line-rule="auto"/>
        <w:ind w:firstLine="540"/>
        <w:jc w:val="both"/>
      </w:pPr>
      <w:r>
        <w:rPr>
          <w:sz w:val="20"/>
        </w:rPr>
        <w:t xml:space="preserve">В 2018 году Курская область была удостоена чести провести церемонию вручения Национальной Премии "Профессор года" по Центральному федеральному округу. В торжественной церемонии приняли участие выдающиеся деятели науки из 15 регионов ЦФО. Трое из 18 лауреатов Премии - это представители курских ООВО.</w:t>
      </w:r>
    </w:p>
    <w:p>
      <w:pPr>
        <w:pStyle w:val="0"/>
        <w:spacing w:before="200" w:line-rule="auto"/>
        <w:ind w:firstLine="540"/>
        <w:jc w:val="both"/>
      </w:pPr>
      <w:r>
        <w:rPr>
          <w:sz w:val="20"/>
        </w:rPr>
        <w:t xml:space="preserve">В 2019 году на базе Курского государственного университета прошел международный семинар ученых-экспертов России и стран АСЕАН "Биологическая (паразитарная) безопасность объектов окружающей среды, продуктов питания и профилактика паразитарных болезней". Выбор места проведения обусловлен признанием международным сообществом вклада Курского государственного университета в научные исследования в области паразитологии.</w:t>
      </w:r>
    </w:p>
    <w:p>
      <w:pPr>
        <w:pStyle w:val="0"/>
        <w:spacing w:before="200" w:line-rule="auto"/>
        <w:ind w:firstLine="540"/>
        <w:jc w:val="both"/>
      </w:pPr>
      <w:r>
        <w:rPr>
          <w:sz w:val="20"/>
        </w:rPr>
        <w:t xml:space="preserve">В январе 2019 года в Государственной Думе Федерального Собрания Российской Федерации организована выставка "Курский государственный медицинский университет - первый в регионе", посвященная достижениям университета как одного из самых престижных медицинских университетов страны. Выставка не только продемонстрировала достижения Курского государственного медицинского университета в образовательной, научно-исследовательской, международной, волонтерской, воспитательной сферах, спортивной и культурной деятельности, но и представила Курскую область как научно-инновационный и социально заинтересованный регион.</w:t>
      </w:r>
    </w:p>
    <w:p>
      <w:pPr>
        <w:pStyle w:val="0"/>
        <w:spacing w:before="200" w:line-rule="auto"/>
        <w:ind w:firstLine="540"/>
        <w:jc w:val="both"/>
      </w:pPr>
      <w:r>
        <w:rPr>
          <w:sz w:val="20"/>
        </w:rPr>
        <w:t xml:space="preserve">В рамках работы Московского международного салона образования - 2019 подписано Соглашение о сотрудничестве между Администрацией Курской области, Курским государственным университетом и международным детским центром "Артек". Курский государственный университет признан лучшим вузом-партнером "Артека" по итогам 2018 года, что стало основой для запуска проекта "Губернаторский лагерь". Курская область выступает вторым регионом, в котором реализуется экспорт образовательных программ "Артека" в субъекты Российской Федерации.</w:t>
      </w:r>
    </w:p>
    <w:p>
      <w:pPr>
        <w:pStyle w:val="0"/>
        <w:spacing w:before="200" w:line-rule="auto"/>
        <w:ind w:firstLine="540"/>
        <w:jc w:val="both"/>
      </w:pPr>
      <w:r>
        <w:rPr>
          <w:sz w:val="20"/>
        </w:rPr>
        <w:t xml:space="preserve">При проведении Петербургского международного экономического форума подписано Соглашение о сотрудничестве между Администрацией Курской области, фондом "Сколково" и Юго-Западным государственным университетом, которое предусматривает создание на базе ЮЗГУ региональной площадки фонда, что позволит ученым региона получить дополнительную поддержку в апробации своих проектных решений.</w:t>
      </w:r>
    </w:p>
    <w:p>
      <w:pPr>
        <w:pStyle w:val="0"/>
        <w:spacing w:before="200" w:line-rule="auto"/>
        <w:ind w:firstLine="540"/>
        <w:jc w:val="both"/>
      </w:pPr>
      <w:r>
        <w:rPr>
          <w:sz w:val="20"/>
        </w:rPr>
        <w:t xml:space="preserve">По результатам участия в Российской агропромышленной выставке "Золотая осень" - 2019 Курской государственной сельскохозяйственной академией получены 7 золотых, 6 серебряных и 8 бронзовых медалей за инновационные научно-технические разработки в области сельского хозяйства и экологии.</w:t>
      </w:r>
    </w:p>
    <w:p>
      <w:pPr>
        <w:pStyle w:val="0"/>
        <w:spacing w:before="200" w:line-rule="auto"/>
        <w:ind w:firstLine="540"/>
        <w:jc w:val="both"/>
      </w:pPr>
      <w:r>
        <w:rPr>
          <w:sz w:val="20"/>
        </w:rPr>
        <w:t xml:space="preserve">Вместе с тем, по доле затрат на НИОКР в валовом региональном продукте (0,64%) в 2018 году регион имеет значение ниже среднероссийского показателя (1,21% ВВП), хотя еще в 2018 году это значение (1,53%) превышало среднероссийское. Снижение связано с сокращением финансирования исследований на крупнейших предприятиях области.</w:t>
      </w:r>
    </w:p>
    <w:p>
      <w:pPr>
        <w:pStyle w:val="0"/>
        <w:spacing w:before="200" w:line-rule="auto"/>
        <w:ind w:firstLine="540"/>
        <w:jc w:val="both"/>
      </w:pPr>
      <w:r>
        <w:rPr>
          <w:sz w:val="20"/>
        </w:rPr>
        <w:t xml:space="preserve">Учеными Курской области в 2018 году опубликовано 133 статьи в журналах, индексируемых в Web of Science (0,22% от общего числа в России), или 12,6 в расчете на 100 исследователей. Регион по последнему показателю, отражающему востребованность и уровень исследований, занимает 63-е место среди регионов, хотя еще в 2015 году занимал 40-е. Это значение растет по всей стране благодаря проводимой политике стимулирования публикаций в зарубежных журналах с высоким импакт-фактором. Среднероссийское значение показателя (16,8) - выше значения для Курской области, что связано с поддержкой ведущих вузов в крупнейших агломерациях и научных центрах страны. В 2018 году число указанных публикаций в Курской области снизилось по сравнению с 2016 - 2017 годами.</w:t>
      </w:r>
    </w:p>
    <w:p>
      <w:pPr>
        <w:pStyle w:val="0"/>
        <w:spacing w:before="200" w:line-rule="auto"/>
        <w:ind w:firstLine="540"/>
        <w:jc w:val="both"/>
      </w:pPr>
      <w:r>
        <w:rPr>
          <w:sz w:val="20"/>
        </w:rPr>
        <w:t xml:space="preserve">По числу выданных патентов на изобретения в расчете на 1 млн. чел. населения Курская область опережает среднероссийский показатель - 232,2 (по России в 2018 году - 139,8). В рейтинге инновационных регионов России, сформированном Ассоциацией инновационных регионов России (АИРР) в 2018 году, Курская область занимала 40-е место (52-е место - в 2017 году, 53-е - в 2016 году, 28-е - в 2015 году). При этом доля занятых в НИОКР составляет всего 0,5% от численности занятых в регионе (при 0,97% в среднем для России), это значение снижалось в последние годы, что соответствует общероссийской тенденции. Последнее связано со снижением финансирования и неконкурентоспособной заработной платой в научно-исследовательском секторе региона в сравнении с крупными агломерациями и развитыми странами.</w:t>
      </w:r>
    </w:p>
    <w:p>
      <w:pPr>
        <w:pStyle w:val="0"/>
        <w:spacing w:before="200" w:line-rule="auto"/>
        <w:ind w:firstLine="540"/>
        <w:jc w:val="both"/>
      </w:pPr>
      <w:r>
        <w:rPr>
          <w:sz w:val="20"/>
        </w:rPr>
        <w:t xml:space="preserve">В целях организации эффективной работы в области высшего образования и науки, а также интеграции науки, образования и реального сектора экономики, обеспечения взаимодействия Администрации Курской области с образовательными организациями высшего образования, научными организациями, обобщения и распространения положительного опыта по организации научной работы в Курской области постановлением Губернатора Курской области от 25.09.2020 N 284-пг создан Совет по вопросам высшего образования и науки Курской области.</w:t>
      </w:r>
    </w:p>
    <w:p>
      <w:pPr>
        <w:pStyle w:val="0"/>
        <w:spacing w:before="200" w:line-rule="auto"/>
        <w:ind w:firstLine="540"/>
        <w:jc w:val="both"/>
      </w:pPr>
      <w:r>
        <w:rPr>
          <w:sz w:val="20"/>
        </w:rPr>
        <w:t xml:space="preserve">Основными задачами ближайших лет в сфере высшего образования и науки региона являются развитие научных и образовательно-производственных кластеров, создание необходимых условий для развития и эффективного использования интеллектуального потенциала Курской области, в том числе посредством организации поддержки научно-исследовательской деятельности крупными предприятиями и организациями региона. В настоящее время в регионе реализуется региональный проект "Кадры для цифровой экономики", что является логичным продолжением участия ООВО в федеральном проекте "Новые возможности для каждого", а также прорабатывается вопрос возможного участия региона в конкурсе на создание научно-образовательного центра мирового уровня.</w:t>
      </w:r>
    </w:p>
    <w:p>
      <w:pPr>
        <w:pStyle w:val="0"/>
        <w:spacing w:before="200" w:line-rule="auto"/>
        <w:ind w:firstLine="540"/>
        <w:jc w:val="both"/>
      </w:pPr>
      <w:r>
        <w:rPr>
          <w:sz w:val="20"/>
        </w:rPr>
        <w:t xml:space="preserve">Профилактика правонарушений и противодействие преступности. Согласно данным УМВД России по Курской области по итогам 2019 года общее количество преступлений на территории Курской области увеличилось на 8,1% (с 12210 до 13203; в ЦФО +1,1%, по России +1,6%). Вместе с тем в сравнении с 2015 годом количество преступлений по итогам 2019 года уменьшилось на 7,2%.</w:t>
      </w:r>
    </w:p>
    <w:p>
      <w:pPr>
        <w:pStyle w:val="0"/>
        <w:spacing w:before="200" w:line-rule="auto"/>
        <w:ind w:firstLine="540"/>
        <w:jc w:val="both"/>
      </w:pPr>
      <w:r>
        <w:rPr>
          <w:sz w:val="20"/>
        </w:rPr>
        <w:t xml:space="preserve">В целях реализации государственной политики в сфере профилактики правонарушений, обеспечения общественного порядка, противодействия преступности разработана государственная программа Курской области "Профилактика правонарушений в Курской области". Цели государственной программы будут достигнуты путем создания условий для безопасной жизнедеятельности населения и территорий Курской области, обеспечения надежной защиты личности, общества и государства от преступных посягательств, обеспечения общественного порядка на территории Курской области.</w:t>
      </w:r>
    </w:p>
    <w:p>
      <w:pPr>
        <w:pStyle w:val="0"/>
        <w:spacing w:before="200" w:line-rule="auto"/>
        <w:ind w:firstLine="540"/>
        <w:jc w:val="both"/>
      </w:pPr>
      <w:r>
        <w:rPr>
          <w:sz w:val="20"/>
        </w:rPr>
        <w:t xml:space="preserve">Выполнение данной программы является одним из инструментов реализации Стратегии.</w:t>
      </w:r>
    </w:p>
    <w:p>
      <w:pPr>
        <w:pStyle w:val="0"/>
        <w:spacing w:before="200" w:line-rule="auto"/>
        <w:ind w:firstLine="540"/>
        <w:jc w:val="both"/>
      </w:pPr>
      <w:r>
        <w:rPr>
          <w:sz w:val="20"/>
        </w:rPr>
        <w:t xml:space="preserve">Анализ оперативной обстановки по линии борьбы с незаконным оборотом наркотических средств, психотропных и сильнодействующих веществ позволяет сделать следующие выводы.</w:t>
      </w:r>
    </w:p>
    <w:p>
      <w:pPr>
        <w:pStyle w:val="0"/>
        <w:spacing w:before="200" w:line-rule="auto"/>
        <w:ind w:firstLine="540"/>
        <w:jc w:val="both"/>
      </w:pPr>
      <w:r>
        <w:rPr>
          <w:sz w:val="20"/>
        </w:rPr>
        <w:t xml:space="preserve">Правоохранительными органами Курской области в 2019 году выявлено 1082 преступления в сфере незаконного оборота наркотиков, что на 6,25% выше уровня выявленных наркопреступлений 2018 года - 1019. В течение 2019 года правоохранительными органами Курской области выявлено 921 административное правонарушение, связанное с незаконным оборотом или потреблением наркотических средств, что на 152 меньше периода 2018 года (1073). В 2019 году было выявлено 14 преступлений, совершенных с участием 18 несовершеннолетних (в 2018 году - за совершение 16 преступлений привлечено 20 несовершеннолетних).</w:t>
      </w:r>
    </w:p>
    <w:p>
      <w:pPr>
        <w:pStyle w:val="0"/>
        <w:spacing w:before="200" w:line-rule="auto"/>
        <w:ind w:firstLine="540"/>
        <w:jc w:val="both"/>
      </w:pPr>
      <w:r>
        <w:rPr>
          <w:sz w:val="20"/>
        </w:rPr>
        <w:t xml:space="preserve">В 2019 году за преступления, связанные с незаконным оборотом наркотических средств, психотропных и сильнодействующих веществ, по основной и дополнительной квалификации были осуждены 498 человек, из них 15 несовершеннолетних (в 2018 году - 626, из них 23 несовершеннолетних; в 2017 году - 671, из них 20 несовершеннолетних).</w:t>
      </w:r>
    </w:p>
    <w:p>
      <w:pPr>
        <w:pStyle w:val="0"/>
        <w:spacing w:before="200" w:line-rule="auto"/>
        <w:ind w:firstLine="540"/>
        <w:jc w:val="both"/>
      </w:pPr>
      <w:r>
        <w:rPr>
          <w:sz w:val="20"/>
        </w:rPr>
        <w:t xml:space="preserve">Таким образом, проблема наркопреступности на территории региона стоит достаточно остро, но реализация совместных с правоохранительными органами и органами государственной власти комплексных организационных и практических мероприятий позволяет в основном обеспечить необходимый контроль за наркоситуацией и наркопреступностью на территории Курской области, в частности за наиболее опасными ее явлениями - организованными преступными формами.</w:t>
      </w:r>
    </w:p>
    <w:p>
      <w:pPr>
        <w:pStyle w:val="0"/>
        <w:spacing w:before="200" w:line-rule="auto"/>
        <w:ind w:firstLine="540"/>
        <w:jc w:val="both"/>
      </w:pPr>
      <w:r>
        <w:rPr>
          <w:sz w:val="20"/>
        </w:rPr>
        <w:t xml:space="preserve">В 2019 году в сравнении с 2018 годом зарегистрировано значительное снижение по всем основным медицинским показателям, включая:</w:t>
      </w:r>
    </w:p>
    <w:p>
      <w:pPr>
        <w:pStyle w:val="0"/>
        <w:spacing w:before="200" w:line-rule="auto"/>
        <w:ind w:firstLine="540"/>
        <w:jc w:val="both"/>
      </w:pPr>
      <w:r>
        <w:rPr>
          <w:sz w:val="20"/>
        </w:rPr>
        <w:t xml:space="preserve">общее число зарегистрированных лиц, допускающих немедицинское потребление психоактивных веществ (ПАВ), составило 2146 человек и сократилось за последний год на 13,98% (2018 г. - 2495);</w:t>
      </w:r>
    </w:p>
    <w:p>
      <w:pPr>
        <w:pStyle w:val="0"/>
        <w:spacing w:before="200" w:line-rule="auto"/>
        <w:ind w:firstLine="540"/>
        <w:jc w:val="both"/>
      </w:pPr>
      <w:r>
        <w:rPr>
          <w:sz w:val="20"/>
        </w:rPr>
        <w:t xml:space="preserve">общее количество зарегистрированных в 2019 году больных наркоманией - 1162 человек (2018 г. - 1307) сократилось на 11,09%;</w:t>
      </w:r>
    </w:p>
    <w:p>
      <w:pPr>
        <w:pStyle w:val="0"/>
        <w:spacing w:before="200" w:line-rule="auto"/>
        <w:ind w:firstLine="540"/>
        <w:jc w:val="both"/>
      </w:pPr>
      <w:r>
        <w:rPr>
          <w:sz w:val="20"/>
        </w:rPr>
        <w:t xml:space="preserve">общее количество больных наркоманией, зарегистрированных в 2019 году впервые в жизни установленным диагнозом, составило 67 человек, что на 9% меньше, чем в 2018 году (74).</w:t>
      </w:r>
    </w:p>
    <w:p>
      <w:pPr>
        <w:pStyle w:val="0"/>
        <w:spacing w:before="200" w:line-rule="auto"/>
        <w:ind w:firstLine="540"/>
        <w:jc w:val="both"/>
      </w:pPr>
      <w:r>
        <w:rPr>
          <w:sz w:val="20"/>
        </w:rPr>
        <w:t xml:space="preserve">Анализ возрастной регистрации потребителей наркотиков свидетельствует, что наибольшее распространение наркотизация получила в группе от 20 до 39 лет (66,4%).</w:t>
      </w:r>
    </w:p>
    <w:p>
      <w:pPr>
        <w:pStyle w:val="0"/>
        <w:spacing w:before="200" w:line-rule="auto"/>
        <w:ind w:firstLine="540"/>
        <w:jc w:val="both"/>
      </w:pPr>
      <w:r>
        <w:rPr>
          <w:sz w:val="20"/>
        </w:rPr>
        <w:t xml:space="preserve">В 2019 году отмечается снижение числа несовершеннолетних с диагнозом "наркомания", состоящих на диспансерном наблюдении в наркологических кабинетах области, - с 5 в 2018 году до 3 в 2019 году (2017 год - 8 несовершеннолетних), а также снижение числа несовершеннолетних с диагнозом "употребление веществ с вредными последствиями" с 15 в 2018 году до 13 в 2019 году (2017 год - 27 несовершеннолетних).</w:t>
      </w:r>
    </w:p>
    <w:p>
      <w:pPr>
        <w:pStyle w:val="0"/>
        <w:spacing w:before="200" w:line-rule="auto"/>
        <w:ind w:firstLine="540"/>
        <w:jc w:val="both"/>
      </w:pPr>
      <w:r>
        <w:rPr>
          <w:sz w:val="20"/>
        </w:rPr>
        <w:t xml:space="preserve">Таким образом, медицинская составляющая наркоситуации в Курской области в 2019 году претерпела изменения в части уменьшения регистрации по основным показателям.</w:t>
      </w:r>
    </w:p>
    <w:p>
      <w:pPr>
        <w:pStyle w:val="0"/>
        <w:spacing w:before="200" w:line-rule="auto"/>
        <w:ind w:firstLine="540"/>
        <w:jc w:val="both"/>
      </w:pPr>
      <w:r>
        <w:rPr>
          <w:sz w:val="20"/>
        </w:rPr>
        <w:t xml:space="preserve">Для предотвращения вовлечения населения Курской области в употребление психоактивных веществ и в противоправную деятельность ежегодно проводятся комплексные межведомственные операции и акции всероссийского масштаба: "Сообщи, где торгуют смертью", "Дети России", "Мак", "Подросток", региональные акции: областной антинаркотический месячник "Курский край - без наркотиков!", областная молодежная антикризисная акция "Твой выбор - твоя жизнь!", "Летний лагерь - территория здоровья", "Спорт против наркотиков", "Молодые выбирают спорт", "Чистый город", "Родительский урок", комплексе мероприятий, приуроченных к Международному дню борьбы с наркоманией и наркобизнесом, Дню отказа от курения, Дню здоровья, Дню борьбы со СПИДом, в рамках которых общий охват участников составляет более 700000 человек, из них 600000 - это подростки и молодежь.</w:t>
      </w:r>
    </w:p>
    <w:p>
      <w:pPr>
        <w:pStyle w:val="0"/>
        <w:spacing w:before="200" w:line-rule="auto"/>
        <w:ind w:firstLine="540"/>
        <w:jc w:val="both"/>
      </w:pPr>
      <w:r>
        <w:rPr>
          <w:sz w:val="20"/>
        </w:rPr>
        <w:t xml:space="preserve">Коммунальный комплекс. Система коммунального комплекса Курской области включает в себя 645 отопительных котельных (из них 52 угольных; 53 электрических, 540 газовых), 1117 км тепловых сетей, 88 центральных тепловых пунктов, 2603 водозабора, 19 объектов водоподготовки, 65 насосных станций водопровода, 7436,711 км водопроводных сетей, 46 очистных сооружений канализации, 1267,3 км канализационных сетей, протяженность линий электропередачи напряжением 110 - 750 кВ составляет 4229,95 км (суммарная длина ЛЭП указана территориально по Курской области), количество подстанций 110 кВ и выше - 116 единиц общей трансформаторной мощностью 14255 МВ.А.</w:t>
      </w:r>
    </w:p>
    <w:p>
      <w:pPr>
        <w:pStyle w:val="0"/>
        <w:spacing w:before="200" w:line-rule="auto"/>
        <w:ind w:firstLine="540"/>
        <w:jc w:val="both"/>
      </w:pPr>
      <w:r>
        <w:rPr>
          <w:sz w:val="20"/>
        </w:rPr>
        <w:t xml:space="preserve">Суммарная установленная мощность электростанций Курской энергосистемы составляет 4270,7 МВт.</w:t>
      </w:r>
    </w:p>
    <w:p>
      <w:pPr>
        <w:pStyle w:val="0"/>
        <w:spacing w:before="200" w:line-rule="auto"/>
        <w:ind w:firstLine="540"/>
        <w:jc w:val="both"/>
      </w:pPr>
      <w:r>
        <w:rPr>
          <w:sz w:val="20"/>
        </w:rPr>
        <w:t xml:space="preserve">Уровень износа объектов электроснабжения составляет около 76%.</w:t>
      </w:r>
    </w:p>
    <w:p>
      <w:pPr>
        <w:pStyle w:val="0"/>
        <w:spacing w:before="200" w:line-rule="auto"/>
        <w:ind w:firstLine="540"/>
        <w:jc w:val="both"/>
      </w:pPr>
      <w:r>
        <w:rPr>
          <w:sz w:val="20"/>
        </w:rPr>
        <w:t xml:space="preserve">На территории Курской области проложено 7 ниток подземных магистральных газопроводов (5 ниток "Восток - Запад", 2 нитки "Север - Юг"), расположены 3 промплощадки, 7 компрессорных станций, замерный узел на границе с Украиной, 40 АГРС.</w:t>
      </w:r>
    </w:p>
    <w:p>
      <w:pPr>
        <w:pStyle w:val="0"/>
        <w:spacing w:before="200" w:line-rule="auto"/>
        <w:ind w:firstLine="540"/>
        <w:jc w:val="both"/>
      </w:pPr>
      <w:r>
        <w:rPr>
          <w:sz w:val="20"/>
        </w:rPr>
        <w:t xml:space="preserve">Ежегодно объем потребления газа в Курской области составляет порядка 2,2 млрд. куб. м.</w:t>
      </w:r>
    </w:p>
    <w:p>
      <w:pPr>
        <w:pStyle w:val="0"/>
        <w:spacing w:before="200" w:line-rule="auto"/>
        <w:ind w:firstLine="540"/>
        <w:jc w:val="both"/>
      </w:pPr>
      <w:r>
        <w:rPr>
          <w:sz w:val="20"/>
        </w:rPr>
        <w:t xml:space="preserve">В Курской области построено и сдано в эксплуатацию более 19,1 тыс. км газораспределительных сетей.</w:t>
      </w:r>
    </w:p>
    <w:p>
      <w:pPr>
        <w:pStyle w:val="0"/>
        <w:spacing w:before="200" w:line-rule="auto"/>
        <w:ind w:firstLine="540"/>
        <w:jc w:val="both"/>
      </w:pPr>
      <w:r>
        <w:rPr>
          <w:sz w:val="20"/>
        </w:rPr>
        <w:t xml:space="preserve">Уровень износа объектов газоснабжения составляет порядка 35,5%.</w:t>
      </w:r>
    </w:p>
    <w:p>
      <w:pPr>
        <w:pStyle w:val="0"/>
        <w:spacing w:before="200" w:line-rule="auto"/>
        <w:ind w:firstLine="540"/>
        <w:jc w:val="both"/>
      </w:pPr>
      <w:r>
        <w:rPr>
          <w:sz w:val="20"/>
        </w:rPr>
        <w:t xml:space="preserve">Согласно мониторингу, проведенному комитетом жилищно-коммунального хозяйства и ТЭК Курской области, уровень износа объектов коммунальной инфраструктуры в регионе составляет: по объектам теплоснабжения - 69,2%; по объектам водоснабжения - 73,2%; по объектам водоотведения - 76,6%.</w:t>
      </w:r>
    </w:p>
    <w:p>
      <w:pPr>
        <w:pStyle w:val="0"/>
        <w:spacing w:before="200" w:line-rule="auto"/>
        <w:ind w:firstLine="540"/>
        <w:jc w:val="both"/>
      </w:pPr>
      <w:r>
        <w:rPr>
          <w:sz w:val="20"/>
        </w:rPr>
        <w:t xml:space="preserve">Для приведения объектов коммунальной инфраструктуры в технически исправное состояние в целом по региону требуется 26894,7 млн. рублей, в том числе на объекты теплоснабжения 7881,8 млн. рублей, на объекты водоснабжения - 14427,045 млн. рублей и на объекты водоотведения - 4585,834 млн. рублей.</w:t>
      </w:r>
    </w:p>
    <w:p>
      <w:pPr>
        <w:pStyle w:val="0"/>
        <w:spacing w:before="200" w:line-rule="auto"/>
        <w:ind w:firstLine="540"/>
        <w:jc w:val="both"/>
      </w:pPr>
      <w:r>
        <w:rPr>
          <w:sz w:val="20"/>
        </w:rPr>
        <w:t xml:space="preserve">Предотвращение прогрессирующего физического и морального износа объектов коммунальной инфраструктуры решается за счет модернизации и реконструкции.</w:t>
      </w:r>
    </w:p>
    <w:p>
      <w:pPr>
        <w:pStyle w:val="0"/>
        <w:spacing w:before="200" w:line-rule="auto"/>
        <w:ind w:firstLine="540"/>
        <w:jc w:val="both"/>
      </w:pPr>
      <w:r>
        <w:rPr>
          <w:sz w:val="20"/>
        </w:rPr>
        <w:t xml:space="preserve">В Курской области действуют программы, позволяющие оказывать финансовую помощь органам местного самоуправления на выполнение работ по модернизации (реконструкции) объектов коммунального назначения.</w:t>
      </w:r>
    </w:p>
    <w:p>
      <w:pPr>
        <w:pStyle w:val="0"/>
        <w:spacing w:before="200" w:line-rule="auto"/>
        <w:ind w:firstLine="540"/>
        <w:jc w:val="both"/>
      </w:pPr>
      <w:r>
        <w:rPr>
          <w:sz w:val="20"/>
        </w:rPr>
        <w:t xml:space="preserve">Ежегодно в ходе подготовки к предстоящему осенне-зимнему сезону коммунальными предприятиями проводится планомерная работа по замене ветхих участков тепловых сетей. С целью ухода от ветхих аварийных тепловых сетей и вывода из работы убыточных неэффективных котельных активно реализуются мероприятия, направленные на децентрализацию систем теплоснабжения с переводом потребителей на индивидуальное отопление.</w:t>
      </w:r>
    </w:p>
    <w:p>
      <w:pPr>
        <w:pStyle w:val="0"/>
        <w:spacing w:before="200" w:line-rule="auto"/>
        <w:ind w:firstLine="540"/>
        <w:jc w:val="both"/>
      </w:pPr>
      <w:r>
        <w:rPr>
          <w:sz w:val="20"/>
        </w:rPr>
        <w:t xml:space="preserve">Учитывая остроту проблемы в сфере водоснабжения для оказания помощи органам местного самоуправления в организации обеспечения водоснабжения, в Курской области действуют государственные программы Курской области, позволяющие оказывать финансовую помощь на модернизацию и ремонт объектов водоснабжения:</w:t>
      </w:r>
    </w:p>
    <w:p>
      <w:pPr>
        <w:pStyle w:val="0"/>
        <w:spacing w:before="200" w:line-rule="auto"/>
        <w:ind w:firstLine="540"/>
        <w:jc w:val="both"/>
      </w:pPr>
      <w:r>
        <w:rPr>
          <w:sz w:val="20"/>
        </w:rPr>
        <w:t xml:space="preserve">"Развитие сельского хозяйства и регулирование рынков сельскохозяйственной продукции, сырья и продовольствия в Курской области" (подпрограмма "Устойчивое развитие сельских территорий Курской области");</w:t>
      </w:r>
    </w:p>
    <w:p>
      <w:pPr>
        <w:pStyle w:val="0"/>
        <w:spacing w:before="200" w:line-rule="auto"/>
        <w:ind w:firstLine="540"/>
        <w:jc w:val="both"/>
      </w:pPr>
      <w:r>
        <w:rPr>
          <w:sz w:val="20"/>
        </w:rPr>
        <w:t xml:space="preserve">"Воспроизводство и использование природных ресурсов, охрана окружающей среды в Курской области" (подпрограмма "Экология и чистая вода в Курской области");</w:t>
      </w:r>
    </w:p>
    <w:p>
      <w:pPr>
        <w:pStyle w:val="0"/>
        <w:spacing w:before="200" w:line-rule="auto"/>
        <w:ind w:firstLine="540"/>
        <w:jc w:val="both"/>
      </w:pPr>
      <w:r>
        <w:rPr>
          <w:sz w:val="20"/>
        </w:rPr>
        <w:t xml:space="preserve">"Обеспечение доступным и комфортным жильем и коммунальными услугами граждан в Курской области".</w:t>
      </w:r>
    </w:p>
    <w:p>
      <w:pPr>
        <w:pStyle w:val="0"/>
        <w:spacing w:before="200" w:line-rule="auto"/>
        <w:ind w:firstLine="540"/>
        <w:jc w:val="both"/>
      </w:pPr>
      <w:r>
        <w:rPr>
          <w:sz w:val="20"/>
        </w:rPr>
        <w:t xml:space="preserve">Дополнительно в 2020 году начата работа по реконструкции системы биологической очистки на городских очистных сооружениях г. Курска. Стоимость реализации проекта составляет порядка 2,2 млрд. рублей. Проектом предусмотрены: модернизация существующих зданий и сооружений очистки в связи с ужесточение требований очистки сточных вод и неудовлетворительным качеством работы сооружений при значительных эксплуатационных расходах; применение современных технологических схем обработки сточных вод и осадков с установкой на сооружениях современного высокотехнологичного оборудования.</w:t>
      </w:r>
    </w:p>
    <w:p>
      <w:pPr>
        <w:pStyle w:val="0"/>
        <w:spacing w:before="200" w:line-rule="auto"/>
        <w:ind w:firstLine="540"/>
        <w:jc w:val="both"/>
      </w:pPr>
      <w:r>
        <w:rPr>
          <w:sz w:val="20"/>
        </w:rPr>
        <w:t xml:space="preserve">В настоящий момент в стадии подготовки находится пакет документов для предоставления заявки в Фонд содействия реформированию ЖКХ в объеме 250,0 млн. рублей на строительство канализационного коллектора и насосной станции канализации в юго-западном жилом районе г. Курска и сети канализации от ул. 1-я Степная до пр. Ленинского комсомола.</w:t>
      </w:r>
    </w:p>
    <w:p>
      <w:pPr>
        <w:pStyle w:val="0"/>
        <w:spacing w:before="200" w:line-rule="auto"/>
        <w:ind w:firstLine="540"/>
        <w:jc w:val="both"/>
      </w:pPr>
      <w:r>
        <w:rPr>
          <w:sz w:val="20"/>
        </w:rPr>
        <w:t xml:space="preserve">На процедуре государственной экспертизы находится проектно-сметная документация по реконструкции очистных сооружений в г. Щиграх общей стоимостью 280 млн. рублей.</w:t>
      </w:r>
    </w:p>
    <w:p>
      <w:pPr>
        <w:pStyle w:val="0"/>
        <w:spacing w:before="200" w:line-rule="auto"/>
        <w:ind w:firstLine="540"/>
        <w:jc w:val="both"/>
      </w:pPr>
      <w:r>
        <w:rPr>
          <w:sz w:val="20"/>
        </w:rPr>
        <w:t xml:space="preserve">Указанный объект планируется также заявить на участие в распределении средств Фонда содействия реформированию ЖКХ после получения положительного заключения госэкспертизы.</w:t>
      </w:r>
    </w:p>
    <w:p>
      <w:pPr>
        <w:pStyle w:val="0"/>
        <w:spacing w:before="200" w:line-rule="auto"/>
        <w:ind w:firstLine="540"/>
        <w:jc w:val="both"/>
      </w:pPr>
      <w:r>
        <w:rPr>
          <w:sz w:val="20"/>
        </w:rPr>
        <w:t xml:space="preserve">Строительство. Обеспеченность жильем населения в Курской области выше, чем в большинстве регионов страны (входит в топ-10). Общая площадь жилых помещений, приходящаяся в среднем на 1 жителя области, составила в 2019 году 31,0 кв. м на человека (среднее значение в России - 26,3 кв. м).</w:t>
      </w:r>
    </w:p>
    <w:p>
      <w:pPr>
        <w:pStyle w:val="0"/>
        <w:spacing w:before="200" w:line-rule="auto"/>
        <w:ind w:firstLine="540"/>
        <w:jc w:val="both"/>
      </w:pPr>
      <w:r>
        <w:rPr>
          <w:sz w:val="20"/>
        </w:rPr>
        <w:t xml:space="preserve">Оценка показателя обеспечения граждан жилыми помещениями производится с учетом площади всего жилого фонда региона. Вместе с тем, анализ технического состояния жилого фонда свидетельствует о ежегодном приросте домов, которые относятся к категории аварийных.</w:t>
      </w:r>
    </w:p>
    <w:p>
      <w:pPr>
        <w:pStyle w:val="0"/>
        <w:spacing w:before="200" w:line-rule="auto"/>
        <w:ind w:firstLine="540"/>
        <w:jc w:val="both"/>
      </w:pPr>
      <w:r>
        <w:rPr>
          <w:sz w:val="20"/>
        </w:rPr>
        <w:t xml:space="preserve">В рамках решения данного вопроса в Курской области в 2017 году завершена программа по расселению граждан из многоквартирных жилых домов, признанных в установленном порядке аварийными. По программе переселено 1295 граждан из 100 многоквартирных аварийных домов общей площадью 21,15 тыс. кв. м, на что направлено 636,3 млн. рублей.</w:t>
      </w:r>
    </w:p>
    <w:p>
      <w:pPr>
        <w:pStyle w:val="0"/>
        <w:spacing w:before="200" w:line-rule="auto"/>
        <w:ind w:firstLine="540"/>
        <w:jc w:val="both"/>
      </w:pPr>
      <w:r>
        <w:rPr>
          <w:sz w:val="20"/>
        </w:rPr>
        <w:t xml:space="preserve">В настоящее время в области реализуется Адресная программа Курской области по переселению граждан из аварийного жилищного фонда на 2019 - 2025 (1 сентября) годы, в рамках которой планируется расселить 1289 граждан из 64 многоквартирных аварийных домов общей площадью 17,67 тыс. кв. м. На данные цели запланировано направить средства в объеме 827,8 млн. рублей.</w:t>
      </w:r>
    </w:p>
    <w:p>
      <w:pPr>
        <w:pStyle w:val="0"/>
        <w:spacing w:before="200" w:line-rule="auto"/>
        <w:ind w:firstLine="540"/>
        <w:jc w:val="both"/>
      </w:pPr>
      <w:r>
        <w:rPr>
          <w:sz w:val="20"/>
        </w:rPr>
        <w:t xml:space="preserve">Работы по виду деятельности "Строительство" за 2019 год выполнены в объеме 76,8 млрд. рублей (125,9% к 2018 году).</w:t>
      </w:r>
    </w:p>
    <w:p>
      <w:pPr>
        <w:pStyle w:val="0"/>
        <w:spacing w:before="200" w:line-rule="auto"/>
        <w:ind w:firstLine="540"/>
        <w:jc w:val="both"/>
      </w:pPr>
      <w:r>
        <w:rPr>
          <w:sz w:val="20"/>
        </w:rPr>
        <w:t xml:space="preserve">В 2019 году застройщиками введено в эксплуатацию 6090 квартир.</w:t>
      </w:r>
    </w:p>
    <w:p>
      <w:pPr>
        <w:pStyle w:val="0"/>
        <w:spacing w:before="200" w:line-rule="auto"/>
        <w:ind w:firstLine="540"/>
        <w:jc w:val="both"/>
      </w:pPr>
      <w:r>
        <w:rPr>
          <w:sz w:val="20"/>
        </w:rPr>
        <w:t xml:space="preserve">Продолжается строительство жилого района "Северный" в г. Курске (застройщик - АО "Курский завод КПД им. А.Ф. Дериглазова"). В 2019 году введены в эксплуатацию 8 многоквартирных жилых домов общей площадью 100,1 тыс. кв. метров.</w:t>
      </w:r>
    </w:p>
    <w:p>
      <w:pPr>
        <w:pStyle w:val="0"/>
        <w:spacing w:before="200" w:line-rule="auto"/>
        <w:ind w:firstLine="540"/>
        <w:jc w:val="both"/>
      </w:pPr>
      <w:r>
        <w:rPr>
          <w:sz w:val="20"/>
        </w:rPr>
        <w:t xml:space="preserve">Введены в эксплуатацию важные социальные объекты: средняя общеобразовательная школа в г. Железногорске, 2 пристройки к детским садам в п. Поныри и пос. Маршала Жукова Курского района, физкультурно-оздоровительные комплексы в п. Пристень, г. Льгове и г. Рыльске, 6 ФАПов в районах области.</w:t>
      </w:r>
    </w:p>
    <w:p>
      <w:pPr>
        <w:pStyle w:val="0"/>
        <w:spacing w:before="200" w:line-rule="auto"/>
        <w:ind w:firstLine="540"/>
        <w:jc w:val="both"/>
      </w:pPr>
      <w:r>
        <w:rPr>
          <w:sz w:val="20"/>
        </w:rPr>
        <w:t xml:space="preserve">Введен в эксплуатацию лечебно-хирургический корпус, входящий в состав III пускового комплекса Курского областного онкологического диспансера, строительство которого велось с 2011 года.</w:t>
      </w:r>
    </w:p>
    <w:p>
      <w:pPr>
        <w:pStyle w:val="0"/>
        <w:spacing w:before="200" w:line-rule="auto"/>
        <w:ind w:firstLine="540"/>
        <w:jc w:val="both"/>
      </w:pPr>
      <w:r>
        <w:rPr>
          <w:sz w:val="20"/>
        </w:rPr>
        <w:t xml:space="preserve">Введена в эксплуатацию средняя общеобразовательная школа по проспекту В. Клыкова в г. Курске.</w:t>
      </w:r>
    </w:p>
    <w:p>
      <w:pPr>
        <w:pStyle w:val="0"/>
        <w:spacing w:before="200" w:line-rule="auto"/>
        <w:ind w:firstLine="540"/>
        <w:jc w:val="both"/>
      </w:pPr>
      <w:r>
        <w:rPr>
          <w:sz w:val="20"/>
        </w:rPr>
        <w:t xml:space="preserve">Культура. Системный подход к развитию культуры в Курской области обеспечил повышение роли и доступности для населения библиотек, музеев и учреждений профессионального искусства; активизировалась гастрольная деятельность в городах и районах области; реализуются масштабные творческие проекты. Культурно-досуговая деятельность на 100% обеспечивает население области услугами этой сферы.</w:t>
      </w:r>
    </w:p>
    <w:p>
      <w:pPr>
        <w:pStyle w:val="0"/>
        <w:spacing w:before="200" w:line-rule="auto"/>
        <w:ind w:firstLine="540"/>
        <w:jc w:val="both"/>
      </w:pPr>
      <w:r>
        <w:rPr>
          <w:sz w:val="20"/>
        </w:rPr>
        <w:t xml:space="preserve">Действует государственная программа "Развитие культуры в Курской области", предусматривающая долгосрочный комплекс мер по сохранению и развитию культуры региона.</w:t>
      </w:r>
    </w:p>
    <w:p>
      <w:pPr>
        <w:pStyle w:val="0"/>
        <w:spacing w:before="200" w:line-rule="auto"/>
        <w:ind w:firstLine="540"/>
        <w:jc w:val="both"/>
      </w:pPr>
      <w:r>
        <w:rPr>
          <w:sz w:val="20"/>
        </w:rPr>
        <w:t xml:space="preserve">В регионе осуществляют деятельность 1439 учреждений культуры (42 региональных, 1387 муниципальных), в том числе: 3 театра, 37 музеев, 683 культурно-досуговых учреждения, 661 библиотека, 1 концертная организация, 1 учреждение по киновидеообслуживанию, детские школы искусств (23 - региональные, 24 - муниципальные); 5 профессиональных образовательных организаций, прочие учреждения (2 ед.).</w:t>
      </w:r>
    </w:p>
    <w:p>
      <w:pPr>
        <w:pStyle w:val="0"/>
        <w:spacing w:before="200" w:line-rule="auto"/>
        <w:ind w:firstLine="540"/>
        <w:jc w:val="both"/>
      </w:pPr>
      <w:r>
        <w:rPr>
          <w:sz w:val="20"/>
        </w:rPr>
        <w:t xml:space="preserve">Среднесписочная численность работников культуры в 2019 году составила 3890 человек.</w:t>
      </w:r>
    </w:p>
    <w:p>
      <w:pPr>
        <w:pStyle w:val="0"/>
        <w:spacing w:before="200" w:line-rule="auto"/>
        <w:ind w:firstLine="540"/>
        <w:jc w:val="both"/>
      </w:pPr>
      <w:r>
        <w:rPr>
          <w:sz w:val="20"/>
        </w:rPr>
        <w:t xml:space="preserve">Исходя из нормативов обеспеченности населения организациями культуры, рассчитанных в соответствии с распоряжением Министерства культуры Российской Федерации от 2 августа 2017 г. N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pPr>
        <w:pStyle w:val="0"/>
        <w:spacing w:before="200" w:line-rule="auto"/>
        <w:ind w:firstLine="540"/>
        <w:jc w:val="both"/>
      </w:pPr>
      <w:r>
        <w:rPr>
          <w:sz w:val="20"/>
        </w:rPr>
        <w:t xml:space="preserve">обеспеченность кинозалами составляет 112% (275 залов (муниципальных и коммерческих) при нормативе 246 ед.);</w:t>
      </w:r>
    </w:p>
    <w:p>
      <w:pPr>
        <w:pStyle w:val="0"/>
        <w:spacing w:before="200" w:line-rule="auto"/>
        <w:ind w:firstLine="540"/>
        <w:jc w:val="both"/>
      </w:pPr>
      <w:r>
        <w:rPr>
          <w:sz w:val="20"/>
        </w:rPr>
        <w:t xml:space="preserve">обеспеченность театрами составляет 60% (3 театра при нормативе 5 ед.);</w:t>
      </w:r>
    </w:p>
    <w:p>
      <w:pPr>
        <w:pStyle w:val="0"/>
        <w:spacing w:before="200" w:line-rule="auto"/>
        <w:ind w:firstLine="540"/>
        <w:jc w:val="both"/>
      </w:pPr>
      <w:r>
        <w:rPr>
          <w:sz w:val="20"/>
        </w:rPr>
        <w:t xml:space="preserve">обеспеченность концертными залами составляет 200% (2 зала при нормативе 1 ед.);</w:t>
      </w:r>
    </w:p>
    <w:p>
      <w:pPr>
        <w:pStyle w:val="0"/>
        <w:spacing w:before="200" w:line-rule="auto"/>
        <w:ind w:firstLine="540"/>
        <w:jc w:val="both"/>
      </w:pPr>
      <w:r>
        <w:rPr>
          <w:sz w:val="20"/>
        </w:rPr>
        <w:t xml:space="preserve">уровень фактической обеспеченности учреждениями клубного типа от нормативной потребности составляет 120% (683 ед. при нормативе 547 ед.);</w:t>
      </w:r>
    </w:p>
    <w:p>
      <w:pPr>
        <w:pStyle w:val="0"/>
        <w:spacing w:before="200" w:line-rule="auto"/>
        <w:ind w:firstLine="540"/>
        <w:jc w:val="both"/>
      </w:pPr>
      <w:r>
        <w:rPr>
          <w:sz w:val="20"/>
        </w:rPr>
        <w:t xml:space="preserve">уровень фактической обеспеченности библиотеками от нормативной потребности составляет 134%;</w:t>
      </w:r>
    </w:p>
    <w:p>
      <w:pPr>
        <w:pStyle w:val="0"/>
        <w:spacing w:before="200" w:line-rule="auto"/>
        <w:ind w:firstLine="540"/>
        <w:jc w:val="both"/>
      </w:pPr>
      <w:r>
        <w:rPr>
          <w:sz w:val="20"/>
        </w:rPr>
        <w:t xml:space="preserve">уровень фактической обеспеченности краеведческими музеями составляет 100%, художественными музеями - 100%, тематическими музеями - 75% от нормативной потребности.</w:t>
      </w:r>
    </w:p>
    <w:p>
      <w:pPr>
        <w:pStyle w:val="0"/>
        <w:spacing w:before="200" w:line-rule="auto"/>
        <w:ind w:firstLine="540"/>
        <w:jc w:val="both"/>
      </w:pPr>
      <w:r>
        <w:rPr>
          <w:sz w:val="20"/>
        </w:rPr>
        <w:t xml:space="preserve">С каждым годом увеличиваются показатели посещаемости театрально-концертных учреждений. В 2019 году спектакли драматического театра и театра кукол посетили 242936 зрителей, что на 10,7% больше, чем в 2018 году.</w:t>
      </w:r>
    </w:p>
    <w:p>
      <w:pPr>
        <w:pStyle w:val="0"/>
        <w:spacing w:before="200" w:line-rule="auto"/>
        <w:ind w:firstLine="540"/>
        <w:jc w:val="both"/>
      </w:pPr>
      <w:r>
        <w:rPr>
          <w:sz w:val="20"/>
        </w:rPr>
        <w:t xml:space="preserve">В 2019 году в рамках Года театра были реализованы крупноформатные проекты: театральный фестиваль "Авансцена", гастроли Центрального академического театра Российской Армии, Всероссийский конкурс молодых артистов профессиональных театров "Верю!", Всероссийский фестиваль студенческих и молодежных театральных мастерских "Щепкин - ФЕСТ".</w:t>
      </w:r>
    </w:p>
    <w:p>
      <w:pPr>
        <w:pStyle w:val="0"/>
        <w:spacing w:before="200" w:line-rule="auto"/>
        <w:ind w:firstLine="540"/>
        <w:jc w:val="both"/>
      </w:pPr>
      <w:r>
        <w:rPr>
          <w:sz w:val="20"/>
        </w:rPr>
        <w:t xml:space="preserve">Музейную деятельность в регионе осуществляют 37 учреждений. Ежегодно растет их посещаемость. Так, в период с 2017 года по 2019 год она увеличилась на 63,8 тыс. человек и составила 557,2 тыс. человек. По итогам 2019 года показатель увеличения посещаемости музейных учреждений (на 1 жителя в год) составил 0,87% посещений на 1 жителя в год (при плановом показателе - 0,62%).</w:t>
      </w:r>
    </w:p>
    <w:p>
      <w:pPr>
        <w:pStyle w:val="0"/>
        <w:spacing w:before="200" w:line-rule="auto"/>
        <w:ind w:firstLine="540"/>
        <w:jc w:val="both"/>
      </w:pPr>
      <w:r>
        <w:rPr>
          <w:sz w:val="20"/>
        </w:rPr>
        <w:t xml:space="preserve">Курская область занимает 1 место в ЦФО по уровню обеспеченности учреждениями культурно-досугового типа. В настоящее время их насчитывается 683, из них 619 на селе. В 2019 году в п. им. К. Либкнехта Курчатовского района открылся новый Дом культуры со зрительным залом на 350 мест, с современной библиотекой, хореографическим и лекционным залами и компьютерным классом.</w:t>
      </w:r>
    </w:p>
    <w:p>
      <w:pPr>
        <w:pStyle w:val="0"/>
        <w:spacing w:before="200" w:line-rule="auto"/>
        <w:ind w:firstLine="540"/>
        <w:jc w:val="both"/>
      </w:pPr>
      <w:r>
        <w:rPr>
          <w:sz w:val="20"/>
        </w:rPr>
        <w:t xml:space="preserve">По сравнению с 2018 годом в 2019 году на 7,2% увеличилось количество участников культурно-досуговых мероприятий.</w:t>
      </w:r>
    </w:p>
    <w:p>
      <w:pPr>
        <w:pStyle w:val="0"/>
        <w:spacing w:before="200" w:line-rule="auto"/>
        <w:ind w:firstLine="540"/>
        <w:jc w:val="both"/>
      </w:pPr>
      <w:r>
        <w:rPr>
          <w:sz w:val="20"/>
        </w:rPr>
        <w:t xml:space="preserve">В Курской области действует самая крупная в стране киносеть, состоящая из 232 киноустановок, 97% которых модернизировано. За последние годы при поддержке Фонда кино открыто 16 цифровых 3D-кинозалов. На эти цели привлечены средства из федерального бюджета (свыше 80 млн. рублей). В 2019 году обновлено 3 кинозала: 2 - в городе Курск и 1 - в городе Щигры. По данным Министерства культуры Российской Федерации Курская область занимает первое место в ЦФО по количеству модернизированных кинотеатров.</w:t>
      </w:r>
    </w:p>
    <w:p>
      <w:pPr>
        <w:pStyle w:val="0"/>
        <w:spacing w:before="200" w:line-rule="auto"/>
        <w:ind w:firstLine="540"/>
        <w:jc w:val="both"/>
      </w:pPr>
      <w:r>
        <w:rPr>
          <w:sz w:val="20"/>
        </w:rPr>
        <w:t xml:space="preserve">По итогам 2019 года среднее число посещений киносеансов в расчете на 1 человека составило 0,73 единицы (при плановом показателе 0,67 единиц).</w:t>
      </w:r>
    </w:p>
    <w:p>
      <w:pPr>
        <w:pStyle w:val="0"/>
        <w:spacing w:before="200" w:line-rule="auto"/>
        <w:ind w:firstLine="540"/>
        <w:jc w:val="both"/>
      </w:pPr>
      <w:r>
        <w:rPr>
          <w:sz w:val="20"/>
        </w:rPr>
        <w:t xml:space="preserve">Библиотечное обслуживание населения осуществляет 661 библиотека. В сельских поселениях, где отсутствуют библиотеки, организованно внестационарное обслуживание. Доля компьютеризированных и подключенных к Интернету библиотек составляет 98,8%.</w:t>
      </w:r>
    </w:p>
    <w:p>
      <w:pPr>
        <w:pStyle w:val="0"/>
        <w:spacing w:before="200" w:line-rule="auto"/>
        <w:ind w:firstLine="540"/>
        <w:jc w:val="both"/>
      </w:pPr>
      <w:r>
        <w:rPr>
          <w:sz w:val="20"/>
        </w:rPr>
        <w:t xml:space="preserve">В 2019 году в рамках регионального проекта "Культурная среда" 2 библиотеки Курской области стали победителями конкурсного отбора субъектов Российской Федерации на получение межбюджетных трансфертов из федерального бюджета бюджетам субъектов Российской Федерации на создание модельных муниципальных библиотек, каждая получила грант по 5 млн. рублей.</w:t>
      </w:r>
    </w:p>
    <w:p>
      <w:pPr>
        <w:pStyle w:val="0"/>
        <w:spacing w:before="200" w:line-rule="auto"/>
        <w:ind w:firstLine="540"/>
        <w:jc w:val="both"/>
      </w:pPr>
      <w:r>
        <w:rPr>
          <w:sz w:val="20"/>
        </w:rPr>
        <w:t xml:space="preserve">В области работают 189 модельных библиотек или 28,4% от общего числа. Это 5-е место в стране.</w:t>
      </w:r>
    </w:p>
    <w:p>
      <w:pPr>
        <w:pStyle w:val="0"/>
        <w:spacing w:before="200" w:line-rule="auto"/>
        <w:ind w:firstLine="540"/>
        <w:jc w:val="both"/>
      </w:pPr>
      <w:r>
        <w:rPr>
          <w:sz w:val="20"/>
        </w:rPr>
        <w:t xml:space="preserve">С 2018 года Курская область вошла в пилотный проект Министерства культуры Российской Федерации "Детские школы искусств - достояние России". В 2019 году за счет средств федерального бюджета 22 детские школы искусств получили наборы духовых инструментов на сумму более 51 млн. рублей. В 6 детских школах и музыкальном колледже им. Г.В. Свиридова были приобретены музыкальные инструменты, оборудование и учебные материалы на общую сумму 40,3 млн. рублей.</w:t>
      </w:r>
    </w:p>
    <w:p>
      <w:pPr>
        <w:pStyle w:val="0"/>
        <w:spacing w:before="200" w:line-rule="auto"/>
        <w:ind w:firstLine="540"/>
        <w:jc w:val="both"/>
      </w:pPr>
      <w:r>
        <w:rPr>
          <w:sz w:val="20"/>
        </w:rPr>
        <w:t xml:space="preserve">Ежегодно одаренные дети получают именные стипендии и премии Губернатора Курской области. На эти цели выделяется более 5 миллионов рублей. В 2019 году обладателями стипендии Губернатора Курской области стали 119 обучающихся и 55 преподавателей ДШИ Курской области.</w:t>
      </w:r>
    </w:p>
    <w:p>
      <w:pPr>
        <w:pStyle w:val="0"/>
        <w:spacing w:before="200" w:line-rule="auto"/>
        <w:ind w:firstLine="540"/>
        <w:jc w:val="both"/>
      </w:pPr>
      <w:r>
        <w:rPr>
          <w:sz w:val="20"/>
        </w:rPr>
        <w:t xml:space="preserve">По сравнению с 2018 годом на 7% увеличилась доля детей, привлекаемых к участию в творческих мероприятиях, в общей численности детей.</w:t>
      </w:r>
    </w:p>
    <w:p>
      <w:pPr>
        <w:pStyle w:val="0"/>
        <w:spacing w:before="200" w:line-rule="auto"/>
        <w:ind w:firstLine="540"/>
        <w:jc w:val="both"/>
      </w:pPr>
      <w:r>
        <w:rPr>
          <w:sz w:val="20"/>
        </w:rPr>
        <w:t xml:space="preserve">Работа по укреплению материальной базы учреждений культуры и их модернизации будет продолжена и в дальнейшем.</w:t>
      </w:r>
    </w:p>
    <w:p>
      <w:pPr>
        <w:pStyle w:val="0"/>
        <w:spacing w:before="200" w:line-rule="auto"/>
        <w:ind w:firstLine="540"/>
        <w:jc w:val="both"/>
      </w:pPr>
      <w:r>
        <w:rPr>
          <w:sz w:val="20"/>
        </w:rPr>
        <w:t xml:space="preserve">Указом Президента Российской Федерации от 28 апреля 2018 года N 181 "О проведении в Российской Федерации Года театра" 2019 год был объявлен Годом театра. В Курской области были организованы различные фестивали, конкурсы, спектакли, семинары, мастер-классы. Организован конкурс на предоставление гранта Губернатора Курской области на создание творчески значимых проектов в области театрального искусства.</w:t>
      </w:r>
    </w:p>
    <w:p>
      <w:pPr>
        <w:pStyle w:val="0"/>
        <w:spacing w:before="200" w:line-rule="auto"/>
        <w:ind w:firstLine="540"/>
        <w:jc w:val="both"/>
      </w:pPr>
      <w:r>
        <w:rPr>
          <w:sz w:val="20"/>
        </w:rPr>
        <w:t xml:space="preserve">Казачество. В настоящее время на территории Курской области зарегистрировано 20 казачьих обществ, 11 из них входят в Курское окружное казачье общество войскового казачьего общества "Центральное казачье войско", 13 - внесены в Государственный реестр казачьих обществ в Российской Федерации.</w:t>
      </w:r>
    </w:p>
    <w:p>
      <w:pPr>
        <w:pStyle w:val="0"/>
        <w:spacing w:before="200" w:line-rule="auto"/>
        <w:ind w:firstLine="540"/>
        <w:jc w:val="both"/>
      </w:pPr>
      <w:r>
        <w:rPr>
          <w:sz w:val="20"/>
        </w:rPr>
        <w:t xml:space="preserve">В Курской области вопросам взаимодействия казачьих обществ с органами государственной власти Курской области уделяется повышенное внимание.</w:t>
      </w:r>
    </w:p>
    <w:p>
      <w:pPr>
        <w:pStyle w:val="0"/>
        <w:spacing w:before="200" w:line-rule="auto"/>
        <w:ind w:firstLine="540"/>
        <w:jc w:val="both"/>
      </w:pPr>
      <w:r>
        <w:rPr>
          <w:sz w:val="20"/>
        </w:rPr>
        <w:t xml:space="preserve">В рамках реализации </w:t>
      </w:r>
      <w:hyperlink w:history="0" r:id="rId57" w:tooltip="&quot;Стратегия развития государственной политики Российской Федерации в отношении российского казачества до 2020 года&quot; (утв. Президентом РФ 15.09.2012 N Пр-2789) {КонсультантПлюс}">
        <w:r>
          <w:rPr>
            <w:sz w:val="20"/>
            <w:color w:val="0000ff"/>
          </w:rPr>
          <w:t xml:space="preserve">Стратегии</w:t>
        </w:r>
      </w:hyperlink>
      <w:r>
        <w:rPr>
          <w:sz w:val="20"/>
        </w:rPr>
        <w:t xml:space="preserve"> развития государственной политики Российской Федерации в отношении российского казачества до 2020 года, утвержденной Президентом Российской Федерации от 15 сентября 2012 года N Пр-2789, федеральным государственным казенным учреждением "Пограничное управление Федеральной службы безопасности Российской Федерации по Курской области" со станичными казачьими обществами заключены договоры об оказании содействия федеральному государственному казенному учреждению "Пограничное управление Федеральной службы безопасности Российской Федерации по Курской области". На территории приграничных районов Курской области в защите государственной границы принимают участие члены станичных казачьих обществ Суджанского, Кореневского и Беловского районов, общая численность которых в настоящее время составляет 57 казаков.</w:t>
      </w:r>
    </w:p>
    <w:p>
      <w:pPr>
        <w:pStyle w:val="0"/>
        <w:spacing w:before="200" w:line-rule="auto"/>
        <w:ind w:firstLine="540"/>
        <w:jc w:val="both"/>
      </w:pPr>
      <w:r>
        <w:rPr>
          <w:sz w:val="20"/>
        </w:rPr>
        <w:t xml:space="preserve">Одним из направлений деятельности федеральных органов государственной власти, органов государственной власти субъектов Российской Федерации, органов местного самоуправления по реализации Стратегии является привлечение российского казачества к участию в охране общественного порядка.</w:t>
      </w:r>
    </w:p>
    <w:p>
      <w:pPr>
        <w:pStyle w:val="0"/>
        <w:spacing w:before="200" w:line-rule="auto"/>
        <w:ind w:firstLine="540"/>
        <w:jc w:val="both"/>
      </w:pPr>
      <w:r>
        <w:rPr>
          <w:sz w:val="20"/>
        </w:rPr>
        <w:t xml:space="preserve">Так, члены казачьих формирований привлекаются к участию в охране общественного порядка в формате деятельности добровольных народных дружин, в соответствии с Федеральным </w:t>
      </w:r>
      <w:hyperlink w:history="0" r:id="rId58"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законом</w:t>
        </w:r>
      </w:hyperlink>
      <w:r>
        <w:rPr>
          <w:sz w:val="20"/>
        </w:rPr>
        <w:t xml:space="preserve"> от 2 апреля 2014 года N 44-ФЗ "Об участии граждан в охране общественного порядка".</w:t>
      </w:r>
    </w:p>
    <w:p>
      <w:pPr>
        <w:pStyle w:val="0"/>
        <w:spacing w:before="200" w:line-rule="auto"/>
        <w:ind w:firstLine="540"/>
        <w:jc w:val="both"/>
      </w:pPr>
      <w:r>
        <w:rPr>
          <w:sz w:val="20"/>
        </w:rPr>
        <w:t xml:space="preserve">В 2019/2020 учебном году в системе образования Курской области функционируют 6 образовательных организаций, в которых созданы 9 кадетских групп (классов) с использованием культурно-исторических традиций казачества с охватом 193 обучающихся.</w:t>
      </w:r>
    </w:p>
    <w:p>
      <w:pPr>
        <w:pStyle w:val="0"/>
        <w:spacing w:before="200" w:line-rule="auto"/>
        <w:ind w:firstLine="540"/>
        <w:jc w:val="both"/>
      </w:pPr>
      <w:r>
        <w:rPr>
          <w:sz w:val="20"/>
        </w:rPr>
        <w:t xml:space="preserve">С целью развития социокультурной деятельности казаков, обеспечения комплексного взаимодействия учреждений культуры с казачьими объединениями, создания новых культурно-просветительских программ в Курской области происходит формирование сети центров (отделов) казачьей культуры. Информационно-методическую помощь муниципальным районам по организации деятельности данных учреждений оказывает ОБУК "Курский областной Дом народного творчества" как координатор деятельности культурно-досуговых учреждений региона.</w:t>
      </w:r>
    </w:p>
    <w:p>
      <w:pPr>
        <w:pStyle w:val="0"/>
        <w:spacing w:before="200" w:line-rule="auto"/>
        <w:ind w:firstLine="540"/>
        <w:jc w:val="both"/>
      </w:pPr>
      <w:r>
        <w:rPr>
          <w:sz w:val="20"/>
        </w:rPr>
        <w:t xml:space="preserve">Весомым результатом этой работы стали организованные центры развития казачьей культуры в Горшеченском, Солнцевском, Медвенском, Обоянском и Рыльском районах.</w:t>
      </w:r>
    </w:p>
    <w:p>
      <w:pPr>
        <w:pStyle w:val="0"/>
        <w:spacing w:before="200" w:line-rule="auto"/>
        <w:ind w:firstLine="540"/>
        <w:jc w:val="both"/>
      </w:pPr>
      <w:r>
        <w:rPr>
          <w:sz w:val="20"/>
        </w:rPr>
        <w:t xml:space="preserve">Одним из приоритетных направлений работы с молодежью является вовлечение казачьей молодежи в активную работу отрядов юнармии, поисковых и военно-патриотических клубов.</w:t>
      </w:r>
    </w:p>
    <w:p>
      <w:pPr>
        <w:pStyle w:val="0"/>
        <w:spacing w:before="200" w:line-rule="auto"/>
        <w:ind w:firstLine="540"/>
        <w:jc w:val="both"/>
      </w:pPr>
      <w:r>
        <w:rPr>
          <w:sz w:val="20"/>
        </w:rPr>
        <w:t xml:space="preserve">В Курской области активно ведется работа по развитию сети военно-патриотических клубов и кадетских классов казачьей направленности. В настоящее время, согласно данным муниципальных объединений и комитета образования и науки Курской области, по итогам 2019 года, на территории области действует 15 молодежных объединений казачьей военно-патриотической направленности, в которых занимаются более 120 подростков.</w:t>
      </w:r>
    </w:p>
    <w:p>
      <w:pPr>
        <w:pStyle w:val="0"/>
        <w:spacing w:before="200" w:line-rule="auto"/>
        <w:ind w:firstLine="540"/>
        <w:jc w:val="both"/>
      </w:pPr>
      <w:r>
        <w:rPr>
          <w:sz w:val="20"/>
        </w:rPr>
        <w:t xml:space="preserve">Туризм. Ежегодно Курская область размещает не более 0,4% всех туристов России.</w:t>
      </w:r>
    </w:p>
    <w:p>
      <w:pPr>
        <w:pStyle w:val="0"/>
        <w:spacing w:before="200" w:line-rule="auto"/>
        <w:ind w:firstLine="540"/>
        <w:jc w:val="both"/>
      </w:pPr>
      <w:r>
        <w:rPr>
          <w:sz w:val="20"/>
        </w:rPr>
        <w:t xml:space="preserve">При этом Курская область располагает большим потенциалом для развития внутреннего и въездного туризма. В регионе разрабатываются и реализуются туристские программы и маршруты с включением наибольшего количества гостей и жителей региона в путешествия и экскурсии по Курской области.</w:t>
      </w:r>
    </w:p>
    <w:p>
      <w:pPr>
        <w:pStyle w:val="0"/>
        <w:spacing w:before="200" w:line-rule="auto"/>
        <w:ind w:firstLine="540"/>
        <w:jc w:val="both"/>
      </w:pPr>
      <w:r>
        <w:rPr>
          <w:sz w:val="20"/>
        </w:rPr>
        <w:t xml:space="preserve">На территории области основными видами туризма являются деловой, паломнический, событийный. Среди гостей региона наиболее популярными маршрутами остаются маршрут по Северному фасу Курской Дуги, посещение Марьино и Рыльска, Коренной пустыни.</w:t>
      </w:r>
    </w:p>
    <w:p>
      <w:pPr>
        <w:pStyle w:val="0"/>
        <w:spacing w:before="200" w:line-rule="auto"/>
        <w:ind w:firstLine="540"/>
        <w:jc w:val="both"/>
      </w:pPr>
      <w:r>
        <w:rPr>
          <w:sz w:val="20"/>
        </w:rPr>
        <w:t xml:space="preserve">Привлечение туристических потоков в Курскую область связано с развитием событийного туризма и с расширением масштабов новых и ежегодно проводимых мероприятий (межрегиональная универсальная оптово-розничная "Курская Коренская ярмарка"; международный фестиваль авторской песни "Соловьиная трель"; "Соловьиная ночь в усадьбе А.А. Фета" и Яблочный Спас в усадьбе А.А. Фета; международный фестиваль "Джазовая провинция").</w:t>
      </w:r>
    </w:p>
    <w:p>
      <w:pPr>
        <w:pStyle w:val="0"/>
        <w:spacing w:before="200" w:line-rule="auto"/>
        <w:ind w:firstLine="540"/>
        <w:jc w:val="both"/>
      </w:pPr>
      <w:r>
        <w:rPr>
          <w:sz w:val="20"/>
        </w:rPr>
        <w:t xml:space="preserve">В настоящее время туристская инфраструктура региона включает в себя: 90 туристических предприятий (туроператоры и турагенты) - в том числе 8 туроператоров; 134 коллективных средств размещения (общая вместимость - 10169 мест); 8 санаторных учреждений; 21 детский оздоровительный лагерь; 4 выставочных комплекса; 22 базы отдыха; 1 туристско-информационный центр; более 9 тыс. человек задействовано в туристической отрасли региона (работники турпредприятий, коллективных средств размещения, санаторно-курортных организаций).</w:t>
      </w:r>
    </w:p>
    <w:p>
      <w:pPr>
        <w:pStyle w:val="0"/>
        <w:spacing w:before="200" w:line-rule="auto"/>
        <w:ind w:firstLine="540"/>
        <w:jc w:val="both"/>
      </w:pPr>
      <w:r>
        <w:rPr>
          <w:sz w:val="20"/>
        </w:rPr>
        <w:t xml:space="preserve">Общий туристический бренд области - "Курская область. Соловьиный край России". Наиболее важной темой для туристического продвижения региона является военно-историческое направление. В 2017 году бренд "Курская дуга" вошел в перечень наиболее популярных туристических брендов России. Также перспективными видами туризма являются: деловой и событийный туризм, культурно-познавательный туризм, паломнический туризм, экологический туризм, санаторно-оздоровительный туризм, сельский туризм, промышленный туризм. Наибольшее количество объектов, представляющих интерес для туристов, сосредоточено на территории г. Курска, Рыльского, Льговского, Золотухинского, Поныровского, Железногорского районов.</w:t>
      </w:r>
    </w:p>
    <w:p>
      <w:pPr>
        <w:pStyle w:val="0"/>
        <w:spacing w:before="200" w:line-rule="auto"/>
        <w:ind w:firstLine="540"/>
        <w:jc w:val="both"/>
      </w:pPr>
      <w:r>
        <w:rPr>
          <w:sz w:val="20"/>
        </w:rPr>
        <w:t xml:space="preserve">С начала 2018 года запущена обновленная версия портала "Туристско-информационный центр Курской области". Реализуется проект "Гастрономическая карта соловьиного края", представляющий собой интерактивную карту, содержащую информацию о традиционных блюдах Курской области.</w:t>
      </w:r>
    </w:p>
    <w:p>
      <w:pPr>
        <w:pStyle w:val="0"/>
        <w:spacing w:before="200" w:line-rule="auto"/>
        <w:ind w:firstLine="540"/>
        <w:jc w:val="both"/>
      </w:pPr>
      <w:r>
        <w:rPr>
          <w:sz w:val="20"/>
        </w:rPr>
        <w:t xml:space="preserve">В ТОП-200 лучших событийных проектов России, которым присвоен статус "Национального события - 2019", по результатам экспертного отбора включены такие 4 события Курской области, как праздник "Соловьиная ночь в усадьбе А.А. Фета", "Курская Коренская ярмарка - 2019", фестиваль кожлянской игрушки, фестиваль "Дни жатвы".</w:t>
      </w:r>
    </w:p>
    <w:p>
      <w:pPr>
        <w:pStyle w:val="0"/>
        <w:ind w:firstLine="540"/>
        <w:jc w:val="both"/>
      </w:pPr>
      <w:r>
        <w:rPr>
          <w:sz w:val="20"/>
        </w:rPr>
      </w:r>
    </w:p>
    <w:p>
      <w:pPr>
        <w:pStyle w:val="2"/>
        <w:outlineLvl w:val="2"/>
        <w:ind w:firstLine="540"/>
        <w:jc w:val="both"/>
      </w:pPr>
      <w:r>
        <w:rPr>
          <w:sz w:val="20"/>
        </w:rPr>
        <w:t xml:space="preserve">2.4. Экономическое развитие</w:t>
      </w:r>
    </w:p>
    <w:p>
      <w:pPr>
        <w:pStyle w:val="0"/>
        <w:ind w:firstLine="540"/>
        <w:jc w:val="both"/>
      </w:pPr>
      <w:r>
        <w:rPr>
          <w:sz w:val="20"/>
        </w:rPr>
      </w:r>
    </w:p>
    <w:p>
      <w:pPr>
        <w:pStyle w:val="0"/>
        <w:ind w:firstLine="540"/>
        <w:jc w:val="both"/>
      </w:pPr>
      <w:r>
        <w:rPr>
          <w:sz w:val="20"/>
        </w:rPr>
        <w:t xml:space="preserve">Экономические тенденции. Курская область - промышленно-аграрный регион в Черноземной зоне России. Отрасли специализации промышленности региона - добыча железной руды (крупнейшее предприятие - АО "Михайловский ГОК им. А.В. Варичева"), электроэнергетика (филиал АО "Концерн Росэнергоатом" "Курская АЭС") и пищевая промышленность, работающая в основном на местном сырье.</w:t>
      </w:r>
    </w:p>
    <w:p>
      <w:pPr>
        <w:pStyle w:val="0"/>
        <w:spacing w:before="200" w:line-rule="auto"/>
        <w:ind w:firstLine="540"/>
        <w:jc w:val="both"/>
      </w:pPr>
      <w:r>
        <w:rPr>
          <w:sz w:val="20"/>
        </w:rPr>
        <w:t xml:space="preserve">В последние годы наблюдается устойчивый рост валового регионального продукта, который в 2017 году составил 387,6 млрд. рублей (0,4% от ВВП России). ВРП на душу населения в Курской области составляет 346,3 тыс. рублей (средний по России - 510,2 тыс. рублей). В 2000-х гг. ВРП региона рос медленнее, чем в России в целом, из-за отсутствия в структуре экономики наиболее быстрорастущих секторов топливно-энергетической промышленности. По той же причине мировой кризис 2008 - 2009 гг. менее отразился на регионе. Горнодобывающая промышленность региона во многом ориентирована на обрабатывающие предприятия соседних регионов, поэтому менее зависима от мировой конъюнктуры. Менее зависимы от мировой конъюнктуры и сельское хозяйство, пищевая промышленность и электроэнергетика, которые также преимущественно ориентированы на внутренний рынок.</w:t>
      </w:r>
    </w:p>
    <w:p>
      <w:pPr>
        <w:pStyle w:val="0"/>
        <w:spacing w:before="200" w:line-rule="auto"/>
        <w:ind w:firstLine="540"/>
        <w:jc w:val="both"/>
      </w:pPr>
      <w:r>
        <w:rPr>
          <w:sz w:val="20"/>
        </w:rPr>
        <w:t xml:space="preserve">В структуре ВРП в 2017 году основными видами экономической деятельности являлись:</w:t>
      </w:r>
    </w:p>
    <w:p>
      <w:pPr>
        <w:pStyle w:val="0"/>
        <w:spacing w:before="200" w:line-rule="auto"/>
        <w:ind w:firstLine="540"/>
        <w:jc w:val="both"/>
      </w:pPr>
      <w:r>
        <w:rPr>
          <w:sz w:val="20"/>
        </w:rPr>
        <w:t xml:space="preserve">обрабатывающие производства - 18,0% (в среднем по России - 17,4%);</w:t>
      </w:r>
    </w:p>
    <w:p>
      <w:pPr>
        <w:pStyle w:val="0"/>
        <w:spacing w:before="200" w:line-rule="auto"/>
        <w:ind w:firstLine="540"/>
        <w:jc w:val="both"/>
      </w:pPr>
      <w:r>
        <w:rPr>
          <w:sz w:val="20"/>
        </w:rPr>
        <w:t xml:space="preserve">сельское хозяйство, охота и лесное хозяйство - 17,5%;</w:t>
      </w:r>
    </w:p>
    <w:p>
      <w:pPr>
        <w:pStyle w:val="0"/>
        <w:spacing w:before="200" w:line-rule="auto"/>
        <w:ind w:firstLine="540"/>
        <w:jc w:val="both"/>
      </w:pPr>
      <w:r>
        <w:rPr>
          <w:sz w:val="20"/>
        </w:rPr>
        <w:t xml:space="preserve">добыча полезных ископаемых - 9,5%;</w:t>
      </w:r>
    </w:p>
    <w:p>
      <w:pPr>
        <w:pStyle w:val="0"/>
        <w:spacing w:before="200" w:line-rule="auto"/>
        <w:ind w:firstLine="540"/>
        <w:jc w:val="both"/>
      </w:pPr>
      <w:r>
        <w:rPr>
          <w:sz w:val="20"/>
        </w:rPr>
        <w:t xml:space="preserve">оптовая и розничная торговля, ремонт - 10,4%;</w:t>
      </w:r>
    </w:p>
    <w:p>
      <w:pPr>
        <w:pStyle w:val="0"/>
        <w:spacing w:before="200" w:line-rule="auto"/>
        <w:ind w:firstLine="540"/>
        <w:jc w:val="both"/>
      </w:pPr>
      <w:r>
        <w:rPr>
          <w:sz w:val="20"/>
        </w:rPr>
        <w:t xml:space="preserve">обеспечение электрической энергией, газом и паром - 7,7%.</w:t>
      </w:r>
    </w:p>
    <w:p>
      <w:pPr>
        <w:pStyle w:val="0"/>
        <w:spacing w:before="200" w:line-rule="auto"/>
        <w:ind w:firstLine="540"/>
        <w:jc w:val="both"/>
      </w:pPr>
      <w:r>
        <w:rPr>
          <w:sz w:val="20"/>
        </w:rPr>
        <w:t xml:space="preserve">В структуре валового регионального продукта (ВРП) региона значительно сократилась доля отраслей по добыче полезных ископаемых (особенно в период кризиса 2009 года), по обеспечению электрической энергией, газом и паром, транспорта и связи. Одновременно с этим возросло участие отраслей обрабатывающей промышленности, сельского хозяйства, строительства. Также повысилась доля отраслей непроизводственной сферы. В целом в экономике региона продолжаются структурные сдвиги в сторону отраслей сферы услуг, что находит отражение в структуре спроса экономики на рабочую силу.</w:t>
      </w:r>
    </w:p>
    <w:p>
      <w:pPr>
        <w:pStyle w:val="0"/>
        <w:spacing w:before="200" w:line-rule="auto"/>
        <w:ind w:firstLine="540"/>
        <w:jc w:val="both"/>
      </w:pPr>
      <w:r>
        <w:rPr>
          <w:sz w:val="20"/>
        </w:rPr>
        <w:t xml:space="preserve">В 2020 году экономика Курской области, как и в целом экономика России и других регионов, из-за распространения новой коронавирусной инфекции испытывает негативное давление. Это, прежде всего, касается организаций малого и среднего бизнеса, микропредприятий, которые сталкиваются с объективными трудностями, с сокращением заказов, снижением выручки.</w:t>
      </w:r>
    </w:p>
    <w:p>
      <w:pPr>
        <w:pStyle w:val="0"/>
        <w:spacing w:before="200" w:line-rule="auto"/>
        <w:ind w:firstLine="540"/>
        <w:jc w:val="both"/>
      </w:pPr>
      <w:r>
        <w:rPr>
          <w:sz w:val="20"/>
        </w:rPr>
        <w:t xml:space="preserve">Администрация Курской области своевременно и эффективно выстроила работу, взаимодействие всех заинтересованных структур, сконцентрировала усилия и финансовые ресурсы на обеспечение устойчивого развития региона в условиях ухудшения ситуации в связи с распространением новой коронавирусной инфекции. Создан Штаб по повышению устойчивости экономики Курской области. Определен перечень системообразующих организаций Курской области, мониторинг финансово-экономического состояния которых в условиях пандемии постоянно осуществляется органами власти.</w:t>
      </w:r>
    </w:p>
    <w:p>
      <w:pPr>
        <w:pStyle w:val="0"/>
        <w:spacing w:before="200" w:line-rule="auto"/>
        <w:ind w:firstLine="540"/>
        <w:jc w:val="both"/>
      </w:pPr>
      <w:r>
        <w:rPr>
          <w:sz w:val="20"/>
        </w:rPr>
        <w:t xml:space="preserve">В целях снижения в Курской области негативных последствий в экономике и социальной сфере в регионе утверждены и реализуются планы первоочередных и дополнительных мероприятий по обеспечению устойчивого развития экономики в условиях ухудшения ситуации в связи с распространением новой коронавирусной инфекции (COVID-19), предусматривающие меры по дополнительной поддержке отраслей экономики, оказавшихся в зоне риска, поддержке малого и среднего предпринимательства, населения при безусловном приоритете обеспечения защиты жизни и здоровья граждан.</w:t>
      </w:r>
    </w:p>
    <w:p>
      <w:pPr>
        <w:pStyle w:val="0"/>
        <w:spacing w:before="200" w:line-rule="auto"/>
        <w:ind w:firstLine="540"/>
        <w:jc w:val="both"/>
      </w:pPr>
      <w:r>
        <w:rPr>
          <w:sz w:val="20"/>
        </w:rPr>
        <w:t xml:space="preserve">Проводится работа по предоставлению государственной поддержки субъектам малого и среднего предпринимательства. Органами исполнительной власти Курской области введены дополнительные меры экономической поддержки предпринимательской деятельности в условиях распространения коронавируса. Среди таких мер - поддержка в виде освобождения и отсрочки от уплаты аренды по договорам государственного имущества, в том числе земельных участков; льготные налоговые ставки для налогоплательщиков, применяющих упрощенную систему налогообложения; льготы по налогу на имущество организаций для арендодателей; компенсации перевозчикам расходов, связанных с проведением профилактических мероприятий по дезинфекции автотранспортных средств, и ряд других.</w:t>
      </w:r>
    </w:p>
    <w:p>
      <w:pPr>
        <w:pStyle w:val="0"/>
        <w:jc w:val="both"/>
      </w:pPr>
      <w:r>
        <w:rPr>
          <w:sz w:val="20"/>
        </w:rPr>
        <w:t xml:space="preserve">(в ред. </w:t>
      </w:r>
      <w:hyperlink w:history="0" r:id="rId59"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Структура промышленности. Многоотраслевой промышленный комплекс области включает в себя более 800 крупных и средних предприятий. В нем сосредоточено около 25% основных производственных фондов области, занято более 103 тыс. человек (около 19,8% всех занятых в экономике области).</w:t>
      </w:r>
    </w:p>
    <w:p>
      <w:pPr>
        <w:pStyle w:val="0"/>
        <w:spacing w:before="200" w:line-rule="auto"/>
        <w:ind w:firstLine="540"/>
        <w:jc w:val="both"/>
      </w:pPr>
      <w:r>
        <w:rPr>
          <w:sz w:val="20"/>
        </w:rPr>
        <w:t xml:space="preserve">Концентрация производства в основных отраслях промышленности довольно значительна: около 100 крупных и средних компаний из 800 производят около 90% всего объема промышленной продукции. На предприятия двух отраслей - по добыче полезных ископаемых, а также по обеспечению электрической энергией, газом и паром - приходится более 42% от общего объема промышленного производства области. Наиболее крупные промышленные центры - города: Курск, Железногорск, Курчатов, Рыльск, Льгов, Суджа и Щигры.</w:t>
      </w:r>
    </w:p>
    <w:p>
      <w:pPr>
        <w:pStyle w:val="0"/>
        <w:spacing w:before="200" w:line-rule="auto"/>
        <w:ind w:firstLine="540"/>
        <w:jc w:val="both"/>
      </w:pPr>
      <w:r>
        <w:rPr>
          <w:sz w:val="20"/>
        </w:rPr>
        <w:t xml:space="preserve">К основным отраслям промышленности относятся: добыча полезных ископаемых; производство и распределение электроэнергии, газа и воды; пищевая и перерабатывающая промышленность; фармацевтическая промышленность; машиностроение (производство электротехнических, электронных и оптических изделий, счетных машин, мельнично-элеваторного оборудования, подшипников, буровых установок и др.); химическая и нефтехимическая промышленность (производство химических волокон, резинотехнических изделий); целлюлозно-бумажное производство; легкая промышленность.</w:t>
      </w:r>
    </w:p>
    <w:p>
      <w:pPr>
        <w:pStyle w:val="0"/>
        <w:spacing w:before="200" w:line-rule="auto"/>
        <w:ind w:firstLine="540"/>
        <w:jc w:val="both"/>
      </w:pPr>
      <w:r>
        <w:rPr>
          <w:sz w:val="20"/>
        </w:rPr>
        <w:t xml:space="preserve">По итогам 2018 года в структуре отгруженных товаров, выполненных работ и оказанных услуг предприятиями промышленного комплекса Курской области удельный вес обрабатывающих производств составил 55,1%, добычи полезных ископаемых - 25,8%, обеспечения электрической энергией, газом и паром - 16,5%, водоснабжения, водоотведения, организации сбора и утилизации отходов, деятельности по ликвидации загрязнений - 2,6%.</w:t>
      </w:r>
    </w:p>
    <w:p>
      <w:pPr>
        <w:pStyle w:val="0"/>
        <w:spacing w:before="200" w:line-rule="auto"/>
        <w:ind w:firstLine="540"/>
        <w:jc w:val="both"/>
      </w:pPr>
      <w:r>
        <w:rPr>
          <w:sz w:val="20"/>
        </w:rPr>
        <w:t xml:space="preserve">Большинство продукции производится в трех промышленных ареалах: Курском, Железногорском и Курчатовском.</w:t>
      </w:r>
    </w:p>
    <w:p>
      <w:pPr>
        <w:pStyle w:val="0"/>
        <w:spacing w:before="200" w:line-rule="auto"/>
        <w:ind w:firstLine="540"/>
        <w:jc w:val="both"/>
      </w:pPr>
      <w:r>
        <w:rPr>
          <w:sz w:val="20"/>
        </w:rPr>
        <w:t xml:space="preserve">На долю области приходится более чем две трети производства в стране конвейерных армированных лент, значительная часть железорудных окисленных окатышей, контрольно-кассовых машин, железорудного концентрата, треть кадмий-никелевых, железо-никелевых аккумуляторов.</w:t>
      </w:r>
    </w:p>
    <w:p>
      <w:pPr>
        <w:pStyle w:val="0"/>
        <w:jc w:val="both"/>
      </w:pPr>
      <w:r>
        <w:rPr>
          <w:sz w:val="20"/>
        </w:rPr>
      </w:r>
    </w:p>
    <w:p>
      <w:pPr>
        <w:pStyle w:val="0"/>
        <w:jc w:val="center"/>
      </w:pPr>
      <w:r>
        <w:rPr>
          <w:position w:val="-270"/>
        </w:rPr>
        <w:drawing>
          <wp:inline distT="0" distB="0" distL="0" distR="0">
            <wp:extent cx="5041265" cy="3566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041265" cy="356616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6. Промышленное производство Курской области</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ind w:firstLine="540"/>
        <w:jc w:val="both"/>
      </w:pPr>
      <w:r>
        <w:rPr>
          <w:sz w:val="20"/>
        </w:rPr>
        <w:t xml:space="preserve">Важную роль в развитии промышленного комплекса играет государственная поддержка предприятий, осваивающих производство конкурентоспособных и экспортоориентированных товаров. Для предоставления субъектам деятельности в сфере промышленности Курской области финансовой и информационно-консультационной поддержки в проведении модернизации производства, освоении выпуска новых видов продукции, реализации политики импортозамещения учрежден Государственный фонд развития промышленности Курской области (далее - Фонд развития).</w:t>
      </w:r>
    </w:p>
    <w:p>
      <w:pPr>
        <w:pStyle w:val="0"/>
        <w:spacing w:before="200" w:line-rule="auto"/>
        <w:ind w:firstLine="540"/>
        <w:jc w:val="both"/>
      </w:pPr>
      <w:r>
        <w:rPr>
          <w:sz w:val="20"/>
        </w:rPr>
        <w:t xml:space="preserve">С 2018 года Фонд развития на условиях софинансирования (30% / 70%) с Федеральным фондом развития промышленности предоставляет финансовую поддержку в виде целевых займов по ставке от 1 до 5% годовых и сроком до 5 лет в объеме от 20 до 100 млн. рублей.</w:t>
      </w:r>
    </w:p>
    <w:p>
      <w:pPr>
        <w:pStyle w:val="0"/>
        <w:spacing w:before="200" w:line-rule="auto"/>
        <w:ind w:firstLine="540"/>
        <w:jc w:val="both"/>
      </w:pPr>
      <w:r>
        <w:rPr>
          <w:sz w:val="20"/>
        </w:rPr>
        <w:t xml:space="preserve">Пяти инвестиционным проектам, реализуемым ООО "Курскхимволокно", ОАО "Курскрезинотехника", АО "ГОТЭК-ПРИНТ", АО "ГОТЭК-ЛИТАР" и АО "ГОТЭК-ПОЛИПАК", предоставлены льготные займы непосредственно Федеральным фондом развития промышленности.</w:t>
      </w:r>
    </w:p>
    <w:p>
      <w:pPr>
        <w:pStyle w:val="0"/>
        <w:spacing w:before="200" w:line-rule="auto"/>
        <w:ind w:firstLine="540"/>
        <w:jc w:val="both"/>
      </w:pPr>
      <w:r>
        <w:rPr>
          <w:sz w:val="20"/>
        </w:rPr>
        <w:t xml:space="preserve">На ближайшую перспективу приоритетной задачей Фонда развития станет формирование комплексного подхода поддержки развития промышленности, включая совершенствование критериев отбора перспективных инвестиционных проектов, содействие в предоставлении мер государственной поддержки федерального и регионального уровня, формирование новых эффективных механизмов стимулирования инвестиционной и инновационной активности предприятий.</w:t>
      </w:r>
    </w:p>
    <w:p>
      <w:pPr>
        <w:pStyle w:val="0"/>
        <w:spacing w:before="200" w:line-rule="auto"/>
        <w:ind w:firstLine="540"/>
        <w:jc w:val="both"/>
      </w:pPr>
      <w:r>
        <w:rPr>
          <w:sz w:val="20"/>
        </w:rPr>
        <w:t xml:space="preserve">Органами исполнительной власти Курской области продолжается работа, направленная на развитие в регионе инновационной инфраструктуры, создание высокотехнологичных производств.</w:t>
      </w:r>
    </w:p>
    <w:p>
      <w:pPr>
        <w:pStyle w:val="0"/>
        <w:jc w:val="both"/>
      </w:pPr>
      <w:r>
        <w:rPr>
          <w:sz w:val="20"/>
        </w:rPr>
        <w:t xml:space="preserve">(в ред. </w:t>
      </w:r>
      <w:hyperlink w:history="0" r:id="rId61"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На базе АО "КЭАЗ" создан научно-производственный электротехнический кластер, который объединяет 10 промышленных предприятий, 1 высшее учебное заведение (ЮЗГУ) и 2 организации технологической инфраструктуры. Создание кластера позволяет консолидировать ресурсы и возможности участников для повышения конкурентоспособности конечной электротехнической продукции и снижения зависимости от импорта из стран Европы и Юго-Восточной Азии. Производственные цепочки, созданные в рамках кластера, охватывают полный цикл конструкторских разработок, серийного производства и сопровождения продукции на всех этапах ее жизненного цикла.</w:t>
      </w:r>
    </w:p>
    <w:p>
      <w:pPr>
        <w:pStyle w:val="0"/>
        <w:spacing w:before="200" w:line-rule="auto"/>
        <w:ind w:firstLine="540"/>
        <w:jc w:val="both"/>
      </w:pPr>
      <w:r>
        <w:rPr>
          <w:sz w:val="20"/>
        </w:rPr>
        <w:t xml:space="preserve">Совместно с ООО "Совтест АТЕ" реализуются мероприятия по созданию на территории региона промышленного технопарка. 8 мая 2020 года зарегистрирована Управляющая Компания "Промышленный Технопарк Совтест".</w:t>
      </w:r>
    </w:p>
    <w:p>
      <w:pPr>
        <w:pStyle w:val="0"/>
        <w:spacing w:before="200" w:line-rule="auto"/>
        <w:ind w:firstLine="540"/>
        <w:jc w:val="both"/>
      </w:pPr>
      <w:r>
        <w:rPr>
          <w:sz w:val="20"/>
        </w:rPr>
        <w:t xml:space="preserve">Топливно-энергетический комплекс. Топливно-энергетический комплекс Курской области представлен филиалом АО "Концерн Росэнергоатом" "Курская атомная станция", филиалом ПАО "МРСК Центра - "Курскэнерго", филиалом ОАО "ФСК ЕЭС" - Черноземное предприятие магистральных электрических сетей, филиалом ПАО "Квадра" - "Курская генерация", АО "Газпром газораспределение Курск", филиалом ООО "Газпром Трансгаз Москва" - "Курское линейное производственное управление магистральных газопроводов". В отрасли работает 19,7 тыс. человек. Общий объем генерирующих мощностей Курской энергосистемы 4270,7 МВт.</w:t>
      </w:r>
    </w:p>
    <w:p>
      <w:pPr>
        <w:pStyle w:val="0"/>
        <w:spacing w:before="200" w:line-rule="auto"/>
        <w:ind w:firstLine="540"/>
        <w:jc w:val="both"/>
      </w:pPr>
      <w:r>
        <w:rPr>
          <w:sz w:val="20"/>
        </w:rPr>
        <w:t xml:space="preserve">Энергетический потенциал области определяет Курская атомная станция мощностью 4000 МВт, доля которой в общей установленной мощности всех электростанций Центрально-Черноземного района более 50%. Предусмотрено строительство 4 энергоблоков станции замещения "Курская АЭС - 2". Ввод в эксплуатацию двух первых энергоблоков предполагается в 2025 и 2027 гг. с целью замещения блоков N 1 и N 2 Курской АЭС.</w:t>
      </w:r>
    </w:p>
    <w:p>
      <w:pPr>
        <w:pStyle w:val="0"/>
        <w:spacing w:before="200" w:line-rule="auto"/>
        <w:ind w:firstLine="540"/>
        <w:jc w:val="both"/>
      </w:pPr>
      <w:r>
        <w:rPr>
          <w:sz w:val="20"/>
        </w:rPr>
        <w:t xml:space="preserve">Добыча полезных ископаемых. Ведущим предприятием региона по добыче полезных ископаемых является АО "Михайловский ГОК им. А.В. Варичева", входящее в состав ООО "УК "Металлоинвест". В России это второе по величине предприятие по добыче и обогащению железной руды. Комбинат производит около 20% отечественного железорудного сырья, на его долю приходится 25% общероссийского производства окатышей. Продукция АО "Михайловский ГОК им. А.В. Варичева" довольно разнообразна: доменная руда, аглоруда, рядовой железорудный концентрат, доменный концентрат, дообогащенный железорудный концентрат, сушеный рядовой железорудный концентрат, неофлюсованные окатыши, офлюсованные окатыши, щебень.</w:t>
      </w:r>
    </w:p>
    <w:p>
      <w:pPr>
        <w:pStyle w:val="0"/>
        <w:spacing w:before="200" w:line-rule="auto"/>
        <w:ind w:firstLine="540"/>
        <w:jc w:val="both"/>
      </w:pPr>
      <w:r>
        <w:rPr>
          <w:sz w:val="20"/>
        </w:rPr>
        <w:t xml:space="preserve">В сентябре 2015 года АО "Михайловский ГОК им. А.В. Варичева" был запущен комплекс обжиговой машины N 3 - уникальный проект, инвестиции в который составили более 16 млрд. рублей. Реализация проекта позволила увеличить мощности компании по выпуску окатышей на 5 млн. тонн в год. В 2018 году комбинатом введен в промышленную эксплуатацию комплекс по приему концентрата с Лебединского ГОКа, что позволило увеличить загрузку мощностей обжиговых машин и сохранить на рынке позиции ведущего поставщика товарного концентрата.</w:t>
      </w:r>
    </w:p>
    <w:p>
      <w:pPr>
        <w:pStyle w:val="0"/>
        <w:spacing w:before="200" w:line-rule="auto"/>
        <w:ind w:firstLine="540"/>
        <w:jc w:val="both"/>
      </w:pPr>
      <w:r>
        <w:rPr>
          <w:sz w:val="20"/>
        </w:rPr>
        <w:t xml:space="preserve">На комбинате реализуется инвестиционный проект "Строительство дробильно-конвейерного комплекса на северо-восточном и юго-восточном борту карьера" (2015 - 2022 гг.), общая стоимость которого составляет более 11 млрд. рублей. Ввод в эксплуатацию комплекса позволит обеспечить ежегодное производство магнетитового концентрата в объеме не менее 17,0 млн. тонн в год, повысить эффективность работы горно-транспортного комплекса, а также дополнительно вовлечь в переработку запасы руды высокого качества.</w:t>
      </w:r>
    </w:p>
    <w:p>
      <w:pPr>
        <w:pStyle w:val="0"/>
        <w:spacing w:before="200" w:line-rule="auto"/>
        <w:ind w:firstLine="540"/>
        <w:jc w:val="both"/>
      </w:pPr>
      <w:r>
        <w:rPr>
          <w:sz w:val="20"/>
        </w:rPr>
        <w:t xml:space="preserve">АО "Михайловский ГОК им. А.В. Варичева" - важнейшее бюджетообразующее предприятие Курской области. Налоговые платежи компании в консолидированный бюджет Курской области только в 2017 году превысили 5,2 млрд. рублей. Ежегодный объем инвестиций в социально-экономическое развитие Курской области составляет 500 - 700 млн. рублей.</w:t>
      </w:r>
    </w:p>
    <w:p>
      <w:pPr>
        <w:pStyle w:val="0"/>
        <w:spacing w:before="200" w:line-rule="auto"/>
        <w:ind w:firstLine="540"/>
        <w:jc w:val="both"/>
      </w:pPr>
      <w:r>
        <w:rPr>
          <w:sz w:val="20"/>
        </w:rPr>
        <w:t xml:space="preserve">Обрабатывающая промышленность. Удельный вес обрабатывающей промышленности в структуре промышленного производства области - 55,1%.</w:t>
      </w:r>
    </w:p>
    <w:p>
      <w:pPr>
        <w:pStyle w:val="0"/>
        <w:spacing w:before="200" w:line-rule="auto"/>
        <w:ind w:firstLine="540"/>
        <w:jc w:val="both"/>
      </w:pPr>
      <w:r>
        <w:rPr>
          <w:sz w:val="20"/>
        </w:rPr>
        <w:t xml:space="preserve">Машиностроение, приборостроение и металлообработка. Удельный вес отраслей в отгруженной продукции обрабатывающих отраслей - 18,0%, численность занятых - около 18 тыс. человек. Ведущими предприятиями машиностроения являются АО "Авиаавтоматика" им. В.В. Тарасова", ОАО "Электроагрегат", АО "Курский электроаппаратный завод", АО "Энерготекс", ООО "Курский аккумуляторный завод", ООО "Исток+", ООО "ПО "Вагонмаш", АО "Геомаш". Ключевая выпускаемая продукция, преимущественно высокотехнологичная - средства передвижной энергетики, генераторы, геологоразведочное и нефтепромысловое оборудование, средства вычислительной техники, низковольтная аппаратура, оборудование для атомной промышленности, аккумуляторы и т.д.</w:t>
      </w:r>
    </w:p>
    <w:p>
      <w:pPr>
        <w:pStyle w:val="0"/>
        <w:spacing w:before="200" w:line-rule="auto"/>
        <w:ind w:firstLine="540"/>
        <w:jc w:val="both"/>
      </w:pPr>
      <w:r>
        <w:rPr>
          <w:sz w:val="20"/>
        </w:rPr>
        <w:t xml:space="preserve">На базе Курского электроаппаратного завода и других предприятий электротехнической отрасли совместно с резидентами индустриального парка "Союз" создан научно-производственный электротехнический кластер.</w:t>
      </w:r>
    </w:p>
    <w:p>
      <w:pPr>
        <w:pStyle w:val="0"/>
        <w:spacing w:before="200" w:line-rule="auto"/>
        <w:ind w:firstLine="540"/>
        <w:jc w:val="both"/>
      </w:pPr>
      <w:r>
        <w:rPr>
          <w:sz w:val="20"/>
        </w:rPr>
        <w:t xml:space="preserve">Химическое производство и производство резиновых и пластмассовых изделий. Удельный вес отраслей в отгруженной продукции обрабатывающих отраслей - 20,5%, численность занятых - более 8 тыс. человек. Крупнейшими предприятиями отрасли являются: ОАО "Фармстандарт-Лексредства", выпускающее более 425 наименований лекарственных средств, относящихся к 27 основным фармакотерапевтическим группам; ОАО "Курскрезинотехника" - основной производитель резинотканевых и резинотросовых конвейерных лент, рукавов высокого давления, формовых и неформовых резинотехнических изделий различного назначения; Курский филиал ООО "Биаксплен", выпускающий полипропиленовую пленку для упаковки промышленных и пищевых товаров; ООО "Курскхимволокно", производящее синтетические волокна, нити текстильные, технические, ткани кордные капроновые.</w:t>
      </w:r>
    </w:p>
    <w:p>
      <w:pPr>
        <w:pStyle w:val="0"/>
        <w:spacing w:before="200" w:line-rule="auto"/>
        <w:ind w:firstLine="540"/>
        <w:jc w:val="both"/>
      </w:pPr>
      <w:r>
        <w:rPr>
          <w:sz w:val="20"/>
        </w:rPr>
        <w:t xml:space="preserve">В городе Железногорске отрасль представлена предприятиями: АО "ТД "Кварц" (главное направление деятельности - изготовление средств защиты деталей и узлов, работающих в постоянном контакте с потоками кусковых или жидких продуктов переработки для предприятий черной и цветной металлургии, строительной, нерудной, химической и других отраслей промышленности), АО "Полипак" (высокотехнологичное предприятие по производству гибкой упаковки на основе полимерных материалов, входит в группу компаний "ГОТЭК"; уверенно входит в пятерку лидеров российского рынка гибкой упаковки).</w:t>
      </w:r>
    </w:p>
    <w:p>
      <w:pPr>
        <w:pStyle w:val="0"/>
        <w:spacing w:before="200" w:line-rule="auto"/>
        <w:ind w:firstLine="540"/>
        <w:jc w:val="both"/>
      </w:pPr>
      <w:r>
        <w:rPr>
          <w:sz w:val="20"/>
        </w:rPr>
        <w:t xml:space="preserve">Целлюлозно-бумажное производство, обработка древесины и производство изделий из дерева. Удельный вес отраслей в отгруженной продукции обрабатывающих отраслей - 4,3%, численность занятых - более 3 тыс. человек. Ведущие предприятия - группа компаний "ГОТЭК", один из крупнейших производителей упаковочных изделий в России, АО "Изоплит" - производитель древесноволокнистых плит различного ассортимента и группа компаний "Фабрика полиграфии и упаковки" - производитель полиграфической и упаковочной продукции.</w:t>
      </w:r>
    </w:p>
    <w:p>
      <w:pPr>
        <w:pStyle w:val="0"/>
        <w:spacing w:before="200" w:line-rule="auto"/>
        <w:ind w:firstLine="540"/>
        <w:jc w:val="both"/>
      </w:pPr>
      <w:r>
        <w:rPr>
          <w:sz w:val="20"/>
        </w:rPr>
        <w:t xml:space="preserve">Легкая промышленность. Удельный вес отраслей в отгруженной продукции обрабатывающих отраслей - 2,8%, численность занятых - 6,5 тыс. человек. Крупнейшими предприятиями являются: ООО "Нипромтекс" - производитель нетканых материалов, синтепона, геотекстиля, швейных изделий, ООО "ПО Концерн "Курсктрикотажпром" - производитель полушерстяной и объемной пряжи, верхнего и бельевого трикотажа, АО "Фабрика технических тканей", выпускающее технические ткани, предназначенные для изготовления конвейерных лент, фильтровальные ткани и другую продукцию, ООО "КурскОбувь", изготавливающее школьную и детскую обувь.</w:t>
      </w:r>
    </w:p>
    <w:p>
      <w:pPr>
        <w:pStyle w:val="0"/>
        <w:spacing w:before="200" w:line-rule="auto"/>
        <w:ind w:firstLine="540"/>
        <w:jc w:val="both"/>
      </w:pPr>
      <w:r>
        <w:rPr>
          <w:sz w:val="20"/>
        </w:rPr>
        <w:t xml:space="preserve">Отрасль строительных материалов. Строительный комплекс в Курской области динамично развивается и включает в себя более полутора тысяч предприятий и организаций, выпускающих продукцию, отвечающую современным требованиям.</w:t>
      </w:r>
    </w:p>
    <w:p>
      <w:pPr>
        <w:pStyle w:val="0"/>
        <w:spacing w:before="200" w:line-rule="auto"/>
        <w:ind w:firstLine="540"/>
        <w:jc w:val="both"/>
      </w:pPr>
      <w:r>
        <w:rPr>
          <w:sz w:val="20"/>
        </w:rPr>
        <w:t xml:space="preserve">В регионе разведаны 3 месторождения формовочных песков (основное - Секеринское). Цементное сырье разведано на 6 месторождениях, из них 4 поставлены на баланс: Русско-Конопельское месторождение мела, Пушкарское месторождение суглинков, Солнцевское II месторождение мела и месторождение мергелей "Машнино".</w:t>
      </w:r>
    </w:p>
    <w:p>
      <w:pPr>
        <w:pStyle w:val="0"/>
        <w:spacing w:before="200" w:line-rule="auto"/>
        <w:ind w:firstLine="540"/>
        <w:jc w:val="both"/>
      </w:pPr>
      <w:r>
        <w:rPr>
          <w:sz w:val="20"/>
        </w:rPr>
        <w:t xml:space="preserve">Предприятия по производству строительных материалов в основном находятся на территории городов Курск и Железногорск и обладают капиталоемкими основными фондами, значительными площадями промышленных площадок, трудовыми ресурсами.</w:t>
      </w:r>
    </w:p>
    <w:p>
      <w:pPr>
        <w:pStyle w:val="0"/>
        <w:spacing w:before="200" w:line-rule="auto"/>
        <w:ind w:firstLine="540"/>
        <w:jc w:val="both"/>
      </w:pPr>
      <w:r>
        <w:rPr>
          <w:sz w:val="20"/>
        </w:rPr>
        <w:t xml:space="preserve">Ключевыми точками роста промышленности строительных материалов являются увеличение добычи полезных ископаемых, строительство новых предприятий по производству строительных материалов с высокой добавленной стоимостью, модернизация фондов существующих предприятий.</w:t>
      </w:r>
    </w:p>
    <w:p>
      <w:pPr>
        <w:pStyle w:val="0"/>
        <w:spacing w:before="200" w:line-rule="auto"/>
        <w:ind w:firstLine="540"/>
        <w:jc w:val="both"/>
      </w:pPr>
      <w:r>
        <w:rPr>
          <w:sz w:val="20"/>
        </w:rPr>
        <w:t xml:space="preserve">К ключевым проблемам развития отрасли относятся:</w:t>
      </w:r>
    </w:p>
    <w:p>
      <w:pPr>
        <w:pStyle w:val="0"/>
        <w:spacing w:before="200" w:line-rule="auto"/>
        <w:ind w:firstLine="540"/>
        <w:jc w:val="both"/>
      </w:pPr>
      <w:r>
        <w:rPr>
          <w:sz w:val="20"/>
        </w:rPr>
        <w:t xml:space="preserve">высокий уровень конкуренции на основном рынке сбыта продукции промышленности строительных материалов Курской области - рынке Московской агломерации;</w:t>
      </w:r>
    </w:p>
    <w:p>
      <w:pPr>
        <w:pStyle w:val="0"/>
        <w:spacing w:before="200" w:line-rule="auto"/>
        <w:ind w:firstLine="540"/>
        <w:jc w:val="both"/>
      </w:pPr>
      <w:r>
        <w:rPr>
          <w:sz w:val="20"/>
        </w:rPr>
        <w:t xml:space="preserve">ориентация на производство продукции с относительно невысокой добавленной стоимостью, что снижает возможность ее поставки на большие расстояния, высокие удельные транспортные издержки;</w:t>
      </w:r>
    </w:p>
    <w:p>
      <w:pPr>
        <w:pStyle w:val="0"/>
        <w:spacing w:before="200" w:line-rule="auto"/>
        <w:ind w:firstLine="540"/>
        <w:jc w:val="both"/>
      </w:pPr>
      <w:r>
        <w:rPr>
          <w:sz w:val="20"/>
        </w:rPr>
        <w:t xml:space="preserve">низкий уровень вовлеченности научно-исследовательских организаций в промышленности строительных материалов, в отдельных случаях - использование устаревших и экологически грязных технологий производства;</w:t>
      </w:r>
    </w:p>
    <w:p>
      <w:pPr>
        <w:pStyle w:val="0"/>
        <w:spacing w:before="200" w:line-rule="auto"/>
        <w:ind w:firstLine="540"/>
        <w:jc w:val="both"/>
      </w:pPr>
      <w:r>
        <w:rPr>
          <w:sz w:val="20"/>
        </w:rPr>
        <w:t xml:space="preserve">отсутствие перспектив проведения масштабной политики промышленной кооперации из-за специфики отрасли (предприятия полного цикла производства продукции);</w:t>
      </w:r>
    </w:p>
    <w:p>
      <w:pPr>
        <w:pStyle w:val="0"/>
        <w:spacing w:before="200" w:line-rule="auto"/>
        <w:ind w:firstLine="540"/>
        <w:jc w:val="both"/>
      </w:pPr>
      <w:r>
        <w:rPr>
          <w:sz w:val="20"/>
        </w:rPr>
        <w:t xml:space="preserve">дефицит высококвалифицированных кадров.</w:t>
      </w:r>
    </w:p>
    <w:p>
      <w:pPr>
        <w:pStyle w:val="0"/>
        <w:spacing w:before="200" w:line-rule="auto"/>
        <w:ind w:firstLine="540"/>
        <w:jc w:val="both"/>
      </w:pPr>
      <w:r>
        <w:rPr>
          <w:sz w:val="20"/>
        </w:rPr>
        <w:t xml:space="preserve">Пищевая и перерабатывающая промышленность. Важнейшее значение в структуре экономики региона имеет пищевая промышленность - ее удельный вес в структуре отгруженной продукции обрабатывающих производств составляет свыше 50,0%.</w:t>
      </w:r>
    </w:p>
    <w:p>
      <w:pPr>
        <w:pStyle w:val="0"/>
        <w:spacing w:before="200" w:line-rule="auto"/>
        <w:ind w:firstLine="540"/>
        <w:jc w:val="both"/>
      </w:pPr>
      <w:r>
        <w:rPr>
          <w:sz w:val="20"/>
        </w:rPr>
        <w:t xml:space="preserve">Природно-климатический потенциал Курской области способствует развитию многоотраслевого сельского хозяйства в регионе, что, в свою очередь, определяет приоритетность создания новых перерабатывающих производств в пищевой промышленности. Развитию пищевой промышленности способствуют и социально-экономические факторы. Выгодное транспортно-географическое положение обеспечивает возможности для своевременной доставки сырья и сбыта готовой продукции.</w:t>
      </w:r>
    </w:p>
    <w:p>
      <w:pPr>
        <w:pStyle w:val="0"/>
        <w:spacing w:before="200" w:line-rule="auto"/>
        <w:ind w:firstLine="540"/>
        <w:jc w:val="both"/>
      </w:pPr>
      <w:r>
        <w:rPr>
          <w:sz w:val="20"/>
        </w:rPr>
        <w:t xml:space="preserve">В структуре пищевой отрасли представлена вся совокупность перерабатывающих подотраслей.</w:t>
      </w:r>
    </w:p>
    <w:p>
      <w:pPr>
        <w:pStyle w:val="0"/>
        <w:spacing w:before="200" w:line-rule="auto"/>
        <w:ind w:firstLine="540"/>
        <w:jc w:val="both"/>
      </w:pPr>
      <w:r>
        <w:rPr>
          <w:sz w:val="20"/>
        </w:rPr>
        <w:t xml:space="preserve">По итогам 2018 года более 50% объема отгруженной продукции по виду экономической деятельности "Обрабатывающие производства" обеспечило производство пищевых продуктов и напитков. С 2000 года производство мяса увеличилось в регионе более чем в 4,5 раза. Производство молока пока не достигло таких рекордных показателей, и значительная часть молочной продукции в регионе потребляется из близлежащих областей, в том числе из Белгородской и Воронежской. Значительно увеличились за последнее десятилетие валовые сборы и урожайность основных сельскохозяйственных культур, что также определяет приоритетность развития перерабатывающих мощностей.</w:t>
      </w:r>
    </w:p>
    <w:p>
      <w:pPr>
        <w:pStyle w:val="0"/>
        <w:spacing w:before="200" w:line-rule="auto"/>
        <w:ind w:firstLine="540"/>
        <w:jc w:val="both"/>
      </w:pPr>
      <w:r>
        <w:rPr>
          <w:sz w:val="20"/>
        </w:rPr>
        <w:t xml:space="preserve">Самым крупным современным предприятием плодоовощеконсервной промышленности является экспериментальный комбинат детского питания Филиал ОАО "Вимм-Билль-Данн Продукты питания" (Фатежский район), выпускающий натуральные соки и фруктовые пюре под маркой "Агуша". Действует предприятие ООО "Обоянский консервный завод", на котором установлена производственная линия асептической продукции.</w:t>
      </w:r>
    </w:p>
    <w:p>
      <w:pPr>
        <w:pStyle w:val="0"/>
        <w:spacing w:before="200" w:line-rule="auto"/>
        <w:ind w:firstLine="540"/>
        <w:jc w:val="both"/>
      </w:pPr>
      <w:r>
        <w:rPr>
          <w:sz w:val="20"/>
        </w:rPr>
        <w:t xml:space="preserve">Ведущим предприятием в пищевой отрасли Курской области является АО "КОНТИ-РУС", мощностью по производству кондитерских изделий 146 тыс. тонн в год, ассортимент продукции - более 250 наименований.</w:t>
      </w:r>
    </w:p>
    <w:p>
      <w:pPr>
        <w:pStyle w:val="0"/>
        <w:spacing w:before="200" w:line-rule="auto"/>
        <w:ind w:firstLine="540"/>
        <w:jc w:val="both"/>
      </w:pPr>
      <w:r>
        <w:rPr>
          <w:sz w:val="20"/>
        </w:rPr>
        <w:t xml:space="preserve">Область имеет достаточно высокую плотность населения, что гарантирует близость потребителя продукции пищевой промышленности. Таким образом, существуют все объективные факторы размещения, обеспечивающие развитие предприятий пищевой промышленности, ориентирующихся на сырье, потребителя и на сочетание этих факторов.</w:t>
      </w:r>
    </w:p>
    <w:p>
      <w:pPr>
        <w:pStyle w:val="0"/>
        <w:spacing w:before="200" w:line-rule="auto"/>
        <w:ind w:firstLine="540"/>
        <w:jc w:val="both"/>
      </w:pPr>
      <w:r>
        <w:rPr>
          <w:sz w:val="20"/>
        </w:rPr>
        <w:t xml:space="preserve">Положительная динамика развития отраслей пищевой и перерабатывающей промышленности (индекс промышленного производства в 2018 году составил 101,2%) позволила региону войти в число самообеспеченных по основной группе продуктов собственного производства, что является важным фактором в условиях импортозамещения.</w:t>
      </w:r>
    </w:p>
    <w:p>
      <w:pPr>
        <w:pStyle w:val="0"/>
        <w:spacing w:before="200" w:line-rule="auto"/>
        <w:ind w:firstLine="540"/>
        <w:jc w:val="both"/>
      </w:pPr>
      <w:r>
        <w:rPr>
          <w:sz w:val="20"/>
        </w:rPr>
        <w:t xml:space="preserve">Агропромышленный комплекс. По итогам 2018 года индекс производства продукции сельского хозяйства составил 100,4% (по России - 99,8%, по ЦФО - 103,1%).</w:t>
      </w:r>
    </w:p>
    <w:p>
      <w:pPr>
        <w:pStyle w:val="0"/>
        <w:spacing w:before="200" w:line-rule="auto"/>
        <w:ind w:firstLine="540"/>
        <w:jc w:val="both"/>
      </w:pPr>
      <w:r>
        <w:rPr>
          <w:sz w:val="20"/>
        </w:rPr>
        <w:t xml:space="preserve">В области выращивают зерновые, технические, кормовые культуры, разводят крупный рогатый скот мясомолочного направления, свиней, птицу.</w:t>
      </w:r>
    </w:p>
    <w:p>
      <w:pPr>
        <w:pStyle w:val="0"/>
        <w:spacing w:before="200" w:line-rule="auto"/>
        <w:ind w:firstLine="540"/>
        <w:jc w:val="both"/>
      </w:pPr>
      <w:r>
        <w:rPr>
          <w:sz w:val="20"/>
        </w:rPr>
        <w:t xml:space="preserve">Объем производства валовой продукции сельского хозяйства в действующих ценах по итогам 2018 года составил 146,7 млрд. рублей.</w:t>
      </w:r>
    </w:p>
    <w:p>
      <w:pPr>
        <w:pStyle w:val="0"/>
        <w:spacing w:before="200" w:line-rule="auto"/>
        <w:ind w:firstLine="540"/>
        <w:jc w:val="both"/>
      </w:pPr>
      <w:r>
        <w:rPr>
          <w:sz w:val="20"/>
        </w:rPr>
        <w:t xml:space="preserve">В структуре сельскохозяйственного производства объем продукции растениеводства занимает 60%, животноводства - 40,0%. Основными направлениями растениеводства являются производство зерновых культур, сахарной свеклы, масличных культур, картофеля, овощей.</w:t>
      </w:r>
    </w:p>
    <w:p>
      <w:pPr>
        <w:pStyle w:val="0"/>
        <w:spacing w:before="200" w:line-rule="auto"/>
        <w:ind w:firstLine="540"/>
        <w:jc w:val="both"/>
      </w:pPr>
      <w:r>
        <w:rPr>
          <w:sz w:val="20"/>
        </w:rPr>
        <w:t xml:space="preserve">Основными зерновыми культурами, которые выращиваются в регионе, являются озимая и яровая пшеница (52% в структуре производства зерна за 2019 год, 8-е место в общероссийском рейтинге среднегодового производства), кукуруза на зерно (соответственно 24%; 2-е место), озимый и яровой ячмень (22%, 5-е место), зернобобовые культуры (0,9%; 19-е место), овес (0,7%; 31-е место), гречиха (0,3%; 6-е место), озимая и яровая тритикале (0,1%; 5-е место), озимая и яровая рожь (0,1%; 27-е место) и просо (0,03%; 20-е место). По объемам производства сахарной свеклы регион находится на 4-м месте в общероссийском рейтинге производства за последние 5 лет, подсолнечника - на 14-м, озимого и ярового рапса - на 11-м, сои - на 3-м месте.</w:t>
      </w:r>
    </w:p>
    <w:p>
      <w:pPr>
        <w:pStyle w:val="0"/>
        <w:spacing w:before="200" w:line-rule="auto"/>
        <w:ind w:firstLine="540"/>
        <w:jc w:val="both"/>
      </w:pPr>
      <w:r>
        <w:rPr>
          <w:sz w:val="20"/>
        </w:rPr>
        <w:t xml:space="preserve">Активно развивается новое направление - производство грибов. В мае 2018 года в ООО "Грибная радуга" в Курском районе запущена вторая очередь инвестиционного проекта с удвоением мощности производства грибов до 10,0 тыс. тонн в год. Завершено строительство третьей очереди. Производство грибов будет доведено до 17 тыс. тонн.</w:t>
      </w:r>
    </w:p>
    <w:p>
      <w:pPr>
        <w:pStyle w:val="0"/>
        <w:spacing w:before="200" w:line-rule="auto"/>
        <w:ind w:firstLine="540"/>
        <w:jc w:val="both"/>
      </w:pPr>
      <w:r>
        <w:rPr>
          <w:sz w:val="20"/>
        </w:rPr>
        <w:t xml:space="preserve">Курская область на данный момент в полном объеме обеспечивает себя мясом птицы и свиней, а также отгружает большие объемы в другие регионы.</w:t>
      </w:r>
    </w:p>
    <w:p>
      <w:pPr>
        <w:pStyle w:val="0"/>
        <w:spacing w:before="200" w:line-rule="auto"/>
        <w:ind w:firstLine="540"/>
        <w:jc w:val="both"/>
      </w:pPr>
      <w:r>
        <w:rPr>
          <w:sz w:val="20"/>
        </w:rPr>
        <w:t xml:space="preserve">В 2015 году область вошла в тройку российских регионов-лидеров по численности поголовья свиней и производству свинины (2-е место). По производству мяса всех видов область заняла 5-е место в Российской Федерации (в 2018 году произведено 523,8 тыс. тонн мяса. Это третье место среди регионов ЦФО).</w:t>
      </w:r>
    </w:p>
    <w:p>
      <w:pPr>
        <w:pStyle w:val="0"/>
        <w:jc w:val="both"/>
      </w:pPr>
      <w:r>
        <w:rPr>
          <w:sz w:val="20"/>
        </w:rPr>
      </w:r>
    </w:p>
    <w:p>
      <w:pPr>
        <w:pStyle w:val="0"/>
        <w:jc w:val="center"/>
      </w:pPr>
      <w:r>
        <w:rPr>
          <w:position w:val="-270"/>
        </w:rPr>
        <w:drawing>
          <wp:inline distT="0" distB="0" distL="0" distR="0">
            <wp:extent cx="5041265" cy="3566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041265" cy="356616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7. Сельское хозяйство Курской области</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jc w:val="center"/>
      </w:pPr>
      <w:r>
        <w:rPr>
          <w:position w:val="-270"/>
        </w:rPr>
        <w:drawing>
          <wp:inline distT="0" distB="0" distL="0" distR="0">
            <wp:extent cx="5041265" cy="3566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041265" cy="356616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8. Сельское хозяйство Курской области</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spacing w:before="200" w:line-rule="auto"/>
        <w:ind w:firstLine="540"/>
        <w:jc w:val="both"/>
      </w:pPr>
      <w:r>
        <w:rPr>
          <w:sz w:val="20"/>
        </w:rPr>
        <w:t xml:space="preserve">Доля молока и мяса крупного рогатого скота в структуре выручки сельскохозяйственных предприятий стабильно снижается. Если ранее наиболее значимой подотраслью животноводства в регионе было мясное птицеводство, то с 2012 года - это свиноводство. В Горшеченском районе работает современный технологический птицеводческий комплекс, включающий производство и переработку мяса птицы мощностью до 120 тыс. тонн в год.</w:t>
      </w:r>
    </w:p>
    <w:p>
      <w:pPr>
        <w:pStyle w:val="0"/>
        <w:spacing w:before="200" w:line-rule="auto"/>
        <w:ind w:firstLine="540"/>
        <w:jc w:val="both"/>
      </w:pPr>
      <w:r>
        <w:rPr>
          <w:sz w:val="20"/>
        </w:rPr>
        <w:t xml:space="preserve">С 2007 года началось активное строительство комплексов по производству свинины. За последние несколько лет в регионе провели модернизацию и нарастили объемы производства действующие мясоперерабатывающие предприятия. В результате к началу 2017 года в регионе были увеличены годовые мощности по переработке скота в убойном весе более чем на 130 тыс. тонн.</w:t>
      </w:r>
    </w:p>
    <w:p>
      <w:pPr>
        <w:pStyle w:val="0"/>
        <w:spacing w:before="200" w:line-rule="auto"/>
        <w:ind w:firstLine="540"/>
        <w:jc w:val="both"/>
      </w:pPr>
      <w:r>
        <w:rPr>
          <w:sz w:val="20"/>
        </w:rPr>
        <w:t xml:space="preserve">Доля мяса свиней в структуре выручки сельскохозяйственных предприятий Курской области выросла за 2000 - 2018 гг. наиболее существенно - на 25%. В настоящее время это самая крупная и значимая сельскохозяйственная отрасль региона наряду с зерновым производством. За период 2010 - 2018 гг. рост производства мяса и субпродуктов, включая мясо птицы, составил более 6 раз, мясных полуфабрикатов - более 10 раз.</w:t>
      </w:r>
    </w:p>
    <w:p>
      <w:pPr>
        <w:pStyle w:val="0"/>
        <w:spacing w:before="200" w:line-rule="auto"/>
        <w:ind w:firstLine="540"/>
        <w:jc w:val="both"/>
      </w:pPr>
      <w:r>
        <w:rPr>
          <w:sz w:val="20"/>
        </w:rPr>
        <w:t xml:space="preserve">Производство свинины сосредоточено на крупных специализированных предприятиях.</w:t>
      </w:r>
    </w:p>
    <w:p>
      <w:pPr>
        <w:pStyle w:val="0"/>
        <w:spacing w:before="200" w:line-rule="auto"/>
        <w:ind w:firstLine="540"/>
        <w:jc w:val="both"/>
      </w:pPr>
      <w:r>
        <w:rPr>
          <w:sz w:val="20"/>
        </w:rPr>
        <w:t xml:space="preserve">В структуре товарной продукции пищевой промышленности области удельный вес молочной отрасли составляет не более 10%. В 2018 году хозяйствами всех категорий произведено 289,9 тыс. тонн молока. Природно-ресурсный потенциал области благоприятен для развития молочной промышленности, однако эти возможности используются пока не в полной мере.</w:t>
      </w:r>
    </w:p>
    <w:p>
      <w:pPr>
        <w:pStyle w:val="0"/>
        <w:spacing w:before="200" w:line-rule="auto"/>
        <w:ind w:firstLine="540"/>
        <w:jc w:val="both"/>
      </w:pPr>
      <w:r>
        <w:rPr>
          <w:sz w:val="20"/>
        </w:rPr>
        <w:t xml:space="preserve">В регионе реализован крупный проект - цех по переработке молока мощностью 130 тонн в смену (ГК "Курское молоко") в Курске, а также введены в эксплуатацию 3 цеха по переработке молока мощностью 4 тыс. тонн/год в Золотухинском районе. Начата производственная деятельность предприятия по переработке молока мощностью 50 тонн в сутки ООО "Молочный дом" в Октябрьском районе. В рамках импортозамещения была проведена модернизация предприятий молокоперерабатывающей отрасли, с установкой новых линий по производству масла сливочного, сыров, цельномолочной продукции (ООО "Курское молоко", ООО "НМ Ингредиенты", ООО "Сырная долина").</w:t>
      </w:r>
    </w:p>
    <w:p>
      <w:pPr>
        <w:pStyle w:val="0"/>
        <w:spacing w:before="200" w:line-rule="auto"/>
        <w:ind w:firstLine="540"/>
        <w:jc w:val="both"/>
      </w:pPr>
      <w:r>
        <w:rPr>
          <w:sz w:val="20"/>
        </w:rPr>
        <w:t xml:space="preserve">Дальнейшему наращиванию мощностей по переработке зерна и зернопродуктов будет способствовать ввод новых мощностей.</w:t>
      </w:r>
    </w:p>
    <w:p>
      <w:pPr>
        <w:pStyle w:val="0"/>
        <w:spacing w:before="200" w:line-rule="auto"/>
        <w:ind w:firstLine="540"/>
        <w:jc w:val="both"/>
      </w:pPr>
      <w:r>
        <w:rPr>
          <w:sz w:val="20"/>
        </w:rPr>
        <w:t xml:space="preserve">ООО "Курскзернопром" Черемисиновского района введены в эксплуатацию мельничный комплекс мощностью 40 тыс. тонн муки в год и пекарня мощностью 6 тонн хлебобулочных изделий в сутки. По итогам года предприятием выработано 13 тыс. тонн муки.</w:t>
      </w:r>
    </w:p>
    <w:p>
      <w:pPr>
        <w:pStyle w:val="0"/>
        <w:spacing w:before="200" w:line-rule="auto"/>
        <w:ind w:firstLine="540"/>
        <w:jc w:val="both"/>
      </w:pPr>
      <w:r>
        <w:rPr>
          <w:sz w:val="20"/>
        </w:rPr>
        <w:t xml:space="preserve">Начал работу комбикормовый цех ООО "Псельское" в Беловском районе мощностью 124 тыс. тонн в год и мощностью по хранению зерна 22 тыс. тонн в год.</w:t>
      </w:r>
    </w:p>
    <w:p>
      <w:pPr>
        <w:pStyle w:val="0"/>
        <w:spacing w:before="200" w:line-rule="auto"/>
        <w:ind w:firstLine="540"/>
        <w:jc w:val="both"/>
      </w:pPr>
      <w:r>
        <w:rPr>
          <w:sz w:val="20"/>
        </w:rPr>
        <w:t xml:space="preserve">В Железногорском районе компанией ООО "Агропромкомплектация-Курск" введен в эксплуатацию комплекс по производству комбикормов мощностью 230 тыс. тонн в год и элеватор на 150 тыс. тонн. Объем инвестиций составил порядка 3,1 млрд. рублей.</w:t>
      </w:r>
    </w:p>
    <w:p>
      <w:pPr>
        <w:pStyle w:val="0"/>
        <w:spacing w:before="200" w:line-rule="auto"/>
        <w:ind w:firstLine="540"/>
        <w:jc w:val="both"/>
      </w:pPr>
      <w:r>
        <w:rPr>
          <w:sz w:val="20"/>
        </w:rPr>
        <w:t xml:space="preserve">Кроме того, сегодня в отрасли поставлена задача по созданию высокоэффективных производств, которые позволят обеспечить внедрение малоотходных и ресурсосберегающих технологий, а также получить новые продукты с высокой добавленной стоимостью, востребованные на внутреннем и внешних рынках.</w:t>
      </w:r>
    </w:p>
    <w:p>
      <w:pPr>
        <w:pStyle w:val="0"/>
        <w:spacing w:before="200" w:line-rule="auto"/>
        <w:ind w:firstLine="540"/>
        <w:jc w:val="both"/>
      </w:pPr>
      <w:r>
        <w:rPr>
          <w:sz w:val="20"/>
        </w:rPr>
        <w:t xml:space="preserve">Компанией АО "ИннПромБиотех" прорабатывается вопрос по строительству на территории Курской области комплекса по глубокой переработке зерна пшеницы мощностью 250 тыс. тонн в год и производству глютена, модифицированного крахмала, карамельной и мальтозной патоки. Сумма инвестиций проекта - более 16 млрд. рублей.</w:t>
      </w:r>
    </w:p>
    <w:p>
      <w:pPr>
        <w:pStyle w:val="0"/>
        <w:spacing w:before="200" w:line-rule="auto"/>
        <w:ind w:firstLine="540"/>
        <w:jc w:val="both"/>
      </w:pPr>
      <w:r>
        <w:rPr>
          <w:sz w:val="20"/>
        </w:rPr>
        <w:t xml:space="preserve">Реализация указанных инвестиционных проектов позволит увеличить переработку зерна внутри региона до 2,5 млн. тонн.</w:t>
      </w:r>
    </w:p>
    <w:p>
      <w:pPr>
        <w:pStyle w:val="0"/>
        <w:spacing w:before="200" w:line-rule="auto"/>
        <w:ind w:firstLine="540"/>
        <w:jc w:val="both"/>
      </w:pPr>
      <w:r>
        <w:rPr>
          <w:sz w:val="20"/>
        </w:rPr>
        <w:t xml:space="preserve">В настоящее время в агропромышленном комплексе Курской области реализуется 19 соглашений о сотрудничестве с инвестиционными компаниями, наиболее крупными из которых являются: ООО "УК "Агро-Инвест", ОАО АКБ "Авангард", ООО "Группа компаний "Продимекс", ООО ГК "Русагро", ООО АПХ "Мираторг", ООО "Агропромкомплектация", ООО УК "Русский дом", ПАО "Моснефтегазстройкомплект", АО "Надежда", ООО УК "Объединенные кондитеры", ЗАО "Агрокомплекс "Мансурово", ООО "Грибная радуга", ООО "Содружество", УК "ЭкоНива - АПК Холдинг".</w:t>
      </w:r>
    </w:p>
    <w:p>
      <w:pPr>
        <w:pStyle w:val="0"/>
        <w:spacing w:before="200" w:line-rule="auto"/>
        <w:ind w:firstLine="540"/>
        <w:jc w:val="both"/>
      </w:pPr>
      <w:r>
        <w:rPr>
          <w:sz w:val="20"/>
        </w:rPr>
        <w:t xml:space="preserve">За последние 13 лет существенно сократилось число сельскохозяйственных предприятий региона. Предприятия стали более крупными, в частности по площади сельскохозяйственных угодий и поголовью продуктивного скота, то есть на территории Курской области последовательно осуществляется концентрация производства, в основном в форме централизации.</w:t>
      </w:r>
    </w:p>
    <w:p>
      <w:pPr>
        <w:pStyle w:val="0"/>
        <w:spacing w:before="200" w:line-rule="auto"/>
        <w:ind w:firstLine="540"/>
        <w:jc w:val="both"/>
      </w:pPr>
      <w:r>
        <w:rPr>
          <w:sz w:val="20"/>
        </w:rPr>
        <w:t xml:space="preserve">Почти все сельскохозяйственные предприятия Курской области (за исключением узкоспециализированных животноводческих комплексов) имеют посевы зерновых культур.</w:t>
      </w:r>
    </w:p>
    <w:p>
      <w:pPr>
        <w:pStyle w:val="0"/>
        <w:spacing w:before="200" w:line-rule="auto"/>
        <w:ind w:firstLine="540"/>
        <w:jc w:val="both"/>
      </w:pPr>
      <w:r>
        <w:rPr>
          <w:sz w:val="20"/>
        </w:rPr>
        <w:t xml:space="preserve">Инвестиции и инвестиционная привлекательность. В Курской области проводится работа по созданию благоприятных условий для улучшения инвестиционной привлекательности: совершенствуется нормативная правовая база, реализуются мероприятия Инвестиционной стратегии региона до 2025 года и подпрограммы "Создание благоприятных условий для привлечения инвестиций в экономику Курской области" государственной программы "Развитие экономики и внешних связей Курской области", действуют Совет по улучшению инвестиционного климата и АО "Агентство по привлечению инвестиций Курской области".</w:t>
      </w:r>
    </w:p>
    <w:p>
      <w:pPr>
        <w:pStyle w:val="0"/>
        <w:spacing w:before="200" w:line-rule="auto"/>
        <w:ind w:firstLine="540"/>
        <w:jc w:val="both"/>
      </w:pPr>
      <w:r>
        <w:rPr>
          <w:sz w:val="20"/>
        </w:rPr>
        <w:t xml:space="preserve">Также одним из основных направлений работы по улучшению условий для ведения бизнеса является создание площадок с подготовленными объектами энергетической и транспортной инфраструктуры.</w:t>
      </w:r>
    </w:p>
    <w:p>
      <w:pPr>
        <w:pStyle w:val="0"/>
        <w:spacing w:before="200" w:line-rule="auto"/>
        <w:ind w:firstLine="540"/>
        <w:jc w:val="both"/>
      </w:pPr>
      <w:r>
        <w:rPr>
          <w:sz w:val="20"/>
        </w:rPr>
        <w:t xml:space="preserve">Осуществляется работа по развитию муниципального индустриального (промышленного) парка в г. Щигры и индустриального (промышленного) парка "Юбилейный", расположенного на территории Щетинского сельсовета Курского района. Особое внимание уделяется пустующим производственным площадкам бывших советских гигантов (создаются индустриальные парки на площадках АПЗ-20 и завода "Счетмаш").</w:t>
      </w:r>
    </w:p>
    <w:p>
      <w:pPr>
        <w:pStyle w:val="0"/>
        <w:spacing w:before="200" w:line-rule="auto"/>
        <w:ind w:firstLine="540"/>
        <w:jc w:val="both"/>
      </w:pPr>
      <w:r>
        <w:rPr>
          <w:sz w:val="20"/>
        </w:rPr>
        <w:t xml:space="preserve">Объем инвестиций в основной капитал в целом по Курской области по итогам 2018 года составил 120,7 млрд. рублей (0,7% от России в целом). По объему инвестиций на душу населения регион занимает 26-е место среди субъектов Российской Федерации. За период 2013 - 2018 гг. регион поднялся по этому показателю сразу на 23 позиции.</w:t>
      </w:r>
    </w:p>
    <w:p>
      <w:pPr>
        <w:pStyle w:val="0"/>
        <w:spacing w:before="200" w:line-rule="auto"/>
        <w:ind w:firstLine="540"/>
        <w:jc w:val="both"/>
      </w:pPr>
      <w:r>
        <w:rPr>
          <w:sz w:val="20"/>
        </w:rPr>
        <w:t xml:space="preserve">Динамика инвестиционной активности по Курской области за период 1999 - 2018 гг. имела схожие тенденции с общероссийской. В 2008 - 2009 гг. падение инвестиционной активности по Курской области было более существенным по сравнению с общероссийскими показателями (более чем на 15% в 2009 году по сравнению с 2008 годом; 13,5% - в целом по России). Темпы роста инвестиций в основной капитал с 2015 года в регионе более высокие по сравнению с общероссийской динамикой.</w:t>
      </w:r>
    </w:p>
    <w:p>
      <w:pPr>
        <w:pStyle w:val="0"/>
        <w:spacing w:before="200" w:line-rule="auto"/>
        <w:ind w:firstLine="540"/>
        <w:jc w:val="both"/>
      </w:pPr>
      <w:r>
        <w:rPr>
          <w:sz w:val="20"/>
        </w:rPr>
        <w:t xml:space="preserve">Основной поток инвестиций (в среднем за период 2010 - 2018 гг. - 60 - 65% от общего объема) направляется в проекты в таких отраслях, как сельское хозяйство, охота и лесное хозяйство, обрабатывающие производства, обеспечение электрической энергией, газом и паром и др.</w:t>
      </w:r>
    </w:p>
    <w:p>
      <w:pPr>
        <w:pStyle w:val="0"/>
        <w:spacing w:before="200" w:line-rule="auto"/>
        <w:ind w:firstLine="540"/>
        <w:jc w:val="both"/>
      </w:pPr>
      <w:r>
        <w:rPr>
          <w:sz w:val="20"/>
        </w:rPr>
        <w:t xml:space="preserve">При этом доминирующее положение в общем объеме инвестиций в основной капитал до 2014 года занимали сельское хозяйство, охота и лесное хозяйство (около 25 - 30% от объема инвестиций в основной капитал), в 2015 - 2018 гг. лидером по объему привлеченных инвестиций стали проекты в области производства и распределения электроэнергии, газа и воды (20 - 25% объема инвестиций в основной капитал).</w:t>
      </w:r>
    </w:p>
    <w:p>
      <w:pPr>
        <w:pStyle w:val="0"/>
        <w:jc w:val="both"/>
      </w:pPr>
      <w:r>
        <w:rPr>
          <w:sz w:val="20"/>
        </w:rPr>
      </w:r>
    </w:p>
    <w:p>
      <w:pPr>
        <w:pStyle w:val="0"/>
        <w:jc w:val="center"/>
      </w:pPr>
      <w:r>
        <w:rPr>
          <w:position w:val="-270"/>
        </w:rPr>
        <w:drawing>
          <wp:inline distT="0" distB="0" distL="0" distR="0">
            <wp:extent cx="5041265" cy="3559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041265" cy="355981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9. Инвестиции Курской области</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ind w:firstLine="540"/>
        <w:jc w:val="both"/>
      </w:pPr>
      <w:r>
        <w:rPr>
          <w:sz w:val="20"/>
        </w:rPr>
        <w:t xml:space="preserve">Всего промышленными предприятиями Курской области в настоящее время реализуется более 30 инвестиционных проектов, связанных с техническим перевооружением, расширением производств, а также с освоением выпуска новых видов конкурентоспособной импортозамещающей продукции, в том числе: АО "Михайловский ГОК им. А.В. Варичева", Курская АЭС, ОАО "Фармстандарт-Лексредства", ООО "Курскхимволокно", ООО "Совтест АТЕ", предприятия Курской аккумуляторной площадки, предприятия группы ГОТЭК и др.</w:t>
      </w:r>
    </w:p>
    <w:p>
      <w:pPr>
        <w:pStyle w:val="0"/>
        <w:spacing w:before="200" w:line-rule="auto"/>
        <w:ind w:firstLine="540"/>
        <w:jc w:val="both"/>
      </w:pPr>
      <w:r>
        <w:rPr>
          <w:sz w:val="20"/>
        </w:rPr>
        <w:t xml:space="preserve">Внутрирегиональное распределение инвестиций характеризуется крайне высокой неравномерностью: более 50% всех инвестиционных вложений приходится на города Курск, Железногорск и Курчатов.</w:t>
      </w:r>
    </w:p>
    <w:p>
      <w:pPr>
        <w:pStyle w:val="0"/>
        <w:spacing w:before="200" w:line-rule="auto"/>
        <w:ind w:firstLine="540"/>
        <w:jc w:val="both"/>
      </w:pPr>
      <w:r>
        <w:rPr>
          <w:sz w:val="20"/>
        </w:rPr>
        <w:t xml:space="preserve">Основным источником инвестиций в основной капитал за период 2017 - 2018 гг. являлись привлеченные средства организаций (55 - 60%), в структуре которых наибольшую долю занимают кредиты банков и бюджетные средства. Объем прямых иностранных инвестиций в экономику региона минимальный среди регионов ЦФО (1 - 4 млн. долл. ежегодно по итогам 2015 - 2017 гг. по данным платежного баланса Российской Федерации).</w:t>
      </w:r>
    </w:p>
    <w:p>
      <w:pPr>
        <w:pStyle w:val="0"/>
        <w:spacing w:before="200" w:line-rule="auto"/>
        <w:ind w:firstLine="540"/>
        <w:jc w:val="both"/>
      </w:pPr>
      <w:r>
        <w:rPr>
          <w:sz w:val="20"/>
        </w:rPr>
        <w:t xml:space="preserve">Согласно данным РА "Эксперт", с 2014 года Курская область имеет рейтинг 3А1 (пониженный потенциал - минимальный риск). В целом для регионов ЦФО характерно низкое значение инвестиционных рисков и средние показатели инвестиционного потенциала, что определяет состав группы 3А1 (из 11 регионов группы - 8 входят в состав ЦФО). Курская область в последние пять лет стабильно входит в десятку наиболее безопасных регионов с точки зрения рисков вложения инвестиций.</w:t>
      </w:r>
    </w:p>
    <w:p>
      <w:pPr>
        <w:pStyle w:val="0"/>
        <w:spacing w:before="200" w:line-rule="auto"/>
        <w:ind w:firstLine="540"/>
        <w:jc w:val="both"/>
      </w:pPr>
      <w:r>
        <w:rPr>
          <w:sz w:val="20"/>
        </w:rPr>
        <w:t xml:space="preserve">В Национальном рейтинге состояния инвестиционного климата субъектов Российской Федерации область находится на 62-м месте.</w:t>
      </w:r>
    </w:p>
    <w:p>
      <w:pPr>
        <w:pStyle w:val="0"/>
        <w:spacing w:before="200" w:line-rule="auto"/>
        <w:ind w:firstLine="540"/>
        <w:jc w:val="both"/>
      </w:pPr>
      <w:r>
        <w:rPr>
          <w:sz w:val="20"/>
        </w:rPr>
        <w:t xml:space="preserve">В 2018 году Аналитическое Кредитное Рейтинговое Агентство (Акционерное общество) присвоило Курской области и выпуску облигаций Курской области кредитный рейтинг A(RU), прогноз - "Стабильный". В 2019 году указанный рейтинг подтвержден, прогноз изменен на "Позитивный".</w:t>
      </w:r>
    </w:p>
    <w:p>
      <w:pPr>
        <w:pStyle w:val="0"/>
        <w:spacing w:before="200" w:line-rule="auto"/>
        <w:ind w:firstLine="540"/>
        <w:jc w:val="both"/>
      </w:pPr>
      <w:r>
        <w:rPr>
          <w:sz w:val="20"/>
        </w:rPr>
        <w:t xml:space="preserve">Потребительский рынок. Потребительский рынок Курской области имеет устойчивое состояние и характеризуется как динамично развивающийся сектор экономики, обеспечивающий ежегодно до 10,2% валового регионального продукта и около 15% налоговых поступлений в бюджетную систему Российской Федерации. В торговле занято около 104 тысяч человек - это пятая часть занятых в экономике региона.</w:t>
      </w:r>
    </w:p>
    <w:p>
      <w:pPr>
        <w:pStyle w:val="0"/>
        <w:spacing w:before="200" w:line-rule="auto"/>
        <w:ind w:firstLine="540"/>
        <w:jc w:val="both"/>
      </w:pPr>
      <w:r>
        <w:rPr>
          <w:sz w:val="20"/>
        </w:rPr>
        <w:t xml:space="preserve">На потребительском рынке Курской области функционируют около 10 тысяч объектов, в том числе свыше 100 международных, федеральных и региональных розничных торговых сетей ООО "МЕТРО Кэш энд Керри", торговая сеть "Пятерочка" ООО "ИКС5 Ритейл Групп", торговая сеть "Магнит" АО "Тандер", торговая сеть "Европа" ООО "Европа", торговая сеть "Линия" АО "Корпорация ГРИНН" и другие.</w:t>
      </w:r>
    </w:p>
    <w:p>
      <w:pPr>
        <w:pStyle w:val="0"/>
        <w:spacing w:before="200" w:line-rule="auto"/>
        <w:ind w:firstLine="540"/>
        <w:jc w:val="both"/>
      </w:pPr>
      <w:r>
        <w:rPr>
          <w:sz w:val="20"/>
        </w:rPr>
        <w:t xml:space="preserve">Доля оборота торговых сетей составляет в общем товарообороте - 29%, продовольственных сетей - 44,0% от оборота продовольственными товарами.</w:t>
      </w:r>
    </w:p>
    <w:p>
      <w:pPr>
        <w:pStyle w:val="0"/>
        <w:spacing w:before="200" w:line-rule="auto"/>
        <w:ind w:firstLine="540"/>
        <w:jc w:val="both"/>
      </w:pPr>
      <w:r>
        <w:rPr>
          <w:sz w:val="20"/>
        </w:rPr>
        <w:t xml:space="preserve">Показатели обеспеченности населения области торговыми площадями - около 1170 кв. м на одну тысячу человек.</w:t>
      </w:r>
    </w:p>
    <w:p>
      <w:pPr>
        <w:pStyle w:val="0"/>
        <w:spacing w:before="200" w:line-rule="auto"/>
        <w:ind w:firstLine="540"/>
        <w:jc w:val="both"/>
      </w:pPr>
      <w:r>
        <w:rPr>
          <w:sz w:val="20"/>
        </w:rPr>
        <w:t xml:space="preserve">В регионе динамично развиваются все форматы торговли: крупные торговые комплексы, сетевые предприятия, магазины формата "у дома" и узкой специализации, объекты нестационарной и мобильной торговли.</w:t>
      </w:r>
    </w:p>
    <w:p>
      <w:pPr>
        <w:pStyle w:val="0"/>
        <w:spacing w:before="200" w:line-rule="auto"/>
        <w:ind w:firstLine="540"/>
        <w:jc w:val="both"/>
      </w:pPr>
      <w:r>
        <w:rPr>
          <w:sz w:val="20"/>
        </w:rPr>
        <w:t xml:space="preserve">В предприятиях торговли предлагается до 30000 наименований различных товаров, потребность населения в товарах удовлетворяется в полном объеме.</w:t>
      </w:r>
    </w:p>
    <w:p>
      <w:pPr>
        <w:pStyle w:val="0"/>
        <w:jc w:val="both"/>
      </w:pPr>
      <w:r>
        <w:rPr>
          <w:sz w:val="20"/>
        </w:rPr>
      </w:r>
    </w:p>
    <w:p>
      <w:pPr>
        <w:pStyle w:val="0"/>
        <w:outlineLvl w:val="3"/>
        <w:jc w:val="right"/>
      </w:pPr>
      <w:r>
        <w:rPr>
          <w:sz w:val="20"/>
        </w:rPr>
        <w:t xml:space="preserve">Таблица N 3</w:t>
      </w:r>
    </w:p>
    <w:p>
      <w:pPr>
        <w:pStyle w:val="0"/>
        <w:jc w:val="both"/>
      </w:pPr>
      <w:r>
        <w:rPr>
          <w:sz w:val="20"/>
        </w:rPr>
      </w:r>
    </w:p>
    <w:p>
      <w:pPr>
        <w:pStyle w:val="2"/>
        <w:jc w:val="center"/>
      </w:pPr>
      <w:r>
        <w:rPr>
          <w:sz w:val="20"/>
        </w:rPr>
        <w:t xml:space="preserve">Перечень ведущих крупных предприятий торговли</w:t>
      </w:r>
    </w:p>
    <w:p>
      <w:pPr>
        <w:pStyle w:val="2"/>
        <w:jc w:val="center"/>
      </w:pPr>
      <w:r>
        <w:rPr>
          <w:sz w:val="20"/>
        </w:rPr>
        <w:t xml:space="preserve">в Курской области по состоянию на 01.07.2020</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7"/>
        <w:gridCol w:w="3951"/>
        <w:gridCol w:w="2485"/>
        <w:gridCol w:w="1928"/>
      </w:tblGrid>
      <w:tr>
        <w:tc>
          <w:tcPr>
            <w:tcW w:w="697" w:type="dxa"/>
          </w:tcPr>
          <w:p>
            <w:pPr>
              <w:pStyle w:val="0"/>
              <w:jc w:val="both"/>
            </w:pPr>
            <w:r>
              <w:rPr>
                <w:sz w:val="20"/>
              </w:rPr>
              <w:t xml:space="preserve">N п/п</w:t>
            </w:r>
          </w:p>
        </w:tc>
        <w:tc>
          <w:tcPr>
            <w:tcW w:w="3951" w:type="dxa"/>
          </w:tcPr>
          <w:p>
            <w:pPr>
              <w:pStyle w:val="0"/>
              <w:jc w:val="both"/>
            </w:pPr>
            <w:r>
              <w:rPr>
                <w:sz w:val="20"/>
              </w:rPr>
              <w:t xml:space="preserve">Наименование предприятия</w:t>
            </w:r>
          </w:p>
        </w:tc>
        <w:tc>
          <w:tcPr>
            <w:tcW w:w="2485" w:type="dxa"/>
          </w:tcPr>
          <w:p>
            <w:pPr>
              <w:pStyle w:val="0"/>
              <w:jc w:val="both"/>
            </w:pPr>
            <w:r>
              <w:rPr>
                <w:sz w:val="20"/>
              </w:rPr>
              <w:t xml:space="preserve">Количество магазинов в Курской области, шт.</w:t>
            </w:r>
          </w:p>
        </w:tc>
        <w:tc>
          <w:tcPr>
            <w:tcW w:w="1928" w:type="dxa"/>
          </w:tcPr>
          <w:p>
            <w:pPr>
              <w:pStyle w:val="0"/>
              <w:jc w:val="both"/>
            </w:pPr>
            <w:r>
              <w:rPr>
                <w:sz w:val="20"/>
              </w:rPr>
              <w:t xml:space="preserve">Число занятых, чел.</w:t>
            </w:r>
          </w:p>
        </w:tc>
      </w:tr>
      <w:tr>
        <w:tc>
          <w:tcPr>
            <w:tcW w:w="697" w:type="dxa"/>
          </w:tcPr>
          <w:p>
            <w:pPr>
              <w:pStyle w:val="0"/>
              <w:jc w:val="both"/>
            </w:pPr>
            <w:r>
              <w:rPr>
                <w:sz w:val="20"/>
              </w:rPr>
              <w:t xml:space="preserve">1</w:t>
            </w:r>
          </w:p>
        </w:tc>
        <w:tc>
          <w:tcPr>
            <w:tcW w:w="3951" w:type="dxa"/>
          </w:tcPr>
          <w:p>
            <w:pPr>
              <w:pStyle w:val="0"/>
              <w:jc w:val="both"/>
            </w:pPr>
            <w:r>
              <w:rPr>
                <w:sz w:val="20"/>
              </w:rPr>
              <w:t xml:space="preserve">ООО "Европа" (торговая сеть Европа")</w:t>
            </w:r>
          </w:p>
        </w:tc>
        <w:tc>
          <w:tcPr>
            <w:tcW w:w="2485" w:type="dxa"/>
          </w:tcPr>
          <w:p>
            <w:pPr>
              <w:pStyle w:val="0"/>
              <w:jc w:val="center"/>
            </w:pPr>
            <w:r>
              <w:rPr>
                <w:sz w:val="20"/>
              </w:rPr>
              <w:t xml:space="preserve">26</w:t>
            </w:r>
          </w:p>
        </w:tc>
        <w:tc>
          <w:tcPr>
            <w:tcW w:w="1928" w:type="dxa"/>
          </w:tcPr>
          <w:p>
            <w:pPr>
              <w:pStyle w:val="0"/>
              <w:jc w:val="center"/>
            </w:pPr>
            <w:r>
              <w:rPr>
                <w:sz w:val="20"/>
              </w:rPr>
              <w:t xml:space="preserve">2200</w:t>
            </w:r>
          </w:p>
        </w:tc>
      </w:tr>
      <w:tr>
        <w:tc>
          <w:tcPr>
            <w:tcW w:w="697" w:type="dxa"/>
          </w:tcPr>
          <w:p>
            <w:pPr>
              <w:pStyle w:val="0"/>
              <w:jc w:val="both"/>
            </w:pPr>
            <w:r>
              <w:rPr>
                <w:sz w:val="20"/>
              </w:rPr>
              <w:t xml:space="preserve">2</w:t>
            </w:r>
          </w:p>
        </w:tc>
        <w:tc>
          <w:tcPr>
            <w:tcW w:w="3951" w:type="dxa"/>
          </w:tcPr>
          <w:p>
            <w:pPr>
              <w:pStyle w:val="0"/>
              <w:jc w:val="both"/>
            </w:pPr>
            <w:r>
              <w:rPr>
                <w:sz w:val="20"/>
              </w:rPr>
              <w:t xml:space="preserve">АО "Тандер" (торговая сеть "Магнит")</w:t>
            </w:r>
          </w:p>
        </w:tc>
        <w:tc>
          <w:tcPr>
            <w:tcW w:w="2485" w:type="dxa"/>
          </w:tcPr>
          <w:p>
            <w:pPr>
              <w:pStyle w:val="0"/>
              <w:jc w:val="center"/>
            </w:pPr>
            <w:r>
              <w:rPr>
                <w:sz w:val="20"/>
              </w:rPr>
              <w:t xml:space="preserve">198</w:t>
            </w:r>
          </w:p>
        </w:tc>
        <w:tc>
          <w:tcPr>
            <w:tcW w:w="1928" w:type="dxa"/>
          </w:tcPr>
          <w:p>
            <w:pPr>
              <w:pStyle w:val="0"/>
              <w:jc w:val="center"/>
            </w:pPr>
            <w:r>
              <w:rPr>
                <w:sz w:val="20"/>
              </w:rPr>
              <w:t xml:space="preserve">2103</w:t>
            </w:r>
          </w:p>
        </w:tc>
      </w:tr>
      <w:tr>
        <w:tc>
          <w:tcPr>
            <w:tcW w:w="697" w:type="dxa"/>
          </w:tcPr>
          <w:p>
            <w:pPr>
              <w:pStyle w:val="0"/>
              <w:jc w:val="both"/>
            </w:pPr>
            <w:r>
              <w:rPr>
                <w:sz w:val="20"/>
              </w:rPr>
              <w:t xml:space="preserve">3</w:t>
            </w:r>
          </w:p>
        </w:tc>
        <w:tc>
          <w:tcPr>
            <w:tcW w:w="3951" w:type="dxa"/>
          </w:tcPr>
          <w:p>
            <w:pPr>
              <w:pStyle w:val="0"/>
              <w:jc w:val="both"/>
            </w:pPr>
            <w:r>
              <w:rPr>
                <w:sz w:val="20"/>
              </w:rPr>
              <w:t xml:space="preserve">ООО "Агроторг" (торговая сеть "Пятерочка")</w:t>
            </w:r>
          </w:p>
        </w:tc>
        <w:tc>
          <w:tcPr>
            <w:tcW w:w="2485" w:type="dxa"/>
          </w:tcPr>
          <w:p>
            <w:pPr>
              <w:pStyle w:val="0"/>
              <w:jc w:val="center"/>
            </w:pPr>
            <w:r>
              <w:rPr>
                <w:sz w:val="20"/>
              </w:rPr>
              <w:t xml:space="preserve">166</w:t>
            </w:r>
          </w:p>
        </w:tc>
        <w:tc>
          <w:tcPr>
            <w:tcW w:w="1928" w:type="dxa"/>
          </w:tcPr>
          <w:p>
            <w:pPr>
              <w:pStyle w:val="0"/>
              <w:jc w:val="center"/>
            </w:pPr>
            <w:r>
              <w:rPr>
                <w:sz w:val="20"/>
              </w:rPr>
              <w:t xml:space="preserve">1890</w:t>
            </w:r>
          </w:p>
        </w:tc>
      </w:tr>
      <w:tr>
        <w:tc>
          <w:tcPr>
            <w:tcW w:w="697" w:type="dxa"/>
          </w:tcPr>
          <w:p>
            <w:pPr>
              <w:pStyle w:val="0"/>
              <w:jc w:val="both"/>
            </w:pPr>
            <w:r>
              <w:rPr>
                <w:sz w:val="20"/>
              </w:rPr>
              <w:t xml:space="preserve">4</w:t>
            </w:r>
          </w:p>
        </w:tc>
        <w:tc>
          <w:tcPr>
            <w:tcW w:w="3951" w:type="dxa"/>
          </w:tcPr>
          <w:p>
            <w:pPr>
              <w:pStyle w:val="0"/>
              <w:jc w:val="both"/>
            </w:pPr>
            <w:r>
              <w:rPr>
                <w:sz w:val="20"/>
              </w:rPr>
              <w:t xml:space="preserve">АО "ТД "Перекресток" (торговая сеть "Перекресток")</w:t>
            </w:r>
          </w:p>
        </w:tc>
        <w:tc>
          <w:tcPr>
            <w:tcW w:w="2485" w:type="dxa"/>
          </w:tcPr>
          <w:p>
            <w:pPr>
              <w:pStyle w:val="0"/>
              <w:jc w:val="center"/>
            </w:pPr>
            <w:r>
              <w:rPr>
                <w:sz w:val="20"/>
              </w:rPr>
              <w:t xml:space="preserve">2</w:t>
            </w:r>
          </w:p>
        </w:tc>
        <w:tc>
          <w:tcPr>
            <w:tcW w:w="1928" w:type="dxa"/>
          </w:tcPr>
          <w:p>
            <w:pPr>
              <w:pStyle w:val="0"/>
              <w:jc w:val="center"/>
            </w:pPr>
            <w:r>
              <w:rPr>
                <w:sz w:val="20"/>
              </w:rPr>
              <w:t xml:space="preserve">60</w:t>
            </w:r>
          </w:p>
        </w:tc>
      </w:tr>
      <w:tr>
        <w:tc>
          <w:tcPr>
            <w:tcW w:w="697" w:type="dxa"/>
          </w:tcPr>
          <w:p>
            <w:pPr>
              <w:pStyle w:val="0"/>
              <w:jc w:val="both"/>
            </w:pPr>
            <w:r>
              <w:rPr>
                <w:sz w:val="20"/>
              </w:rPr>
              <w:t xml:space="preserve">5</w:t>
            </w:r>
          </w:p>
        </w:tc>
        <w:tc>
          <w:tcPr>
            <w:tcW w:w="3951" w:type="dxa"/>
          </w:tcPr>
          <w:p>
            <w:pPr>
              <w:pStyle w:val="0"/>
              <w:jc w:val="both"/>
            </w:pPr>
            <w:r>
              <w:rPr>
                <w:sz w:val="20"/>
              </w:rPr>
              <w:t xml:space="preserve">АО "Корпорация "ГРИНН" (торговая сеть "Линия")</w:t>
            </w:r>
          </w:p>
        </w:tc>
        <w:tc>
          <w:tcPr>
            <w:tcW w:w="2485" w:type="dxa"/>
          </w:tcPr>
          <w:p>
            <w:pPr>
              <w:pStyle w:val="0"/>
              <w:jc w:val="center"/>
            </w:pPr>
            <w:r>
              <w:rPr>
                <w:sz w:val="20"/>
              </w:rPr>
              <w:t xml:space="preserve">6</w:t>
            </w:r>
          </w:p>
        </w:tc>
        <w:tc>
          <w:tcPr>
            <w:tcW w:w="1928" w:type="dxa"/>
          </w:tcPr>
          <w:p>
            <w:pPr>
              <w:pStyle w:val="0"/>
              <w:jc w:val="center"/>
            </w:pPr>
            <w:r>
              <w:rPr>
                <w:sz w:val="20"/>
              </w:rPr>
              <w:t xml:space="preserve">2251</w:t>
            </w:r>
          </w:p>
        </w:tc>
      </w:tr>
      <w:tr>
        <w:tc>
          <w:tcPr>
            <w:tcW w:w="697" w:type="dxa"/>
          </w:tcPr>
          <w:p>
            <w:pPr>
              <w:pStyle w:val="0"/>
              <w:jc w:val="both"/>
            </w:pPr>
            <w:r>
              <w:rPr>
                <w:sz w:val="20"/>
              </w:rPr>
              <w:t xml:space="preserve">6</w:t>
            </w:r>
          </w:p>
        </w:tc>
        <w:tc>
          <w:tcPr>
            <w:tcW w:w="3951" w:type="dxa"/>
          </w:tcPr>
          <w:p>
            <w:pPr>
              <w:pStyle w:val="0"/>
              <w:jc w:val="both"/>
            </w:pPr>
            <w:r>
              <w:rPr>
                <w:sz w:val="20"/>
              </w:rPr>
              <w:t xml:space="preserve">ООО "Альфа Рязань", ООО "Альфа Владимир", ООО "Бета-М"</w:t>
            </w:r>
          </w:p>
          <w:p>
            <w:pPr>
              <w:pStyle w:val="0"/>
              <w:jc w:val="both"/>
            </w:pPr>
            <w:r>
              <w:rPr>
                <w:sz w:val="20"/>
              </w:rPr>
              <w:t xml:space="preserve">(торговая сеть "Красное и белое")</w:t>
            </w:r>
          </w:p>
        </w:tc>
        <w:tc>
          <w:tcPr>
            <w:tcW w:w="2485" w:type="dxa"/>
          </w:tcPr>
          <w:p>
            <w:pPr>
              <w:pStyle w:val="0"/>
              <w:jc w:val="center"/>
            </w:pPr>
            <w:r>
              <w:rPr>
                <w:sz w:val="20"/>
              </w:rPr>
              <w:t xml:space="preserve">146</w:t>
            </w:r>
          </w:p>
        </w:tc>
        <w:tc>
          <w:tcPr>
            <w:tcW w:w="1928" w:type="dxa"/>
          </w:tcPr>
          <w:p>
            <w:pPr>
              <w:pStyle w:val="0"/>
              <w:jc w:val="center"/>
            </w:pPr>
            <w:r>
              <w:rPr>
                <w:sz w:val="20"/>
              </w:rPr>
              <w:t xml:space="preserve">1012</w:t>
            </w:r>
          </w:p>
        </w:tc>
      </w:tr>
    </w:tbl>
    <w:p>
      <w:pPr>
        <w:pStyle w:val="0"/>
        <w:jc w:val="both"/>
      </w:pPr>
      <w:r>
        <w:rPr>
          <w:sz w:val="20"/>
        </w:rPr>
      </w:r>
    </w:p>
    <w:p>
      <w:pPr>
        <w:pStyle w:val="0"/>
        <w:ind w:firstLine="540"/>
        <w:jc w:val="both"/>
      </w:pPr>
      <w:r>
        <w:rPr>
          <w:sz w:val="20"/>
        </w:rPr>
        <w:t xml:space="preserve">В течение ряда лет индексы физического объема оборота розничной торговли опережали среднероссийские значения.</w:t>
      </w:r>
    </w:p>
    <w:p>
      <w:pPr>
        <w:pStyle w:val="0"/>
        <w:spacing w:before="200" w:line-rule="auto"/>
        <w:ind w:firstLine="540"/>
        <w:jc w:val="both"/>
      </w:pPr>
      <w:r>
        <w:rPr>
          <w:sz w:val="20"/>
        </w:rPr>
        <w:t xml:space="preserve">В 2019 году оборот розничной торговли составил 228,7 млрд. рублей с темпом роста 101,8%.</w:t>
      </w:r>
    </w:p>
    <w:p>
      <w:pPr>
        <w:pStyle w:val="0"/>
        <w:spacing w:before="200" w:line-rule="auto"/>
        <w:ind w:firstLine="540"/>
        <w:jc w:val="both"/>
      </w:pPr>
      <w:r>
        <w:rPr>
          <w:sz w:val="20"/>
        </w:rPr>
        <w:t xml:space="preserve">В структуре оборота розничной торговли крупные организации занимают 41,6%; субъекты среднего предпринимательства - 0,3%; малые предприятия - 19,8%; индивидуальные предприниматели - 29,8% продажа товаров на розничных рынках - 8,5%.</w:t>
      </w:r>
    </w:p>
    <w:p>
      <w:pPr>
        <w:pStyle w:val="0"/>
        <w:spacing w:before="200" w:line-rule="auto"/>
        <w:ind w:firstLine="540"/>
        <w:jc w:val="both"/>
      </w:pPr>
      <w:r>
        <w:rPr>
          <w:sz w:val="20"/>
        </w:rPr>
        <w:t xml:space="preserve">В 2019 году в структуре оборота розничной торговли доля непродовольственных товаров составила 51,6% (в 2018 году - 52,4%).</w:t>
      </w:r>
    </w:p>
    <w:p>
      <w:pPr>
        <w:pStyle w:val="0"/>
        <w:spacing w:before="200" w:line-rule="auto"/>
        <w:ind w:firstLine="540"/>
        <w:jc w:val="both"/>
      </w:pPr>
      <w:r>
        <w:rPr>
          <w:sz w:val="20"/>
        </w:rPr>
        <w:t xml:space="preserve">В целях развития ярмарочной торговли на территории Курской области организовано 60 постоянно действующих ярмарочных площадок, ежегодно проводится свыше 350 различных ярмарок, в том числе 30 межрегиональных ярмарок.</w:t>
      </w:r>
    </w:p>
    <w:p>
      <w:pPr>
        <w:pStyle w:val="0"/>
        <w:spacing w:before="200" w:line-rule="auto"/>
        <w:ind w:firstLine="540"/>
        <w:jc w:val="both"/>
      </w:pPr>
      <w:r>
        <w:rPr>
          <w:sz w:val="20"/>
        </w:rPr>
        <w:t xml:space="preserve">Среди факторов, влияющих на эффективное функционирование потребительского рынка, выделяются следующие:</w:t>
      </w:r>
    </w:p>
    <w:p>
      <w:pPr>
        <w:pStyle w:val="0"/>
        <w:spacing w:before="200" w:line-rule="auto"/>
        <w:ind w:firstLine="540"/>
        <w:jc w:val="both"/>
      </w:pPr>
      <w:r>
        <w:rPr>
          <w:sz w:val="20"/>
        </w:rPr>
        <w:t xml:space="preserve">при достаточно высокой обеспеченности населения площадью торговых объектов имеет место неравномерность размещения торговых объектов в муниципальных образованиях. Сохраняется значительная дифференциация по уровню развития торговли и обеспечению торговыми площадями сельского и городского населения. Отдаленные и труднодоступные территории зачастую характеризуются дефицитом торговых площадей;</w:t>
      </w:r>
    </w:p>
    <w:p>
      <w:pPr>
        <w:pStyle w:val="0"/>
        <w:spacing w:before="200" w:line-rule="auto"/>
        <w:ind w:firstLine="540"/>
        <w:jc w:val="both"/>
      </w:pPr>
      <w:r>
        <w:rPr>
          <w:sz w:val="20"/>
        </w:rPr>
        <w:t xml:space="preserve">недостаточный уровень современной инфраструктуры розничной торговли в муниципальных районах Курской области;</w:t>
      </w:r>
    </w:p>
    <w:p>
      <w:pPr>
        <w:pStyle w:val="0"/>
        <w:spacing w:before="200" w:line-rule="auto"/>
        <w:ind w:firstLine="540"/>
        <w:jc w:val="both"/>
      </w:pPr>
      <w:r>
        <w:rPr>
          <w:sz w:val="20"/>
        </w:rPr>
        <w:t xml:space="preserve">укрупнение предприятий торговли: более активное развитие торговых сетей, крупных многофункциональных торговых центров при замедлении развития мелкорозничных и других торговых объектов;</w:t>
      </w:r>
    </w:p>
    <w:p>
      <w:pPr>
        <w:pStyle w:val="0"/>
        <w:spacing w:before="200" w:line-rule="auto"/>
        <w:ind w:firstLine="540"/>
        <w:jc w:val="both"/>
      </w:pPr>
      <w:r>
        <w:rPr>
          <w:sz w:val="20"/>
        </w:rPr>
        <w:t xml:space="preserve">в условиях импортозамещения актуально развитие фирменной торговли курских предприятий-производителей и обеспечение увеличения доли присутствия товаров местного производства на полках сетевых магазинов розничной торговли, особенно в федеральных торговых сетях;</w:t>
      </w:r>
    </w:p>
    <w:p>
      <w:pPr>
        <w:pStyle w:val="0"/>
        <w:spacing w:before="200" w:line-rule="auto"/>
        <w:ind w:firstLine="540"/>
        <w:jc w:val="both"/>
      </w:pPr>
      <w:r>
        <w:rPr>
          <w:sz w:val="20"/>
        </w:rPr>
        <w:t xml:space="preserve">требуют решения проблемы повышения качества и безопасности продовольствия, борьбы с контрафактной и фальсифицированной продукцией, в том числе и алкогольной, попадающей на потребительский рынок Курской области;</w:t>
      </w:r>
    </w:p>
    <w:p>
      <w:pPr>
        <w:pStyle w:val="0"/>
        <w:spacing w:before="200" w:line-rule="auto"/>
        <w:ind w:firstLine="540"/>
        <w:jc w:val="both"/>
      </w:pPr>
      <w:r>
        <w:rPr>
          <w:sz w:val="20"/>
        </w:rPr>
        <w:t xml:space="preserve">остается актуальным процесс совершенствования товаропроводящей сети и развития логистики товародвижения.</w:t>
      </w:r>
    </w:p>
    <w:p>
      <w:pPr>
        <w:pStyle w:val="0"/>
        <w:spacing w:before="200" w:line-rule="auto"/>
        <w:ind w:firstLine="540"/>
        <w:jc w:val="both"/>
      </w:pPr>
      <w:r>
        <w:rPr>
          <w:sz w:val="20"/>
        </w:rPr>
        <w:t xml:space="preserve">Предпринимательство. На конец 2018 года в Курской области насчитывалось 11,9 тыс. малых предприятий, включая микропредприятия. Наибольшее количество малых предприятий приходится на торговлю - 35,3%, строительство - 12,6%, обрабатывающие производства - 9,5%, операции с недвижимостью - 7,5%. Число малых предприятий по отношению к численности населения Курской области в 2018 году составило 10,7 предприятий на 1000 жителей.</w:t>
      </w:r>
    </w:p>
    <w:p>
      <w:pPr>
        <w:pStyle w:val="0"/>
        <w:spacing w:before="200" w:line-rule="auto"/>
        <w:ind w:firstLine="540"/>
        <w:jc w:val="both"/>
      </w:pPr>
      <w:r>
        <w:rPr>
          <w:sz w:val="20"/>
        </w:rPr>
        <w:t xml:space="preserve">В области был создан региональный центр инжиниринга, в котором субъекты малого и среднего предпринимательства получают различные виды услуг.</w:t>
      </w:r>
    </w:p>
    <w:p>
      <w:pPr>
        <w:pStyle w:val="0"/>
        <w:spacing w:before="200" w:line-rule="auto"/>
        <w:ind w:firstLine="540"/>
        <w:jc w:val="both"/>
      </w:pPr>
      <w:r>
        <w:rPr>
          <w:sz w:val="20"/>
        </w:rPr>
        <w:t xml:space="preserve">Распределение числа юридических лиц внутри Курской области отличает высокий уровень территориальной концентрации: наибольшее число юридических лиц сосредоточено в г. Курске (13,7 тыс. ед., 66% от общего числа юридических лиц), г. Железногорске (1,2 тыс. ед., 6% от общего числа юридических лиц) и Курском районе (640 ед., 3% от общего числа юридических лиц). На все остальные муниципальные образования приходится всего 25% зарегистрированных компаний.</w:t>
      </w:r>
    </w:p>
    <w:p>
      <w:pPr>
        <w:pStyle w:val="0"/>
        <w:spacing w:before="200" w:line-rule="auto"/>
        <w:ind w:firstLine="540"/>
        <w:jc w:val="both"/>
      </w:pPr>
      <w:r>
        <w:rPr>
          <w:sz w:val="20"/>
        </w:rPr>
        <w:t xml:space="preserve">В Курске в 2020 году открыт Центр "Мой бизнес". На площади около полутора тысяч квадратных метров создана широкая сеть организаций, образующих инфраструктуру поддержки бизнеса: Центр поддержки предпринимательства, Центр поддержки экспортно-ориентированных субъектов малого и среднего предпринимательства, микрофинансовая организация и гарантийный фонд, региональный центр инжиниринга, а также центр оказания услуг МФЦ для бизнеса. "Мой бизнес" предоставляет около 200 услуг - как начинающим, так и опытным предпринимателям.</w:t>
      </w:r>
    </w:p>
    <w:p>
      <w:pPr>
        <w:pStyle w:val="0"/>
        <w:spacing w:before="200" w:line-rule="auto"/>
        <w:ind w:firstLine="540"/>
        <w:jc w:val="both"/>
      </w:pPr>
      <w:r>
        <w:rPr>
          <w:sz w:val="20"/>
        </w:rPr>
        <w:t xml:space="preserve">Внешнеторговый оборот. По данным Центрального таможенного управления внешнеторговый оборот Курской области по итогам 2019 года составил 1392,9 млн. долл. США и по сравнению с уровнем соответствующего периода 2018 года возрос на 15,7%. Экспортные поставки Курской области в общем объеме внешнеторгового оборота занимают 56,9% или 792,5 млн. долл. США (116,1% к уровню 2018 года); импортные поставки - 43,1% или 600,5 млн. долл. США (115,3% к уровню соответствующего периода 2018 года).</w:t>
      </w:r>
    </w:p>
    <w:p>
      <w:pPr>
        <w:pStyle w:val="0"/>
        <w:spacing w:before="200" w:line-rule="auto"/>
        <w:ind w:firstLine="540"/>
        <w:jc w:val="both"/>
      </w:pPr>
      <w:r>
        <w:rPr>
          <w:sz w:val="20"/>
        </w:rPr>
        <w:t xml:space="preserve">Сальдо внешнеторгового оборота области за январь - сентябрь 2019 года сложилось положительное и составило 191,9 млн. долл. США.</w:t>
      </w:r>
    </w:p>
    <w:p>
      <w:pPr>
        <w:pStyle w:val="0"/>
        <w:spacing w:before="200" w:line-rule="auto"/>
        <w:ind w:firstLine="540"/>
        <w:jc w:val="both"/>
      </w:pPr>
      <w:r>
        <w:rPr>
          <w:sz w:val="20"/>
        </w:rPr>
        <w:t xml:space="preserve">Хозяйствующие субъекты Курской области осуществляли внешнеторговую деятельность с партнерами из 97 стран ближнего и дальнего зарубежья.</w:t>
      </w:r>
    </w:p>
    <w:p>
      <w:pPr>
        <w:pStyle w:val="0"/>
        <w:spacing w:before="200" w:line-rule="auto"/>
        <w:ind w:firstLine="540"/>
        <w:jc w:val="both"/>
      </w:pPr>
      <w:r>
        <w:rPr>
          <w:sz w:val="20"/>
        </w:rPr>
        <w:t xml:space="preserve">Основными торговыми партнерами Курской области по итогам 2019 года были:</w:t>
      </w:r>
    </w:p>
    <w:p>
      <w:pPr>
        <w:pStyle w:val="0"/>
        <w:spacing w:before="200" w:line-rule="auto"/>
        <w:ind w:firstLine="540"/>
        <w:jc w:val="both"/>
      </w:pPr>
      <w:r>
        <w:rPr>
          <w:sz w:val="20"/>
        </w:rPr>
        <w:t xml:space="preserve">из стран СНГ: Украина - 13,0% от общего объема внешнеторгового оборота Курской области, Беларусь - 8,0%, Казахстан - 4,0%;</w:t>
      </w:r>
    </w:p>
    <w:p>
      <w:pPr>
        <w:pStyle w:val="0"/>
        <w:spacing w:before="200" w:line-rule="auto"/>
        <w:ind w:firstLine="540"/>
        <w:jc w:val="both"/>
      </w:pPr>
      <w:r>
        <w:rPr>
          <w:sz w:val="20"/>
        </w:rPr>
        <w:t xml:space="preserve">из стран дальнего зарубежья: Швейцария - 14,0% общего объема внешнеторгового оборота Курской области, Китай - 13,1%, Вьетнам - 4,7%, Словакия - 4,2%, Турция - 3,9%, Франция - 3,3%, Германия - 3,2%.</w:t>
      </w:r>
    </w:p>
    <w:p>
      <w:pPr>
        <w:pStyle w:val="0"/>
        <w:spacing w:before="200" w:line-rule="auto"/>
        <w:ind w:firstLine="540"/>
        <w:jc w:val="both"/>
      </w:pPr>
      <w:r>
        <w:rPr>
          <w:sz w:val="20"/>
        </w:rPr>
        <w:t xml:space="preserve">Номенклатуру экспортных поставок Курской области составляют: руды и концентраты железные (51,8% от общего объема экспорта), продовольственные товары и сырье (23,4%), продукция химической промышленности, каучук (9,6%), текстиль, текстильные изделия и обувь (4,5%), машиностроительная продукция (4,5%), металлы и изделия из них (3,9%), прочие товары (2,3%).</w:t>
      </w:r>
    </w:p>
    <w:p>
      <w:pPr>
        <w:pStyle w:val="0"/>
        <w:spacing w:before="200" w:line-rule="auto"/>
        <w:ind w:firstLine="540"/>
        <w:jc w:val="both"/>
      </w:pPr>
      <w:r>
        <w:rPr>
          <w:sz w:val="20"/>
        </w:rPr>
        <w:t xml:space="preserve">Ведущими экспортерами являются: ПАО "Михайловский ГОК им. А.В. Варичева", АО "КОНТИ-РУС", ОАО "Курскрезинотехника", ООО "Курскхимволокно", ОАО "Фармстандарт-Лексредства", АО "Курский электроаппаратный завод", АО "Рудоавтоматика им. Сафошина", АО "Курскмедстекло", филиал АО "УК ГП "ГОТЭК", АО "Кореневский завод низковольтной аппаратуры", ООО "ИСТОК+" и ООО "Курский аккумуляторный завод".</w:t>
      </w:r>
    </w:p>
    <w:p>
      <w:pPr>
        <w:pStyle w:val="0"/>
        <w:spacing w:before="200" w:line-rule="auto"/>
        <w:ind w:firstLine="540"/>
        <w:jc w:val="both"/>
      </w:pPr>
      <w:r>
        <w:rPr>
          <w:sz w:val="20"/>
        </w:rPr>
        <w:t xml:space="preserve">Импортные поставки составляют: продукция химической промышленности, каучук (48,8% от общего объема импорта), машиностроительная продукция (23,2%), продовольственные товары и сырье (8,5%), металлы и изделия из них (7,5%), текстиль и текстильные изделия и обувь (5,1%), древесина и целлюлозно-бумажные изделия (4,6%), прочие товары (2,3%). Лидерами по объему поставок в Курскую область из стран СНГ являлись Украина, Беларусь, Казахстан; из стран дальнего зарубежья - Швейцария, Италия, Китай, Германия, Нидерланды, Польша, Ирландия.</w:t>
      </w:r>
    </w:p>
    <w:p>
      <w:pPr>
        <w:pStyle w:val="0"/>
        <w:ind w:firstLine="540"/>
        <w:jc w:val="both"/>
      </w:pPr>
      <w:r>
        <w:rPr>
          <w:sz w:val="20"/>
        </w:rPr>
      </w:r>
    </w:p>
    <w:p>
      <w:pPr>
        <w:pStyle w:val="2"/>
        <w:outlineLvl w:val="2"/>
        <w:ind w:firstLine="540"/>
        <w:jc w:val="both"/>
      </w:pPr>
      <w:r>
        <w:rPr>
          <w:sz w:val="20"/>
        </w:rPr>
        <w:t xml:space="preserve">2.5. Бюджетно-налоговая политика, региональные финансы</w:t>
      </w:r>
    </w:p>
    <w:p>
      <w:pPr>
        <w:pStyle w:val="0"/>
        <w:ind w:firstLine="540"/>
        <w:jc w:val="both"/>
      </w:pPr>
      <w:r>
        <w:rPr>
          <w:sz w:val="20"/>
        </w:rPr>
      </w:r>
    </w:p>
    <w:p>
      <w:pPr>
        <w:pStyle w:val="0"/>
        <w:ind w:firstLine="540"/>
        <w:jc w:val="both"/>
      </w:pPr>
      <w:r>
        <w:rPr>
          <w:sz w:val="20"/>
        </w:rPr>
        <w:t xml:space="preserve">Объем доходов консолидированного бюджета Курской области в 2018 году составил более 66,1 млрд. рублей. Ключевыми статьями доходов бюджета Курской области являются налоговые и неналоговые доходы, которые в 2018 году составили более 76,6% доходов консолидированного бюджета области (50,6 млрд. рублей).</w:t>
      </w:r>
    </w:p>
    <w:p>
      <w:pPr>
        <w:pStyle w:val="0"/>
        <w:spacing w:before="200" w:line-rule="auto"/>
        <w:ind w:firstLine="540"/>
        <w:jc w:val="both"/>
      </w:pPr>
      <w:r>
        <w:rPr>
          <w:sz w:val="20"/>
        </w:rPr>
        <w:t xml:space="preserve">Наибольший вклад в налоговые поступления бюджета Курской области внесли налоги на прибыль, доходы (в 2018 году - около 33,2 млрд. рублей, 65,5%). Вклад других налогов составил соответственно: группа налогов на имущество (7,7 млрд. рублей, 15,1%), налоги на товары, реализуемые на территории Российской Федерации (4,0 млрд. рублей, 8,0%).</w:t>
      </w:r>
    </w:p>
    <w:p>
      <w:pPr>
        <w:pStyle w:val="0"/>
        <w:spacing w:before="200" w:line-rule="auto"/>
        <w:ind w:firstLine="540"/>
        <w:jc w:val="both"/>
      </w:pPr>
      <w:r>
        <w:rPr>
          <w:sz w:val="20"/>
        </w:rPr>
        <w:t xml:space="preserve">Среди неналоговых доходов бюджета Курской области можно выделить:</w:t>
      </w:r>
    </w:p>
    <w:p>
      <w:pPr>
        <w:pStyle w:val="0"/>
        <w:spacing w:before="200" w:line-rule="auto"/>
        <w:ind w:firstLine="540"/>
        <w:jc w:val="both"/>
      </w:pPr>
      <w:r>
        <w:rPr>
          <w:sz w:val="20"/>
        </w:rPr>
        <w:t xml:space="preserve">доходы, получаемые в виде арендной либо иной платы (0,9 млрд. рублей, 1,9%);</w:t>
      </w:r>
    </w:p>
    <w:p>
      <w:pPr>
        <w:pStyle w:val="0"/>
        <w:spacing w:before="200" w:line-rule="auto"/>
        <w:ind w:firstLine="540"/>
        <w:jc w:val="both"/>
      </w:pPr>
      <w:r>
        <w:rPr>
          <w:sz w:val="20"/>
        </w:rPr>
        <w:t xml:space="preserve">штрафы, санкции, возмещение ущерба (631,9 млн. рублей, 1,2%);</w:t>
      </w:r>
    </w:p>
    <w:p>
      <w:pPr>
        <w:pStyle w:val="0"/>
        <w:spacing w:before="200" w:line-rule="auto"/>
        <w:ind w:firstLine="540"/>
        <w:jc w:val="both"/>
      </w:pPr>
      <w:r>
        <w:rPr>
          <w:sz w:val="20"/>
        </w:rPr>
        <w:t xml:space="preserve">доходы от продажи земельных участков (308,1 млн. рублей, 0,6%);</w:t>
      </w:r>
    </w:p>
    <w:p>
      <w:pPr>
        <w:pStyle w:val="0"/>
        <w:spacing w:before="200" w:line-rule="auto"/>
        <w:ind w:firstLine="540"/>
        <w:jc w:val="both"/>
      </w:pPr>
      <w:r>
        <w:rPr>
          <w:sz w:val="20"/>
        </w:rPr>
        <w:t xml:space="preserve">прочие доходы от оказания платных услуг и компенсации затрат государства (450,2 млн. рублей, 0,9%);</w:t>
      </w:r>
    </w:p>
    <w:p>
      <w:pPr>
        <w:pStyle w:val="0"/>
        <w:spacing w:before="200" w:line-rule="auto"/>
        <w:ind w:firstLine="540"/>
        <w:jc w:val="both"/>
      </w:pPr>
      <w:r>
        <w:rPr>
          <w:sz w:val="20"/>
        </w:rPr>
        <w:t xml:space="preserve">прочее (303,9 млн. рублей, 0,6%).</w:t>
      </w:r>
    </w:p>
    <w:p>
      <w:pPr>
        <w:pStyle w:val="0"/>
        <w:spacing w:before="200" w:line-rule="auto"/>
        <w:ind w:firstLine="540"/>
        <w:jc w:val="both"/>
      </w:pPr>
      <w:r>
        <w:rPr>
          <w:sz w:val="20"/>
        </w:rPr>
        <w:t xml:space="preserve">При этом безвозмездные поступления бюджета Курской области, которые практически полностью формируются за счет безвозмездных поступлений из федерального бюджета Российской Федерации, в 2018 году составили около 23,4% от его объема или 15,5 млрд. рублей. В расчете на душу населения общие доходы консолидированного бюджета Курской области составили в 2018 году 59,6 тыс. рублей. По данному показателю Курская область входит в 5-й десяток субъектов Российской Федерации, что говорит в целом о низкой бюджетной обеспеченности региона.</w:t>
      </w:r>
    </w:p>
    <w:p>
      <w:pPr>
        <w:pStyle w:val="0"/>
        <w:jc w:val="both"/>
      </w:pPr>
      <w:r>
        <w:rPr>
          <w:sz w:val="20"/>
        </w:rPr>
      </w:r>
    </w:p>
    <w:p>
      <w:pPr>
        <w:pStyle w:val="0"/>
        <w:jc w:val="center"/>
      </w:pPr>
      <w:r>
        <w:rPr>
          <w:position w:val="-386"/>
        </w:rPr>
        <w:drawing>
          <wp:inline distT="0" distB="0" distL="0" distR="0">
            <wp:extent cx="3676015" cy="5041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3676015" cy="504126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10. Общие доходы консолидированных бюджетов</w:t>
      </w:r>
    </w:p>
    <w:p>
      <w:pPr>
        <w:pStyle w:val="2"/>
        <w:jc w:val="center"/>
      </w:pPr>
      <w:r>
        <w:rPr>
          <w:sz w:val="20"/>
        </w:rPr>
        <w:t xml:space="preserve">субъектов Российской Федерации в расчете на душу населения</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ind w:firstLine="540"/>
        <w:jc w:val="both"/>
      </w:pPr>
      <w:r>
        <w:rPr>
          <w:sz w:val="20"/>
        </w:rPr>
        <w:t xml:space="preserve">При этом объем дотаций на выравнивание бюджетной обеспеченности субъектов Российской Федерации и муниципальных образований в бюджете Курской области является невысоким. В 2018 году на эти цели было выделено 3,8 млрд. рублей - около 0,58% от общих дотаций федерального бюджета на выравнивание бюджетной обеспеченности субъектам Российской Федерации.</w:t>
      </w:r>
    </w:p>
    <w:p>
      <w:pPr>
        <w:pStyle w:val="0"/>
        <w:spacing w:before="200" w:line-rule="auto"/>
        <w:ind w:firstLine="540"/>
        <w:jc w:val="both"/>
      </w:pPr>
      <w:r>
        <w:rPr>
          <w:sz w:val="20"/>
        </w:rPr>
        <w:t xml:space="preserve">Расходы бюджета Курской области в 2018 году составили 64,8 млрд. рублей. Профицит бюджета - около 1,3 млрд. рублей (1,96% от общих доходов консолидированного бюджета области).</w:t>
      </w:r>
    </w:p>
    <w:p>
      <w:pPr>
        <w:pStyle w:val="0"/>
        <w:spacing w:before="200" w:line-rule="auto"/>
        <w:ind w:firstLine="540"/>
        <w:jc w:val="both"/>
      </w:pPr>
      <w:r>
        <w:rPr>
          <w:sz w:val="20"/>
        </w:rPr>
        <w:t xml:space="preserve">Сохраняется социальная направленность бюджета. В 2018 году расходы на финансирование социально-культурной сферы составили свыше 43 млрд. рублей, что составляет около 67% от общих расходов консолидированного бюджета.</w:t>
      </w:r>
    </w:p>
    <w:p>
      <w:pPr>
        <w:pStyle w:val="0"/>
        <w:spacing w:before="200" w:line-rule="auto"/>
        <w:ind w:firstLine="540"/>
        <w:jc w:val="both"/>
      </w:pPr>
      <w:r>
        <w:rPr>
          <w:sz w:val="20"/>
        </w:rPr>
        <w:t xml:space="preserve">Основными статьями затрат консолидированного бюджета являются: образование (20,2 млрд. рублей), социальная политика (15,1 млрд. рублей) и национальная экономика (13,5 млрд. рублей). Данные три статьи затрат составляют более 75,2% всех расходов бюджета области.</w:t>
      </w:r>
    </w:p>
    <w:p>
      <w:pPr>
        <w:pStyle w:val="0"/>
        <w:jc w:val="both"/>
      </w:pPr>
      <w:r>
        <w:rPr>
          <w:sz w:val="20"/>
        </w:rPr>
      </w:r>
    </w:p>
    <w:p>
      <w:pPr>
        <w:pStyle w:val="0"/>
        <w:jc w:val="center"/>
      </w:pPr>
      <w:r>
        <w:rPr>
          <w:position w:val="-176"/>
        </w:rPr>
        <w:drawing>
          <wp:inline distT="0" distB="0" distL="0" distR="0">
            <wp:extent cx="5041265" cy="2371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041265" cy="237109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11. Структура расходов консолидированного бюджета</w:t>
      </w:r>
    </w:p>
    <w:p>
      <w:pPr>
        <w:pStyle w:val="2"/>
        <w:jc w:val="center"/>
      </w:pPr>
      <w:r>
        <w:rPr>
          <w:sz w:val="20"/>
        </w:rPr>
        <w:t xml:space="preserve">Курской области в 2018 году</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ind w:firstLine="540"/>
        <w:jc w:val="both"/>
      </w:pPr>
      <w:r>
        <w:rPr>
          <w:sz w:val="20"/>
        </w:rPr>
        <w:t xml:space="preserve">Бюджет Курской области является программным. В 2018 году реализовывалось 27 государственных программ. Общий объем затраченных средств на их реализацию из областного бюджета - 54 млрд. рублей, что составляет 98,5% общих расходов областного бюджета.</w:t>
      </w:r>
    </w:p>
    <w:p>
      <w:pPr>
        <w:pStyle w:val="0"/>
        <w:spacing w:before="200" w:line-rule="auto"/>
        <w:ind w:firstLine="540"/>
        <w:jc w:val="both"/>
      </w:pPr>
      <w:r>
        <w:rPr>
          <w:sz w:val="20"/>
        </w:rPr>
        <w:t xml:space="preserve">Согласно данным мониторинга по объему госдолга субъектов ЦФО, публикуемым на сайте Минфина России, по состоянию на 1 января 2019 года Курская область занимала 2-е место по ЦФО по наименьшему объему государственного долга - 9,26 млрд. рублей (20-е место в Российской Федерации).</w:t>
      </w:r>
    </w:p>
    <w:p>
      <w:pPr>
        <w:pStyle w:val="0"/>
        <w:spacing w:before="200" w:line-rule="auto"/>
        <w:ind w:firstLine="540"/>
        <w:jc w:val="both"/>
      </w:pPr>
      <w:r>
        <w:rPr>
          <w:sz w:val="20"/>
        </w:rPr>
        <w:t xml:space="preserve">Уровень государственного долга Курской области оценивается как низкий - по состоянию на 1 января 2019 года составил 22,5% от общего объема доходов бюджета без учета утвержденного объема безвозмездных поступлений.</w:t>
      </w:r>
    </w:p>
    <w:p>
      <w:pPr>
        <w:pStyle w:val="0"/>
        <w:spacing w:before="200" w:line-rule="auto"/>
        <w:ind w:firstLine="540"/>
        <w:jc w:val="both"/>
      </w:pPr>
      <w:r>
        <w:rPr>
          <w:sz w:val="20"/>
        </w:rPr>
        <w:t xml:space="preserve">Структура государственного долга Курской области представлена тремя видами заимствований - бюджетные кредиты (56,8% или 5,26 млрд. рублей), кредиты кредитных организаций (29,2% или 2,7 млрд. рублей) и ценные бумаги (14% или 1,3 млрд. рублей).</w:t>
      </w:r>
    </w:p>
    <w:p>
      <w:pPr>
        <w:pStyle w:val="0"/>
        <w:spacing w:before="200" w:line-rule="auto"/>
        <w:ind w:firstLine="540"/>
        <w:jc w:val="both"/>
      </w:pPr>
      <w:r>
        <w:rPr>
          <w:sz w:val="20"/>
        </w:rPr>
        <w:t xml:space="preserve">Бюджетная обеспеченность муниципальных образований Курской области достаточно сильно различается. Если рассматривать объем расходов бюджетов муниципальных образований в 2018 году, то лидерами являются городской округ Курск (9,8 млрд. рублей), городской округ Железногорск (2,6 млрд. рублей), Курский район (869,5 млн. рублей). Наименее обеспеченные - Тимский район (297,0 млн. рублей), Черемисиновский район (290,6 млн. рублей), Конышевский район (272,0 млн. рублей).</w:t>
      </w:r>
    </w:p>
    <w:p>
      <w:pPr>
        <w:pStyle w:val="0"/>
        <w:spacing w:before="200" w:line-rule="auto"/>
        <w:ind w:firstLine="540"/>
        <w:jc w:val="both"/>
      </w:pPr>
      <w:r>
        <w:rPr>
          <w:sz w:val="20"/>
        </w:rPr>
        <w:t xml:space="preserve">С точки зрения расходов бюджетов, рассчитанных на душу населения, наиболее обеспеченными в 2018 году являются Щигровский район (35,6 тыс. рублей на человека), Большесолдатский район (35,5 тыс. рублей на человека), Поныровский район (35,2 тыс. рублей на человека). Наименее обеспеченные муниципальные образования в расчете расходов на душу населения - Курский район (15,1 тыс. рублей на человека), городской округ Льгов (16,3 тыс. рублей на человека), Обоянский район (20,8 тыс. рублей на человека).</w:t>
      </w:r>
    </w:p>
    <w:p>
      <w:pPr>
        <w:pStyle w:val="0"/>
        <w:jc w:val="both"/>
      </w:pPr>
      <w:r>
        <w:rPr>
          <w:sz w:val="20"/>
        </w:rPr>
      </w:r>
    </w:p>
    <w:p>
      <w:pPr>
        <w:pStyle w:val="2"/>
        <w:outlineLvl w:val="1"/>
        <w:jc w:val="center"/>
      </w:pPr>
      <w:r>
        <w:rPr>
          <w:sz w:val="20"/>
        </w:rPr>
        <w:t xml:space="preserve">3. Сильные и слабые стороны, возможности и угрозы развития</w:t>
      </w:r>
    </w:p>
    <w:p>
      <w:pPr>
        <w:pStyle w:val="2"/>
        <w:jc w:val="center"/>
      </w:pPr>
      <w:r>
        <w:rPr>
          <w:sz w:val="20"/>
        </w:rPr>
        <w:t xml:space="preserve">Курской области</w:t>
      </w:r>
    </w:p>
    <w:p>
      <w:pPr>
        <w:pStyle w:val="0"/>
        <w:jc w:val="both"/>
      </w:pPr>
      <w:r>
        <w:rPr>
          <w:sz w:val="20"/>
        </w:rPr>
      </w:r>
    </w:p>
    <w:p>
      <w:pPr>
        <w:pStyle w:val="0"/>
        <w:ind w:firstLine="540"/>
        <w:jc w:val="both"/>
      </w:pPr>
      <w:r>
        <w:rPr>
          <w:sz w:val="20"/>
        </w:rPr>
        <w:t xml:space="preserve">В таблице N 1 представлен SWOT-анализ с учетом рассмотрения экономико-географического, природного, экономического, человеческого и управленческого потенциалов Курской области.</w:t>
      </w:r>
    </w:p>
    <w:p>
      <w:pPr>
        <w:pStyle w:val="0"/>
        <w:jc w:val="both"/>
      </w:pPr>
      <w:r>
        <w:rPr>
          <w:sz w:val="20"/>
        </w:rPr>
      </w:r>
    </w:p>
    <w:p>
      <w:pPr>
        <w:pStyle w:val="0"/>
        <w:outlineLvl w:val="2"/>
        <w:jc w:val="right"/>
      </w:pPr>
      <w:r>
        <w:rPr>
          <w:sz w:val="20"/>
        </w:rPr>
        <w:t xml:space="preserve">Таблица N 1</w:t>
      </w:r>
    </w:p>
    <w:p>
      <w:pPr>
        <w:pStyle w:val="0"/>
        <w:jc w:val="both"/>
      </w:pPr>
      <w:r>
        <w:rPr>
          <w:sz w:val="20"/>
        </w:rPr>
      </w:r>
    </w:p>
    <w:p>
      <w:pPr>
        <w:pStyle w:val="2"/>
        <w:jc w:val="center"/>
      </w:pPr>
      <w:r>
        <w:rPr>
          <w:sz w:val="20"/>
        </w:rPr>
        <w:t xml:space="preserve">SWOT-анализ Курской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3"/>
        <w:gridCol w:w="3798"/>
        <w:gridCol w:w="3742"/>
      </w:tblGrid>
      <w:tr>
        <w:tc>
          <w:tcPr>
            <w:tcW w:w="1533" w:type="dxa"/>
          </w:tcPr>
          <w:p>
            <w:pPr>
              <w:pStyle w:val="0"/>
            </w:pPr>
            <w:r>
              <w:rPr>
                <w:sz w:val="20"/>
              </w:rPr>
            </w:r>
          </w:p>
        </w:tc>
        <w:tc>
          <w:tcPr>
            <w:tcW w:w="3798" w:type="dxa"/>
          </w:tcPr>
          <w:p>
            <w:pPr>
              <w:pStyle w:val="0"/>
              <w:jc w:val="both"/>
            </w:pPr>
            <w:r>
              <w:rPr>
                <w:sz w:val="20"/>
              </w:rPr>
              <w:t xml:space="preserve">Положительное влияние</w:t>
            </w:r>
          </w:p>
        </w:tc>
        <w:tc>
          <w:tcPr>
            <w:tcW w:w="3742" w:type="dxa"/>
          </w:tcPr>
          <w:p>
            <w:pPr>
              <w:pStyle w:val="0"/>
              <w:jc w:val="both"/>
            </w:pPr>
            <w:r>
              <w:rPr>
                <w:sz w:val="20"/>
              </w:rPr>
              <w:t xml:space="preserve">Отрицательное влияние</w:t>
            </w:r>
          </w:p>
        </w:tc>
      </w:tr>
      <w:tr>
        <w:tc>
          <w:tcPr>
            <w:tcW w:w="1533" w:type="dxa"/>
          </w:tcPr>
          <w:p>
            <w:pPr>
              <w:pStyle w:val="0"/>
            </w:pPr>
            <w:r>
              <w:rPr>
                <w:sz w:val="20"/>
              </w:rPr>
            </w:r>
          </w:p>
        </w:tc>
        <w:tc>
          <w:tcPr>
            <w:tcW w:w="3798" w:type="dxa"/>
          </w:tcPr>
          <w:p>
            <w:pPr>
              <w:pStyle w:val="0"/>
              <w:jc w:val="both"/>
            </w:pPr>
            <w:r>
              <w:rPr>
                <w:sz w:val="20"/>
              </w:rPr>
              <w:t xml:space="preserve">Сильные стороны</w:t>
            </w:r>
          </w:p>
        </w:tc>
        <w:tc>
          <w:tcPr>
            <w:tcW w:w="3742" w:type="dxa"/>
          </w:tcPr>
          <w:p>
            <w:pPr>
              <w:pStyle w:val="0"/>
              <w:jc w:val="both"/>
            </w:pPr>
            <w:r>
              <w:rPr>
                <w:sz w:val="20"/>
              </w:rPr>
              <w:t xml:space="preserve">Слабые стороны</w:t>
            </w:r>
          </w:p>
        </w:tc>
      </w:tr>
      <w:tr>
        <w:tc>
          <w:tcPr>
            <w:tcW w:w="1533" w:type="dxa"/>
          </w:tcPr>
          <w:p>
            <w:pPr>
              <w:pStyle w:val="0"/>
              <w:jc w:val="both"/>
            </w:pPr>
            <w:r>
              <w:rPr>
                <w:sz w:val="20"/>
              </w:rPr>
              <w:t xml:space="preserve">Внутренняя среда (внутренние факторы)</w:t>
            </w:r>
          </w:p>
        </w:tc>
        <w:tc>
          <w:tcPr>
            <w:tcW w:w="3798" w:type="dxa"/>
          </w:tcPr>
          <w:p>
            <w:pPr>
              <w:pStyle w:val="0"/>
              <w:jc w:val="both"/>
            </w:pPr>
            <w:r>
              <w:rPr>
                <w:sz w:val="20"/>
              </w:rPr>
              <w:t xml:space="preserve">Пространственный потенциал</w:t>
            </w:r>
          </w:p>
          <w:p>
            <w:pPr>
              <w:pStyle w:val="0"/>
              <w:jc w:val="both"/>
            </w:pPr>
            <w:r>
              <w:rPr>
                <w:sz w:val="20"/>
              </w:rPr>
            </w:r>
          </w:p>
          <w:p>
            <w:pPr>
              <w:pStyle w:val="0"/>
              <w:jc w:val="both"/>
            </w:pPr>
            <w:r>
              <w:rPr>
                <w:sz w:val="20"/>
              </w:rPr>
              <w:t xml:space="preserve">Наличие развитой сети транспортной инфраструктуры (федеральные и региональные автомобильные трассы ("Крым" (Москва - Тула - Орел - Курск - Белгород - Харьков - Симферополь), "Воронеж - Курск - Киев"), железнодорожный коридор (Москва - Тула - Орел - Курск - Белгород - Харьков (Украина), Москва - Касторная - Донбасс (от нее отходит линия на Липецк), Брянск - Льгов - Харьков, Воронеж - Киев), аэропорт).</w:t>
            </w:r>
          </w:p>
          <w:p>
            <w:pPr>
              <w:pStyle w:val="0"/>
              <w:jc w:val="both"/>
            </w:pPr>
            <w:r>
              <w:rPr>
                <w:sz w:val="20"/>
              </w:rPr>
              <w:t xml:space="preserve">Реализация региональных проектов, связанных с расшивкой узких мест в области транспортной инфраструктуры.</w:t>
            </w:r>
          </w:p>
          <w:p>
            <w:pPr>
              <w:pStyle w:val="0"/>
              <w:jc w:val="both"/>
            </w:pPr>
            <w:r>
              <w:rPr>
                <w:sz w:val="20"/>
              </w:rPr>
            </w:r>
          </w:p>
          <w:p>
            <w:pPr>
              <w:pStyle w:val="0"/>
              <w:jc w:val="both"/>
            </w:pPr>
            <w:r>
              <w:rPr>
                <w:sz w:val="20"/>
              </w:rPr>
              <w:t xml:space="preserve">Природно-экологический потенциал</w:t>
            </w:r>
          </w:p>
          <w:p>
            <w:pPr>
              <w:pStyle w:val="0"/>
              <w:jc w:val="both"/>
            </w:pPr>
            <w:r>
              <w:rPr>
                <w:sz w:val="20"/>
              </w:rPr>
            </w:r>
          </w:p>
          <w:p>
            <w:pPr>
              <w:pStyle w:val="0"/>
              <w:jc w:val="both"/>
            </w:pPr>
            <w:r>
              <w:rPr>
                <w:sz w:val="20"/>
              </w:rPr>
              <w:t xml:space="preserve">Наличие крупных месторождений полезных ископаемых (Курская магнитная аномалия - крупнейший в мире район по запасам железа).</w:t>
            </w:r>
          </w:p>
          <w:p>
            <w:pPr>
              <w:pStyle w:val="0"/>
              <w:jc w:val="both"/>
            </w:pPr>
            <w:r>
              <w:rPr>
                <w:sz w:val="20"/>
              </w:rPr>
              <w:t xml:space="preserve">Существенный экологический потенциал, на территории области расположен 1 заповедник и 38 особо охраняемых территорий (общая площадь особо охраняемых природных территорий равна 9,8 тыс. га).</w:t>
            </w:r>
          </w:p>
          <w:p>
            <w:pPr>
              <w:pStyle w:val="0"/>
              <w:jc w:val="both"/>
            </w:pPr>
            <w:r>
              <w:rPr>
                <w:sz w:val="20"/>
              </w:rPr>
              <w:t xml:space="preserve">Высокий экологический потенциал региона (в соответствии с Национальным экологическим рейтингом субъектов Российской Федерации (http://greenpatrol.ru) по состоянию на лето 2019 года Курская область занимает 6-е место в России).</w:t>
            </w:r>
          </w:p>
          <w:p>
            <w:pPr>
              <w:pStyle w:val="0"/>
              <w:jc w:val="both"/>
            </w:pPr>
            <w:r>
              <w:rPr>
                <w:sz w:val="20"/>
              </w:rPr>
              <w:t xml:space="preserve">Благоприятные для развития сельского хозяйства агроклиматические условия, плодородные почвы (преимущественно черноземы оподзоленные и выщелоченные (около 65%) и серые лесные (около 20%).</w:t>
            </w:r>
          </w:p>
          <w:p>
            <w:pPr>
              <w:pStyle w:val="0"/>
              <w:jc w:val="both"/>
            </w:pPr>
            <w:r>
              <w:rPr>
                <w:sz w:val="20"/>
              </w:rPr>
            </w:r>
          </w:p>
          <w:p>
            <w:pPr>
              <w:pStyle w:val="0"/>
              <w:jc w:val="both"/>
            </w:pPr>
            <w:r>
              <w:rPr>
                <w:sz w:val="20"/>
              </w:rPr>
              <w:t xml:space="preserve">Экономический потенциал</w:t>
            </w:r>
          </w:p>
          <w:p>
            <w:pPr>
              <w:pStyle w:val="0"/>
              <w:jc w:val="both"/>
            </w:pPr>
            <w:r>
              <w:rPr>
                <w:sz w:val="20"/>
              </w:rPr>
            </w:r>
          </w:p>
          <w:p>
            <w:pPr>
              <w:pStyle w:val="0"/>
              <w:jc w:val="both"/>
            </w:pPr>
            <w:r>
              <w:rPr>
                <w:sz w:val="20"/>
              </w:rPr>
              <w:t xml:space="preserve">Развитый агропромышленный сектор (сельское хозяйство), пищевая промышленность, розничная торговля.</w:t>
            </w:r>
          </w:p>
          <w:p>
            <w:pPr>
              <w:pStyle w:val="0"/>
              <w:jc w:val="both"/>
            </w:pPr>
            <w:r>
              <w:rPr>
                <w:sz w:val="20"/>
              </w:rPr>
              <w:t xml:space="preserve">Развитая структура промышленности, относительно высокая доля обрабатывающих производств в экономике Курской области (18% от ВРП).</w:t>
            </w:r>
          </w:p>
          <w:p>
            <w:pPr>
              <w:pStyle w:val="0"/>
              <w:jc w:val="both"/>
            </w:pPr>
            <w:r>
              <w:rPr>
                <w:sz w:val="20"/>
              </w:rPr>
              <w:t xml:space="preserve">Наличие крупных предприятий общероссийского уровня (ОАО "Фармстандарт-Лексредства" в составе группы компаний "Фармстандарт" входит в пятерку крупнейших производителей медикаментов в России; Группа "КОНТИ" входит в десятку ведущих кондитеров Восточной Европы и в первую тридцатку мирового рейтинга кондитерских производителей Global TOP-100; ООО "Курскхимволокно", входящее в группу компаний ПАО "КуйбышевАзот", - практически единственный в России производитель полипропиленового волокна).</w:t>
            </w:r>
          </w:p>
          <w:p>
            <w:pPr>
              <w:pStyle w:val="0"/>
              <w:jc w:val="both"/>
            </w:pPr>
            <w:r>
              <w:rPr>
                <w:sz w:val="20"/>
              </w:rPr>
              <w:t xml:space="preserve">Избыточные для региона мощности по производству электроэнергии (Курская АЭС 4000 МВт).</w:t>
            </w:r>
          </w:p>
          <w:p>
            <w:pPr>
              <w:pStyle w:val="0"/>
              <w:jc w:val="both"/>
            </w:pPr>
            <w:r>
              <w:rPr>
                <w:sz w:val="20"/>
              </w:rPr>
              <w:t xml:space="preserve">Самообеспеченность по основной группе продуктов собственного производства (в т.ч. по мясу птицы и свиней).</w:t>
            </w:r>
          </w:p>
          <w:p>
            <w:pPr>
              <w:pStyle w:val="0"/>
              <w:jc w:val="both"/>
            </w:pPr>
            <w:r>
              <w:rPr>
                <w:sz w:val="20"/>
              </w:rPr>
              <w:t xml:space="preserve">Относительно высокий уровень развития информационно-коммуникационной инфраструктуры (созданы и функционируют 31 многофункциональный центр и 139 офисов МФЦ, а также один офис на базе ПАО "Сбербанк". По принципу "одного окна" жители могут получить 262 наименования государственных и муниципальных услуг).</w:t>
            </w:r>
          </w:p>
          <w:p>
            <w:pPr>
              <w:pStyle w:val="0"/>
              <w:jc w:val="both"/>
            </w:pPr>
            <w:r>
              <w:rPr>
                <w:sz w:val="20"/>
              </w:rPr>
              <w:t xml:space="preserve">Человеческий потенциал</w:t>
            </w:r>
          </w:p>
          <w:p>
            <w:pPr>
              <w:pStyle w:val="0"/>
              <w:jc w:val="both"/>
            </w:pPr>
            <w:r>
              <w:rPr>
                <w:sz w:val="20"/>
              </w:rPr>
              <w:t xml:space="preserve">Относительно высокий индекс человеческого развития.</w:t>
            </w:r>
          </w:p>
          <w:p>
            <w:pPr>
              <w:pStyle w:val="0"/>
              <w:jc w:val="both"/>
            </w:pPr>
            <w:r>
              <w:rPr>
                <w:sz w:val="20"/>
              </w:rPr>
              <w:t xml:space="preserve">Наличие технологических компетенций в ключевых отраслях специализации.</w:t>
            </w:r>
          </w:p>
          <w:p>
            <w:pPr>
              <w:pStyle w:val="0"/>
              <w:jc w:val="both"/>
            </w:pPr>
            <w:r>
              <w:rPr>
                <w:sz w:val="20"/>
              </w:rPr>
              <w:t xml:space="preserve">Научно-образовательный потенциал: вхождение одного из вузов в топ-100 вузов России (Курский государственный медицинский университет - 69-е место в 2018 году).</w:t>
            </w:r>
          </w:p>
          <w:p>
            <w:pPr>
              <w:pStyle w:val="0"/>
              <w:jc w:val="both"/>
            </w:pPr>
            <w:r>
              <w:rPr>
                <w:sz w:val="20"/>
              </w:rPr>
              <w:t xml:space="preserve">16-е место в Российской Федерации по индексу человеческого развития.</w:t>
            </w:r>
          </w:p>
          <w:p>
            <w:pPr>
              <w:pStyle w:val="0"/>
              <w:jc w:val="both"/>
            </w:pPr>
            <w:r>
              <w:rPr>
                <w:sz w:val="20"/>
              </w:rPr>
              <w:t xml:space="preserve">15-е место в рейтинге регионов по качеству жизни РИА Рейтинг в 2018 году.</w:t>
            </w:r>
          </w:p>
          <w:p>
            <w:pPr>
              <w:pStyle w:val="0"/>
              <w:jc w:val="both"/>
            </w:pPr>
            <w:r>
              <w:rPr>
                <w:sz w:val="20"/>
              </w:rPr>
              <w:t xml:space="preserve">11-е место по числу студентов на 10000 жителей - 343 чел.</w:t>
            </w:r>
          </w:p>
          <w:p>
            <w:pPr>
              <w:pStyle w:val="0"/>
              <w:jc w:val="both"/>
            </w:pPr>
            <w:r>
              <w:rPr>
                <w:sz w:val="20"/>
              </w:rPr>
              <w:t xml:space="preserve">Туристический потенциал, богатое историко-культурное наследие.</w:t>
            </w:r>
          </w:p>
          <w:p>
            <w:pPr>
              <w:pStyle w:val="0"/>
              <w:jc w:val="both"/>
            </w:pPr>
            <w:r>
              <w:rPr>
                <w:sz w:val="20"/>
              </w:rPr>
            </w:r>
          </w:p>
          <w:p>
            <w:pPr>
              <w:pStyle w:val="0"/>
              <w:jc w:val="both"/>
            </w:pPr>
            <w:r>
              <w:rPr>
                <w:sz w:val="20"/>
              </w:rPr>
              <w:t xml:space="preserve">Управленческий потенциал</w:t>
            </w:r>
          </w:p>
          <w:p>
            <w:pPr>
              <w:pStyle w:val="0"/>
              <w:jc w:val="both"/>
            </w:pPr>
            <w:r>
              <w:rPr>
                <w:sz w:val="20"/>
              </w:rPr>
            </w:r>
          </w:p>
          <w:p>
            <w:pPr>
              <w:pStyle w:val="0"/>
              <w:jc w:val="both"/>
            </w:pPr>
            <w:r>
              <w:rPr>
                <w:sz w:val="20"/>
              </w:rPr>
              <w:t xml:space="preserve">Низкий уровень государственного долга (3-е место в ЦФО в 2018 году).</w:t>
            </w:r>
          </w:p>
          <w:p>
            <w:pPr>
              <w:pStyle w:val="0"/>
              <w:jc w:val="both"/>
            </w:pPr>
            <w:r>
              <w:rPr>
                <w:sz w:val="20"/>
              </w:rPr>
              <w:t xml:space="preserve">Тенденция к росту объема инвестиций в основной капитал (120 млрд. рублей в 2018 году).</w:t>
            </w:r>
          </w:p>
          <w:p>
            <w:pPr>
              <w:pStyle w:val="0"/>
              <w:jc w:val="both"/>
            </w:pPr>
            <w:r>
              <w:rPr>
                <w:sz w:val="20"/>
              </w:rPr>
              <w:t xml:space="preserve">26-е место среди субъектов Российской Федерации по объему инвестиций на душу населения (за период 2013 - 2018 гг. регион поднялся по этому показателю на 23 позиции).</w:t>
            </w:r>
          </w:p>
          <w:p>
            <w:pPr>
              <w:pStyle w:val="0"/>
              <w:jc w:val="both"/>
            </w:pPr>
            <w:r>
              <w:rPr>
                <w:sz w:val="20"/>
              </w:rPr>
              <w:t xml:space="preserve">Рейтинг 3А1 (пониженный потенциал - минимальный риск). Вхождение в десятку наиболее безопасных регионов с точки зрения рисков вложения инвестиций.</w:t>
            </w:r>
          </w:p>
          <w:p>
            <w:pPr>
              <w:pStyle w:val="0"/>
              <w:jc w:val="both"/>
            </w:pPr>
            <w:r>
              <w:rPr>
                <w:sz w:val="20"/>
              </w:rPr>
              <w:t xml:space="preserve">Высокий уровень открытости бюджетных данных.</w:t>
            </w:r>
          </w:p>
          <w:p>
            <w:pPr>
              <w:pStyle w:val="0"/>
              <w:jc w:val="both"/>
            </w:pPr>
            <w:r>
              <w:rPr>
                <w:sz w:val="20"/>
              </w:rPr>
              <w:t xml:space="preserve">Высокий уровень удовлетворенности жителей работой МФЦ (90%).</w:t>
            </w:r>
          </w:p>
          <w:p>
            <w:pPr>
              <w:pStyle w:val="0"/>
              <w:jc w:val="both"/>
            </w:pPr>
            <w:r>
              <w:rPr>
                <w:sz w:val="20"/>
              </w:rPr>
              <w:t xml:space="preserve">Реализация проекта "Народный бюджет"</w:t>
            </w:r>
          </w:p>
        </w:tc>
        <w:tc>
          <w:tcPr>
            <w:tcW w:w="3742" w:type="dxa"/>
          </w:tcPr>
          <w:p>
            <w:pPr>
              <w:pStyle w:val="0"/>
              <w:jc w:val="both"/>
            </w:pPr>
            <w:r>
              <w:rPr>
                <w:sz w:val="20"/>
              </w:rPr>
              <w:t xml:space="preserve">Пространственный потенциал</w:t>
            </w:r>
          </w:p>
          <w:p>
            <w:pPr>
              <w:pStyle w:val="0"/>
              <w:jc w:val="both"/>
            </w:pPr>
            <w:r>
              <w:rPr>
                <w:sz w:val="20"/>
              </w:rPr>
            </w:r>
          </w:p>
          <w:p>
            <w:pPr>
              <w:pStyle w:val="0"/>
              <w:jc w:val="both"/>
            </w:pPr>
            <w:r>
              <w:rPr>
                <w:sz w:val="20"/>
              </w:rPr>
              <w:t xml:space="preserve">Высокий износ жилищного фонда и коммунальной инфраструктуры.</w:t>
            </w:r>
          </w:p>
          <w:p>
            <w:pPr>
              <w:pStyle w:val="0"/>
              <w:jc w:val="both"/>
            </w:pPr>
            <w:r>
              <w:rPr>
                <w:sz w:val="20"/>
              </w:rPr>
              <w:t xml:space="preserve">Высокий уровень энергозатрат и высокие потери в инженерных сетях вследствие их изношенности.</w:t>
            </w:r>
          </w:p>
          <w:p>
            <w:pPr>
              <w:pStyle w:val="0"/>
              <w:jc w:val="both"/>
            </w:pPr>
            <w:r>
              <w:rPr>
                <w:sz w:val="20"/>
              </w:rPr>
              <w:t xml:space="preserve">Преобладание частного автотранспорта над общественным в отношении пассажироперевозок.</w:t>
            </w:r>
          </w:p>
          <w:p>
            <w:pPr>
              <w:pStyle w:val="0"/>
              <w:jc w:val="both"/>
            </w:pPr>
            <w:r>
              <w:rPr>
                <w:sz w:val="20"/>
              </w:rPr>
              <w:t xml:space="preserve">Недостаточная связанность территорий.</w:t>
            </w:r>
          </w:p>
          <w:p>
            <w:pPr>
              <w:pStyle w:val="0"/>
              <w:jc w:val="both"/>
            </w:pPr>
            <w:r>
              <w:rPr>
                <w:sz w:val="20"/>
              </w:rPr>
              <w:t xml:space="preserve">Несоответствие систем общественного транспорта современным стандартам развитых стран, массовое использование маршрутных такси.</w:t>
            </w:r>
          </w:p>
          <w:p>
            <w:pPr>
              <w:pStyle w:val="0"/>
              <w:jc w:val="both"/>
            </w:pPr>
            <w:r>
              <w:rPr>
                <w:sz w:val="20"/>
              </w:rPr>
              <w:t xml:space="preserve">Непривлекательная для жизни городская среда, снижение комфортности городской среды за счет чрезмерно высокой жилищной застройки, расширения дорожно-транспортной сети, роста уровня автомобилизации, визуального загрязнения, роста шумового загрязнения.</w:t>
            </w:r>
          </w:p>
          <w:p>
            <w:pPr>
              <w:pStyle w:val="0"/>
              <w:jc w:val="both"/>
            </w:pPr>
            <w:r>
              <w:rPr>
                <w:sz w:val="20"/>
              </w:rPr>
              <w:t xml:space="preserve">Рост автомобилизации населения, ухудшение транспортной связанности из-за дорожных заторов.</w:t>
            </w:r>
          </w:p>
          <w:p>
            <w:pPr>
              <w:pStyle w:val="0"/>
              <w:jc w:val="both"/>
            </w:pPr>
            <w:r>
              <w:rPr>
                <w:sz w:val="20"/>
              </w:rPr>
              <w:t xml:space="preserve">Утрата историко-градостроительной среды.</w:t>
            </w:r>
          </w:p>
          <w:p>
            <w:pPr>
              <w:pStyle w:val="0"/>
              <w:jc w:val="both"/>
            </w:pPr>
            <w:r>
              <w:rPr>
                <w:sz w:val="20"/>
              </w:rPr>
            </w:r>
          </w:p>
          <w:p>
            <w:pPr>
              <w:pStyle w:val="0"/>
              <w:jc w:val="both"/>
            </w:pPr>
            <w:r>
              <w:rPr>
                <w:sz w:val="20"/>
              </w:rPr>
              <w:t xml:space="preserve">Природно-экологический потенциал</w:t>
            </w:r>
          </w:p>
          <w:p>
            <w:pPr>
              <w:pStyle w:val="0"/>
              <w:jc w:val="both"/>
            </w:pPr>
            <w:r>
              <w:rPr>
                <w:sz w:val="20"/>
              </w:rPr>
            </w:r>
          </w:p>
          <w:p>
            <w:pPr>
              <w:pStyle w:val="0"/>
              <w:jc w:val="both"/>
            </w:pPr>
            <w:r>
              <w:rPr>
                <w:sz w:val="20"/>
              </w:rPr>
              <w:t xml:space="preserve">Высокий уровень загрязнения воздуха в крупных городах, значительная антропогенная нагрузка.</w:t>
            </w:r>
          </w:p>
          <w:p>
            <w:pPr>
              <w:pStyle w:val="0"/>
              <w:jc w:val="both"/>
            </w:pPr>
            <w:r>
              <w:rPr>
                <w:sz w:val="20"/>
              </w:rPr>
              <w:t xml:space="preserve">Истощение почвенных ресурсов.</w:t>
            </w:r>
          </w:p>
          <w:p>
            <w:pPr>
              <w:pStyle w:val="0"/>
              <w:jc w:val="both"/>
            </w:pPr>
            <w:r>
              <w:rPr>
                <w:sz w:val="20"/>
              </w:rPr>
              <w:t xml:space="preserve">Преобладание выбросов от передвижных источников.</w:t>
            </w:r>
          </w:p>
          <w:p>
            <w:pPr>
              <w:pStyle w:val="0"/>
              <w:jc w:val="both"/>
            </w:pPr>
            <w:r>
              <w:rPr>
                <w:sz w:val="20"/>
              </w:rPr>
              <w:t xml:space="preserve">Недостаточное количество объектов обращения с отходами, в том числе с твердыми коммунальными отходами.</w:t>
            </w:r>
          </w:p>
          <w:p>
            <w:pPr>
              <w:pStyle w:val="0"/>
              <w:jc w:val="both"/>
            </w:pPr>
            <w:r>
              <w:rPr>
                <w:sz w:val="20"/>
              </w:rPr>
            </w:r>
          </w:p>
          <w:p>
            <w:pPr>
              <w:pStyle w:val="0"/>
              <w:jc w:val="both"/>
            </w:pPr>
            <w:r>
              <w:rPr>
                <w:sz w:val="20"/>
              </w:rPr>
              <w:t xml:space="preserve">Экономический потенциал</w:t>
            </w:r>
          </w:p>
          <w:p>
            <w:pPr>
              <w:pStyle w:val="0"/>
              <w:jc w:val="both"/>
            </w:pPr>
            <w:r>
              <w:rPr>
                <w:sz w:val="20"/>
              </w:rPr>
            </w:r>
          </w:p>
          <w:p>
            <w:pPr>
              <w:pStyle w:val="0"/>
              <w:jc w:val="both"/>
            </w:pPr>
            <w:r>
              <w:rPr>
                <w:sz w:val="20"/>
              </w:rPr>
              <w:t xml:space="preserve">Зависимость экономики от двух ключевых отраслей - добычи полезных ископаемых и энергетического сектора (42% отгруженной продукции).</w:t>
            </w:r>
          </w:p>
          <w:p>
            <w:pPr>
              <w:pStyle w:val="0"/>
              <w:jc w:val="both"/>
            </w:pPr>
            <w:r>
              <w:rPr>
                <w:sz w:val="20"/>
              </w:rPr>
              <w:t xml:space="preserve">Относительно невысокий уровень диверсификации.</w:t>
            </w:r>
          </w:p>
          <w:p>
            <w:pPr>
              <w:pStyle w:val="0"/>
              <w:jc w:val="both"/>
            </w:pPr>
            <w:r>
              <w:rPr>
                <w:sz w:val="20"/>
              </w:rPr>
              <w:t xml:space="preserve">Монополизация экономики.</w:t>
            </w:r>
          </w:p>
          <w:p>
            <w:pPr>
              <w:pStyle w:val="0"/>
              <w:jc w:val="both"/>
            </w:pPr>
            <w:r>
              <w:rPr>
                <w:sz w:val="20"/>
              </w:rPr>
              <w:t xml:space="preserve">Неравномерность экономического развития муниципальных образований (три промышленных центра: Курск, Железногорск и Курчатов).</w:t>
            </w:r>
          </w:p>
          <w:p>
            <w:pPr>
              <w:pStyle w:val="0"/>
              <w:jc w:val="both"/>
            </w:pPr>
            <w:r>
              <w:rPr>
                <w:sz w:val="20"/>
              </w:rPr>
              <w:t xml:space="preserve">Недостаточно развитая транспортная, коммуникационная и инженерная инфраструктура в сельской местности.</w:t>
            </w:r>
          </w:p>
          <w:p>
            <w:pPr>
              <w:pStyle w:val="0"/>
              <w:jc w:val="both"/>
            </w:pPr>
            <w:r>
              <w:rPr>
                <w:sz w:val="20"/>
              </w:rPr>
              <w:t xml:space="preserve">Преимущественно старопромышленная модель развития экономики, доминирование отраслей третьего и четвертого технологических укладов.</w:t>
            </w:r>
          </w:p>
          <w:p>
            <w:pPr>
              <w:pStyle w:val="0"/>
              <w:jc w:val="both"/>
            </w:pPr>
            <w:r>
              <w:rPr>
                <w:sz w:val="20"/>
              </w:rPr>
              <w:t xml:space="preserve">Высокая изношенность основных фондов промышленных предприятий.</w:t>
            </w:r>
          </w:p>
          <w:p>
            <w:pPr>
              <w:pStyle w:val="0"/>
              <w:jc w:val="both"/>
            </w:pPr>
            <w:r>
              <w:rPr>
                <w:sz w:val="20"/>
              </w:rPr>
              <w:t xml:space="preserve">Низкий спрос на научные исследования и разработки со стороны бизнеса.</w:t>
            </w:r>
          </w:p>
          <w:p>
            <w:pPr>
              <w:pStyle w:val="0"/>
              <w:jc w:val="both"/>
            </w:pPr>
            <w:r>
              <w:rPr>
                <w:sz w:val="20"/>
              </w:rPr>
              <w:t xml:space="preserve">Низкий уровень внедрения цифровых технологий.</w:t>
            </w:r>
          </w:p>
          <w:p>
            <w:pPr>
              <w:pStyle w:val="0"/>
              <w:jc w:val="both"/>
            </w:pPr>
            <w:r>
              <w:rPr>
                <w:sz w:val="20"/>
              </w:rPr>
              <w:t xml:space="preserve">Низкая вовлеченность в глобальные цепочки добавленной стоимости.</w:t>
            </w:r>
          </w:p>
          <w:p>
            <w:pPr>
              <w:pStyle w:val="0"/>
              <w:jc w:val="both"/>
            </w:pPr>
            <w:r>
              <w:rPr>
                <w:sz w:val="20"/>
              </w:rPr>
              <w:t xml:space="preserve">Человеческий потенциал</w:t>
            </w:r>
          </w:p>
          <w:p>
            <w:pPr>
              <w:pStyle w:val="0"/>
              <w:jc w:val="both"/>
            </w:pPr>
            <w:r>
              <w:rPr>
                <w:sz w:val="20"/>
              </w:rPr>
              <w:t xml:space="preserve">Демографический спад (по сравнению с 2000 годом численность постоянного населения сократилась на 12,8%), коэффициент естественного прироста населения составил в 2018 году - 6,2 промилле на 1000 чел. населения (средний по России - (-1,5), в ЦФО - (-3,0).</w:t>
            </w:r>
          </w:p>
          <w:p>
            <w:pPr>
              <w:pStyle w:val="0"/>
              <w:jc w:val="both"/>
            </w:pPr>
            <w:r>
              <w:rPr>
                <w:sz w:val="20"/>
              </w:rPr>
              <w:t xml:space="preserve">Растущая демографическая нагрузка, старение населения, снижение доли экономически активного населения (53,7% в 2018 году).</w:t>
            </w:r>
          </w:p>
          <w:p>
            <w:pPr>
              <w:pStyle w:val="0"/>
              <w:jc w:val="both"/>
            </w:pPr>
            <w:r>
              <w:rPr>
                <w:sz w:val="20"/>
              </w:rPr>
              <w:t xml:space="preserve">Значительное сокращение численности населения в отдельных муниципальных образованиях, в том числе районных центрах.</w:t>
            </w:r>
          </w:p>
          <w:p>
            <w:pPr>
              <w:pStyle w:val="0"/>
              <w:jc w:val="both"/>
            </w:pPr>
            <w:r>
              <w:rPr>
                <w:sz w:val="20"/>
              </w:rPr>
              <w:t xml:space="preserve">Высокая доля населения, живущего в малых населенных пунктах, необеспеченность необходимым количеством и качеством социальной инфраструктуры.</w:t>
            </w:r>
          </w:p>
          <w:p>
            <w:pPr>
              <w:pStyle w:val="0"/>
              <w:jc w:val="both"/>
            </w:pPr>
            <w:r>
              <w:rPr>
                <w:sz w:val="20"/>
              </w:rPr>
              <w:t xml:space="preserve">Относительно невысокий уровень доходов населения (среднедушевые денежные доходы населения в 2018 году составили 26,9 тыс. рублей. (среднероссийское значение показателя - 32,6 тыс. рублей).</w:t>
            </w:r>
          </w:p>
          <w:p>
            <w:pPr>
              <w:pStyle w:val="0"/>
              <w:jc w:val="both"/>
            </w:pPr>
            <w:r>
              <w:rPr>
                <w:sz w:val="20"/>
              </w:rPr>
            </w:r>
          </w:p>
          <w:p>
            <w:pPr>
              <w:pStyle w:val="0"/>
              <w:jc w:val="both"/>
            </w:pPr>
            <w:r>
              <w:rPr>
                <w:sz w:val="20"/>
              </w:rPr>
              <w:t xml:space="preserve">Управленческий потенциал</w:t>
            </w:r>
          </w:p>
          <w:p>
            <w:pPr>
              <w:pStyle w:val="0"/>
              <w:jc w:val="both"/>
            </w:pPr>
            <w:r>
              <w:rPr>
                <w:sz w:val="20"/>
              </w:rPr>
            </w:r>
          </w:p>
          <w:p>
            <w:pPr>
              <w:pStyle w:val="0"/>
              <w:jc w:val="both"/>
            </w:pPr>
            <w:r>
              <w:rPr>
                <w:sz w:val="20"/>
              </w:rPr>
              <w:t xml:space="preserve">Низкая бюджетная обеспеченность региона.</w:t>
            </w:r>
          </w:p>
          <w:p>
            <w:pPr>
              <w:pStyle w:val="0"/>
              <w:jc w:val="both"/>
            </w:pPr>
            <w:r>
              <w:rPr>
                <w:sz w:val="20"/>
              </w:rPr>
              <w:t xml:space="preserve">Рост нагрузки на бюджетную систему из-за снижения доли экономически активного населения и рост демографической нагрузки.</w:t>
            </w:r>
          </w:p>
          <w:p>
            <w:pPr>
              <w:pStyle w:val="0"/>
              <w:jc w:val="both"/>
            </w:pPr>
            <w:r>
              <w:rPr>
                <w:sz w:val="20"/>
              </w:rPr>
              <w:t xml:space="preserve">Зависимость доходной части бюджета региона от деятельности отдельных градообразующих предприятий</w:t>
            </w:r>
          </w:p>
        </w:tc>
      </w:tr>
      <w:tr>
        <w:tc>
          <w:tcPr>
            <w:tcW w:w="1533" w:type="dxa"/>
          </w:tcPr>
          <w:p>
            <w:pPr>
              <w:pStyle w:val="0"/>
            </w:pPr>
            <w:r>
              <w:rPr>
                <w:sz w:val="20"/>
              </w:rPr>
            </w:r>
          </w:p>
        </w:tc>
        <w:tc>
          <w:tcPr>
            <w:tcW w:w="3798" w:type="dxa"/>
          </w:tcPr>
          <w:p>
            <w:pPr>
              <w:pStyle w:val="0"/>
              <w:jc w:val="both"/>
            </w:pPr>
            <w:r>
              <w:rPr>
                <w:sz w:val="20"/>
              </w:rPr>
              <w:t xml:space="preserve">Положительное влияние</w:t>
            </w:r>
          </w:p>
        </w:tc>
        <w:tc>
          <w:tcPr>
            <w:tcW w:w="3742" w:type="dxa"/>
          </w:tcPr>
          <w:p>
            <w:pPr>
              <w:pStyle w:val="0"/>
              <w:jc w:val="both"/>
            </w:pPr>
            <w:r>
              <w:rPr>
                <w:sz w:val="20"/>
              </w:rPr>
              <w:t xml:space="preserve">Отрицательное влияние</w:t>
            </w:r>
          </w:p>
        </w:tc>
      </w:tr>
      <w:tr>
        <w:tc>
          <w:tcPr>
            <w:tcW w:w="1533" w:type="dxa"/>
          </w:tcPr>
          <w:p>
            <w:pPr>
              <w:pStyle w:val="0"/>
            </w:pPr>
            <w:r>
              <w:rPr>
                <w:sz w:val="20"/>
              </w:rPr>
            </w:r>
          </w:p>
        </w:tc>
        <w:tc>
          <w:tcPr>
            <w:tcW w:w="3798" w:type="dxa"/>
          </w:tcPr>
          <w:p>
            <w:pPr>
              <w:pStyle w:val="0"/>
              <w:jc w:val="both"/>
            </w:pPr>
            <w:r>
              <w:rPr>
                <w:sz w:val="20"/>
              </w:rPr>
              <w:t xml:space="preserve">Возможности</w:t>
            </w:r>
          </w:p>
        </w:tc>
        <w:tc>
          <w:tcPr>
            <w:tcW w:w="3742" w:type="dxa"/>
          </w:tcPr>
          <w:p>
            <w:pPr>
              <w:pStyle w:val="0"/>
              <w:jc w:val="both"/>
            </w:pPr>
            <w:r>
              <w:rPr>
                <w:sz w:val="20"/>
              </w:rPr>
              <w:t xml:space="preserve">Угрозы</w:t>
            </w:r>
          </w:p>
        </w:tc>
      </w:tr>
      <w:tr>
        <w:tc>
          <w:tcPr>
            <w:tcW w:w="1533" w:type="dxa"/>
          </w:tcPr>
          <w:p>
            <w:pPr>
              <w:pStyle w:val="0"/>
              <w:jc w:val="both"/>
            </w:pPr>
            <w:r>
              <w:rPr>
                <w:sz w:val="20"/>
              </w:rPr>
              <w:t xml:space="preserve">Внешняя среда (внешние факторы)</w:t>
            </w:r>
          </w:p>
        </w:tc>
        <w:tc>
          <w:tcPr>
            <w:tcW w:w="3798" w:type="dxa"/>
          </w:tcPr>
          <w:p>
            <w:pPr>
              <w:pStyle w:val="0"/>
              <w:jc w:val="both"/>
            </w:pPr>
            <w:r>
              <w:rPr>
                <w:sz w:val="20"/>
              </w:rPr>
              <w:t xml:space="preserve">Пространственный потенциал</w:t>
            </w:r>
          </w:p>
          <w:p>
            <w:pPr>
              <w:pStyle w:val="0"/>
              <w:jc w:val="both"/>
            </w:pPr>
            <w:r>
              <w:rPr>
                <w:sz w:val="20"/>
              </w:rPr>
            </w:r>
          </w:p>
          <w:p>
            <w:pPr>
              <w:pStyle w:val="0"/>
              <w:jc w:val="both"/>
            </w:pPr>
            <w:r>
              <w:rPr>
                <w:sz w:val="20"/>
              </w:rPr>
              <w:t xml:space="preserve">Приграничный для Российской Федерации регион (транзитные функции, международные связи, геополитическая и геоэкономическая значимость с точки зрения национальных интересов России).</w:t>
            </w:r>
          </w:p>
          <w:p>
            <w:pPr>
              <w:pStyle w:val="0"/>
              <w:jc w:val="both"/>
            </w:pPr>
            <w:r>
              <w:rPr>
                <w:sz w:val="20"/>
              </w:rPr>
              <w:t xml:space="preserve">Восстановление приграничного сотрудничества с Украиной, восстановление транзитных связей.</w:t>
            </w:r>
          </w:p>
          <w:p>
            <w:pPr>
              <w:pStyle w:val="0"/>
              <w:jc w:val="both"/>
            </w:pPr>
            <w:r>
              <w:rPr>
                <w:sz w:val="20"/>
              </w:rPr>
              <w:t xml:space="preserve">Близость к Московской агломерации как к ключевому рынку сбыта (536 км), запуск скоростных поездов Москва - Курск - Воронеж и Москва - Курск - Белгород.</w:t>
            </w:r>
          </w:p>
          <w:p>
            <w:pPr>
              <w:pStyle w:val="0"/>
              <w:jc w:val="both"/>
            </w:pPr>
            <w:r>
              <w:rPr>
                <w:sz w:val="20"/>
              </w:rPr>
              <w:t xml:space="preserve">Потенциал для улучшения транспортной связанности с быстроразвивающимися центрами Центральной России, создания межрегиональных транспортных коридоров, реконструкции и расширения федеральных автомагистралей.</w:t>
            </w:r>
          </w:p>
          <w:p>
            <w:pPr>
              <w:pStyle w:val="0"/>
              <w:jc w:val="both"/>
            </w:pPr>
            <w:r>
              <w:rPr>
                <w:sz w:val="20"/>
              </w:rPr>
              <w:t xml:space="preserve">Конкуренция за человеческий капитал, реализация в развитых странах мира новых подходов к городской застройке и формированию качественной городской среды.</w:t>
            </w:r>
          </w:p>
          <w:p>
            <w:pPr>
              <w:pStyle w:val="0"/>
              <w:jc w:val="both"/>
            </w:pPr>
            <w:r>
              <w:rPr>
                <w:sz w:val="20"/>
              </w:rPr>
            </w:r>
          </w:p>
          <w:p>
            <w:pPr>
              <w:pStyle w:val="0"/>
              <w:jc w:val="both"/>
            </w:pPr>
            <w:r>
              <w:rPr>
                <w:sz w:val="20"/>
              </w:rPr>
              <w:t xml:space="preserve">Природно-экологический потенциал</w:t>
            </w:r>
          </w:p>
          <w:p>
            <w:pPr>
              <w:pStyle w:val="0"/>
              <w:jc w:val="both"/>
            </w:pPr>
            <w:r>
              <w:rPr>
                <w:sz w:val="20"/>
              </w:rPr>
            </w:r>
          </w:p>
          <w:p>
            <w:pPr>
              <w:pStyle w:val="0"/>
              <w:jc w:val="both"/>
            </w:pPr>
            <w:r>
              <w:rPr>
                <w:sz w:val="20"/>
              </w:rPr>
              <w:t xml:space="preserve">Благоприятные природно-климатические условия для проживания населения.</w:t>
            </w:r>
          </w:p>
          <w:p>
            <w:pPr>
              <w:pStyle w:val="0"/>
              <w:jc w:val="both"/>
            </w:pPr>
            <w:r>
              <w:rPr>
                <w:sz w:val="20"/>
              </w:rPr>
              <w:t xml:space="preserve">Тренды развития возобновляемой энергетики, внедрение энергосберегающих технологий в мире.</w:t>
            </w:r>
          </w:p>
          <w:p>
            <w:pPr>
              <w:pStyle w:val="0"/>
              <w:jc w:val="both"/>
            </w:pPr>
            <w:r>
              <w:rPr>
                <w:sz w:val="20"/>
              </w:rPr>
              <w:t xml:space="preserve">Реализация и популяризация экологических программ в регионах России и странах мира (раздельный сбор мусора, отказ от пластика (максимальное его сокращение в составе отходов производства и потребления), мусоропереработка, внедрение энергосберегающих и "зеленых" технологий, развитие экологически чистого общественного транспорта).</w:t>
            </w:r>
          </w:p>
          <w:p>
            <w:pPr>
              <w:pStyle w:val="0"/>
              <w:jc w:val="both"/>
            </w:pPr>
            <w:r>
              <w:rPr>
                <w:sz w:val="20"/>
              </w:rPr>
              <w:t xml:space="preserve">Развитие туристического рынка в России.</w:t>
            </w:r>
          </w:p>
          <w:p>
            <w:pPr>
              <w:pStyle w:val="0"/>
              <w:jc w:val="both"/>
            </w:pPr>
            <w:r>
              <w:rPr>
                <w:sz w:val="20"/>
              </w:rPr>
            </w:r>
          </w:p>
          <w:p>
            <w:pPr>
              <w:pStyle w:val="0"/>
              <w:jc w:val="both"/>
            </w:pPr>
            <w:r>
              <w:rPr>
                <w:sz w:val="20"/>
              </w:rPr>
              <w:t xml:space="preserve">Экономический потенциал</w:t>
            </w:r>
          </w:p>
          <w:p>
            <w:pPr>
              <w:pStyle w:val="0"/>
              <w:jc w:val="both"/>
            </w:pPr>
            <w:r>
              <w:rPr>
                <w:sz w:val="20"/>
              </w:rPr>
            </w:r>
          </w:p>
          <w:p>
            <w:pPr>
              <w:pStyle w:val="0"/>
              <w:jc w:val="both"/>
            </w:pPr>
            <w:r>
              <w:rPr>
                <w:sz w:val="20"/>
              </w:rPr>
              <w:t xml:space="preserve">Зависимость развития экономики Курской области от динамики развития ключевых рынков сбыта предприятий региона - регионы Центрального Федерального округа, в первую очередь - Московская область и г. Москва, а также от внешней конъюнктуры.</w:t>
            </w:r>
          </w:p>
          <w:p>
            <w:pPr>
              <w:pStyle w:val="0"/>
              <w:jc w:val="both"/>
            </w:pPr>
            <w:r>
              <w:rPr>
                <w:sz w:val="20"/>
              </w:rPr>
              <w:t xml:space="preserve">Тренды внедрения новых технологий в обрабатывающей промышленности, роботизация промышленности, новые материалы, формирование "Индустрии 4.0" в мире.</w:t>
            </w:r>
          </w:p>
          <w:p>
            <w:pPr>
              <w:pStyle w:val="0"/>
              <w:jc w:val="both"/>
            </w:pPr>
            <w:r>
              <w:rPr>
                <w:sz w:val="20"/>
              </w:rPr>
              <w:t xml:space="preserve">Модернизация Вооруженных Сил России и развитие передовых военных технологий.</w:t>
            </w:r>
          </w:p>
          <w:p>
            <w:pPr>
              <w:pStyle w:val="0"/>
              <w:jc w:val="both"/>
            </w:pPr>
            <w:r>
              <w:rPr>
                <w:sz w:val="20"/>
              </w:rPr>
              <w:t xml:space="preserve">Внедрение в мире новых технологий в сельском хозяйстве, в том числе роботизация, цифровизация, использование удобрений, что может привести к кратному увеличению мощности отрасли при сохранении общего уровня занятости.</w:t>
            </w:r>
          </w:p>
          <w:p>
            <w:pPr>
              <w:pStyle w:val="0"/>
              <w:jc w:val="both"/>
            </w:pPr>
            <w:r>
              <w:rPr>
                <w:sz w:val="20"/>
              </w:rPr>
              <w:t xml:space="preserve">Развитие наукоемких "зеленых" кластеров, экологизация мировой и российской экономики.</w:t>
            </w:r>
          </w:p>
          <w:p>
            <w:pPr>
              <w:pStyle w:val="0"/>
              <w:jc w:val="both"/>
            </w:pPr>
            <w:r>
              <w:rPr>
                <w:sz w:val="20"/>
              </w:rPr>
              <w:t xml:space="preserve">Большие данные, технологии их обработки.</w:t>
            </w:r>
          </w:p>
          <w:p>
            <w:pPr>
              <w:pStyle w:val="0"/>
              <w:jc w:val="both"/>
            </w:pPr>
            <w:r>
              <w:rPr>
                <w:sz w:val="20"/>
              </w:rPr>
              <w:t xml:space="preserve">Дальнейшее развитие информационной обеспеченности населения, социальные сети, кратное снижение времени распространения информации.</w:t>
            </w:r>
          </w:p>
          <w:p>
            <w:pPr>
              <w:pStyle w:val="0"/>
              <w:jc w:val="both"/>
            </w:pPr>
            <w:r>
              <w:rPr>
                <w:sz w:val="20"/>
              </w:rPr>
              <w:t xml:space="preserve">Развитие технологий общественного участия, краудсорсинг, краудфандинг</w:t>
            </w:r>
          </w:p>
          <w:p>
            <w:pPr>
              <w:pStyle w:val="0"/>
              <w:jc w:val="both"/>
            </w:pPr>
            <w:r>
              <w:rPr>
                <w:sz w:val="20"/>
              </w:rPr>
              <w:t xml:space="preserve">Развитие российского рынка экологически чистых продуктов питания.</w:t>
            </w:r>
          </w:p>
          <w:p>
            <w:pPr>
              <w:pStyle w:val="0"/>
              <w:jc w:val="both"/>
            </w:pPr>
            <w:r>
              <w:rPr>
                <w:sz w:val="20"/>
              </w:rPr>
              <w:t xml:space="preserve">Изменение предпочтений потребителей, особенно с ростом доходов, повышение спроса на экологически чистые продукты и товары.</w:t>
            </w:r>
          </w:p>
          <w:p>
            <w:pPr>
              <w:pStyle w:val="0"/>
              <w:jc w:val="both"/>
            </w:pPr>
            <w:r>
              <w:rPr>
                <w:sz w:val="20"/>
              </w:rPr>
              <w:t xml:space="preserve">Развитие рыночного сегмента, ориентированного на запросы пожилых людей.</w:t>
            </w:r>
          </w:p>
          <w:p>
            <w:pPr>
              <w:pStyle w:val="0"/>
              <w:jc w:val="both"/>
            </w:pPr>
            <w:r>
              <w:rPr>
                <w:sz w:val="20"/>
              </w:rPr>
              <w:t xml:space="preserve">Реализация национального проекта в области малого и среднего предпринимательства, реализация </w:t>
            </w:r>
            <w:hyperlink w:history="0" r:id="rId67" w:tooltip="Распоряжение Правительства РФ от 02.06.2016 N 1083-р (ред. от 30.03.2018) &lt;Об утверждении Стратегии развития малого и среднего предпринимательства в Российской Федерации на период до 2030 года&gt; (вместе с &quot;Планом мероприятий (&quot;дорожной картой&quot;) по реализации Стратегии развития малого и среднего предпринимательства в Российской Федерации на период до 2030 года&quot;) {КонсультантПлюс}">
              <w:r>
                <w:rPr>
                  <w:sz w:val="20"/>
                  <w:color w:val="0000ff"/>
                </w:rPr>
                <w:t xml:space="preserve">Стратегии</w:t>
              </w:r>
            </w:hyperlink>
            <w:r>
              <w:rPr>
                <w:sz w:val="20"/>
              </w:rPr>
              <w:t xml:space="preserve"> развития малого и среднего предпринимательства в Российской Федерации до 2030 года.</w:t>
            </w:r>
          </w:p>
          <w:p>
            <w:pPr>
              <w:pStyle w:val="0"/>
              <w:jc w:val="both"/>
            </w:pPr>
            <w:r>
              <w:rPr>
                <w:sz w:val="20"/>
              </w:rPr>
            </w:r>
          </w:p>
          <w:p>
            <w:pPr>
              <w:pStyle w:val="0"/>
              <w:jc w:val="both"/>
            </w:pPr>
            <w:r>
              <w:rPr>
                <w:sz w:val="20"/>
              </w:rPr>
              <w:t xml:space="preserve">Человеческий потенциал</w:t>
            </w:r>
          </w:p>
          <w:p>
            <w:pPr>
              <w:pStyle w:val="0"/>
              <w:jc w:val="both"/>
            </w:pPr>
            <w:r>
              <w:rPr>
                <w:sz w:val="20"/>
              </w:rPr>
            </w:r>
          </w:p>
          <w:p>
            <w:pPr>
              <w:pStyle w:val="0"/>
              <w:jc w:val="both"/>
            </w:pPr>
            <w:r>
              <w:rPr>
                <w:sz w:val="20"/>
              </w:rPr>
              <w:t xml:space="preserve">Развитие медицинских технологий, повышение ожидаемой продолжительности жизни населения.</w:t>
            </w:r>
          </w:p>
          <w:p>
            <w:pPr>
              <w:pStyle w:val="0"/>
              <w:jc w:val="both"/>
            </w:pPr>
            <w:r>
              <w:rPr>
                <w:sz w:val="20"/>
              </w:rPr>
              <w:t xml:space="preserve">Реализация человекоориентированной и гуманитарной повестки в стратегических документах России и зарубежных стран.</w:t>
            </w:r>
          </w:p>
          <w:p>
            <w:pPr>
              <w:pStyle w:val="0"/>
              <w:jc w:val="both"/>
            </w:pPr>
            <w:r>
              <w:rPr>
                <w:sz w:val="20"/>
              </w:rPr>
              <w:t xml:space="preserve">Перераспределение полномочий в сфере социальной политики (образование, здравоохранение, культура, поддержка населения и пр.) от федерального центра к регионам.</w:t>
            </w:r>
          </w:p>
          <w:p>
            <w:pPr>
              <w:pStyle w:val="0"/>
              <w:jc w:val="both"/>
            </w:pPr>
            <w:r>
              <w:rPr>
                <w:sz w:val="20"/>
              </w:rPr>
              <w:t xml:space="preserve">Финансирование приоритетных национальных программ, направленных на развитие человеческого капитала.</w:t>
            </w:r>
          </w:p>
          <w:p>
            <w:pPr>
              <w:pStyle w:val="0"/>
              <w:jc w:val="both"/>
            </w:pPr>
            <w:r>
              <w:rPr>
                <w:sz w:val="20"/>
              </w:rPr>
              <w:t xml:space="preserve">Опережающий рост пенсий по сравнению с инфляцией (</w:t>
            </w:r>
            <w:hyperlink w:history="0" r:id="rId68"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w:t>
              </w:r>
            </w:hyperlink>
            <w:r>
              <w:rPr>
                <w:sz w:val="20"/>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рост платежеспособного спроса российских пенсионеров вследствие реализации пенсионной реформы как фактор развития "серебряной" экономики.</w:t>
            </w:r>
          </w:p>
          <w:p>
            <w:pPr>
              <w:pStyle w:val="0"/>
              <w:jc w:val="both"/>
            </w:pPr>
            <w:r>
              <w:rPr>
                <w:sz w:val="20"/>
              </w:rPr>
            </w:r>
          </w:p>
          <w:p>
            <w:pPr>
              <w:pStyle w:val="0"/>
              <w:jc w:val="both"/>
            </w:pPr>
            <w:r>
              <w:rPr>
                <w:sz w:val="20"/>
              </w:rPr>
              <w:t xml:space="preserve">Управленческий потенциал</w:t>
            </w:r>
          </w:p>
          <w:p>
            <w:pPr>
              <w:pStyle w:val="0"/>
              <w:jc w:val="both"/>
            </w:pPr>
            <w:r>
              <w:rPr>
                <w:sz w:val="20"/>
              </w:rPr>
            </w:r>
          </w:p>
          <w:p>
            <w:pPr>
              <w:pStyle w:val="0"/>
              <w:jc w:val="both"/>
            </w:pPr>
            <w:r>
              <w:rPr>
                <w:sz w:val="20"/>
              </w:rPr>
              <w:t xml:space="preserve">Изменение (потепление или ухудшение) политических и экономических отношений с Украиной.</w:t>
            </w:r>
          </w:p>
          <w:p>
            <w:pPr>
              <w:pStyle w:val="0"/>
              <w:jc w:val="both"/>
            </w:pPr>
            <w:r>
              <w:rPr>
                <w:sz w:val="20"/>
              </w:rPr>
              <w:t xml:space="preserve">Сохранение низкой стоимости рубля по отношению к основным мировым валютам.</w:t>
            </w:r>
          </w:p>
          <w:p>
            <w:pPr>
              <w:pStyle w:val="0"/>
              <w:jc w:val="both"/>
            </w:pPr>
            <w:r>
              <w:rPr>
                <w:sz w:val="20"/>
              </w:rPr>
              <w:t xml:space="preserve">Сохранение режима экономических санкций к Российской Федерации со стороны ряда зарубежных государств.</w:t>
            </w:r>
          </w:p>
          <w:p>
            <w:pPr>
              <w:pStyle w:val="0"/>
              <w:jc w:val="both"/>
            </w:pPr>
            <w:r>
              <w:rPr>
                <w:sz w:val="20"/>
              </w:rPr>
              <w:t xml:space="preserve">Улучшение работы судебной и правоохранительной систем, снижение рисков ведения предпринимательства в России.</w:t>
            </w:r>
          </w:p>
          <w:p>
            <w:pPr>
              <w:pStyle w:val="0"/>
              <w:jc w:val="both"/>
            </w:pPr>
            <w:r>
              <w:rPr>
                <w:sz w:val="20"/>
              </w:rPr>
              <w:t xml:space="preserve">Реализация приоритетных национальных и федеральных проектов Российской Федерации, реализация проектных принципов управления.</w:t>
            </w:r>
          </w:p>
          <w:p>
            <w:pPr>
              <w:pStyle w:val="0"/>
              <w:jc w:val="both"/>
            </w:pPr>
            <w:r>
              <w:rPr>
                <w:sz w:val="20"/>
              </w:rPr>
              <w:t xml:space="preserve">Совершенствование инструментария государственных программ, выделение процессной и проектной компонент.</w:t>
            </w:r>
          </w:p>
          <w:p>
            <w:pPr>
              <w:pStyle w:val="0"/>
              <w:jc w:val="both"/>
            </w:pPr>
            <w:r>
              <w:rPr>
                <w:sz w:val="20"/>
              </w:rPr>
              <w:t xml:space="preserve">Изменение законодательства Российской Федерации в сфере межбюджетных отношений, увеличение полномочий субъектов Российской Федерации в части доходной части их бюджетов.</w:t>
            </w:r>
          </w:p>
          <w:p>
            <w:pPr>
              <w:pStyle w:val="0"/>
              <w:jc w:val="both"/>
            </w:pPr>
            <w:r>
              <w:rPr>
                <w:sz w:val="20"/>
              </w:rPr>
              <w:t xml:space="preserve">Активизация политики импортозамещения в России, реализация новых инструментов промышленной политики.</w:t>
            </w:r>
          </w:p>
          <w:p>
            <w:pPr>
              <w:pStyle w:val="0"/>
              <w:jc w:val="both"/>
            </w:pPr>
            <w:r>
              <w:rPr>
                <w:sz w:val="20"/>
              </w:rPr>
              <w:t xml:space="preserve">Развитие новых инструментов поддержки территорий (ТОСЭР, промышленные парки) в России.</w:t>
            </w:r>
          </w:p>
          <w:p>
            <w:pPr>
              <w:pStyle w:val="0"/>
              <w:jc w:val="both"/>
            </w:pPr>
            <w:r>
              <w:rPr>
                <w:sz w:val="20"/>
              </w:rPr>
              <w:t xml:space="preserve">Реализация Стратегии пространственного развития Российской Федерации.</w:t>
            </w:r>
          </w:p>
          <w:p>
            <w:pPr>
              <w:pStyle w:val="0"/>
              <w:jc w:val="both"/>
            </w:pPr>
            <w:r>
              <w:rPr>
                <w:sz w:val="20"/>
              </w:rPr>
              <w:t xml:space="preserve">Реализация федеральной политики, направленной на формирование и поддержку агломераций, качественное развитие инфраструктуры.</w:t>
            </w:r>
          </w:p>
          <w:p>
            <w:pPr>
              <w:pStyle w:val="0"/>
              <w:jc w:val="both"/>
            </w:pPr>
            <w:r>
              <w:rPr>
                <w:sz w:val="20"/>
              </w:rPr>
              <w:t xml:space="preserve">Оптимизация налоговых льгот, снижение доли теневого сектора, разработка удобных налоговых режимов для самозанятых.</w:t>
            </w:r>
          </w:p>
          <w:p>
            <w:pPr>
              <w:pStyle w:val="0"/>
              <w:jc w:val="both"/>
            </w:pPr>
            <w:r>
              <w:rPr>
                <w:sz w:val="20"/>
              </w:rPr>
              <w:t xml:space="preserve">Повышение качества институциональной среды для привлечения инвестиций</w:t>
            </w:r>
          </w:p>
        </w:tc>
        <w:tc>
          <w:tcPr>
            <w:tcW w:w="3742" w:type="dxa"/>
          </w:tcPr>
          <w:p>
            <w:pPr>
              <w:pStyle w:val="0"/>
              <w:jc w:val="both"/>
            </w:pPr>
            <w:r>
              <w:rPr>
                <w:sz w:val="20"/>
              </w:rPr>
              <w:t xml:space="preserve">Пространственный потенциал</w:t>
            </w:r>
          </w:p>
          <w:p>
            <w:pPr>
              <w:pStyle w:val="0"/>
              <w:jc w:val="both"/>
            </w:pPr>
            <w:r>
              <w:rPr>
                <w:sz w:val="20"/>
              </w:rPr>
            </w:r>
          </w:p>
          <w:p>
            <w:pPr>
              <w:pStyle w:val="0"/>
              <w:jc w:val="both"/>
            </w:pPr>
            <w:r>
              <w:rPr>
                <w:sz w:val="20"/>
              </w:rPr>
              <w:t xml:space="preserve">Высокая удаленность от портовой инфраструктуры, усиление периферийного положения.</w:t>
            </w:r>
          </w:p>
          <w:p>
            <w:pPr>
              <w:pStyle w:val="0"/>
              <w:jc w:val="both"/>
            </w:pPr>
            <w:r>
              <w:rPr>
                <w:sz w:val="20"/>
              </w:rPr>
              <w:t xml:space="preserve">Высокая конкуренция со стороны соседних регионов за человеческий и финансовый капитал (Белгородская, Липецкая, Воронежская области, Москва, Московская область).</w:t>
            </w:r>
          </w:p>
          <w:p>
            <w:pPr>
              <w:pStyle w:val="0"/>
              <w:jc w:val="both"/>
            </w:pPr>
            <w:r>
              <w:rPr>
                <w:sz w:val="20"/>
              </w:rPr>
              <w:t xml:space="preserve">Ухудшение политических и экономических связей с Украиной.</w:t>
            </w:r>
          </w:p>
          <w:p>
            <w:pPr>
              <w:pStyle w:val="0"/>
              <w:jc w:val="both"/>
            </w:pPr>
            <w:r>
              <w:rPr>
                <w:sz w:val="20"/>
              </w:rPr>
              <w:t xml:space="preserve">Низкая активность приграничного сотрудничества с Украиной в последние годы.</w:t>
            </w:r>
          </w:p>
          <w:p>
            <w:pPr>
              <w:pStyle w:val="0"/>
              <w:jc w:val="both"/>
            </w:pPr>
            <w:r>
              <w:rPr>
                <w:sz w:val="20"/>
              </w:rPr>
            </w:r>
          </w:p>
          <w:p>
            <w:pPr>
              <w:pStyle w:val="0"/>
              <w:jc w:val="both"/>
            </w:pPr>
            <w:r>
              <w:rPr>
                <w:sz w:val="20"/>
              </w:rPr>
              <w:t xml:space="preserve">Природно-экологический потенциал</w:t>
            </w:r>
          </w:p>
          <w:p>
            <w:pPr>
              <w:pStyle w:val="0"/>
              <w:jc w:val="both"/>
            </w:pPr>
            <w:r>
              <w:rPr>
                <w:sz w:val="20"/>
              </w:rPr>
            </w:r>
          </w:p>
          <w:p>
            <w:pPr>
              <w:pStyle w:val="0"/>
              <w:jc w:val="both"/>
            </w:pPr>
            <w:r>
              <w:rPr>
                <w:sz w:val="20"/>
              </w:rPr>
              <w:t xml:space="preserve">Увеличение заболеваемости населения вследствие ухудшения экологической обстановки, рост онкологических заболеваний в России и мире.</w:t>
            </w:r>
          </w:p>
          <w:p>
            <w:pPr>
              <w:pStyle w:val="0"/>
              <w:jc w:val="both"/>
            </w:pPr>
            <w:r>
              <w:rPr>
                <w:sz w:val="20"/>
              </w:rPr>
              <w:t xml:space="preserve">Усиление экологических рисков в Центрально-Черноземном регионе, в том числе в результате деградации сельскохозяйственных земель.</w:t>
            </w:r>
          </w:p>
          <w:p>
            <w:pPr>
              <w:pStyle w:val="0"/>
              <w:jc w:val="both"/>
            </w:pPr>
            <w:r>
              <w:rPr>
                <w:sz w:val="20"/>
              </w:rPr>
              <w:t xml:space="preserve">Возникновение чрезвычайных ситуаций природного и техногенного характера, включая аварийные ситуации на опасных производственных объектах.</w:t>
            </w:r>
          </w:p>
          <w:p>
            <w:pPr>
              <w:pStyle w:val="0"/>
              <w:jc w:val="both"/>
            </w:pPr>
            <w:r>
              <w:rPr>
                <w:sz w:val="20"/>
              </w:rPr>
              <w:t xml:space="preserve">Деградация водных экосистем, земель и почв как результат хозяйственной деятельности.</w:t>
            </w:r>
          </w:p>
          <w:p>
            <w:pPr>
              <w:pStyle w:val="0"/>
              <w:jc w:val="both"/>
            </w:pPr>
            <w:r>
              <w:rPr>
                <w:sz w:val="20"/>
              </w:rPr>
              <w:t xml:space="preserve">Изменение климата, в частности глобальное потепление и, как следствие, повышение засушливости климата.</w:t>
            </w:r>
          </w:p>
          <w:p>
            <w:pPr>
              <w:pStyle w:val="0"/>
              <w:jc w:val="both"/>
            </w:pPr>
            <w:r>
              <w:rPr>
                <w:sz w:val="20"/>
              </w:rPr>
            </w:r>
          </w:p>
          <w:p>
            <w:pPr>
              <w:pStyle w:val="0"/>
              <w:jc w:val="both"/>
            </w:pPr>
            <w:r>
              <w:rPr>
                <w:sz w:val="20"/>
              </w:rPr>
              <w:t xml:space="preserve">Экономический потенциал</w:t>
            </w:r>
          </w:p>
          <w:p>
            <w:pPr>
              <w:pStyle w:val="0"/>
              <w:jc w:val="both"/>
            </w:pPr>
            <w:r>
              <w:rPr>
                <w:sz w:val="20"/>
              </w:rPr>
            </w:r>
          </w:p>
          <w:p>
            <w:pPr>
              <w:pStyle w:val="0"/>
              <w:jc w:val="both"/>
            </w:pPr>
            <w:r>
              <w:rPr>
                <w:sz w:val="20"/>
              </w:rPr>
              <w:t xml:space="preserve">Зависимость от энергопотребления других регионов.</w:t>
            </w:r>
          </w:p>
          <w:p>
            <w:pPr>
              <w:pStyle w:val="0"/>
              <w:jc w:val="both"/>
            </w:pPr>
            <w:r>
              <w:rPr>
                <w:sz w:val="20"/>
              </w:rPr>
              <w:t xml:space="preserve">Технологическое отставание России от развитых стран с точки зрения формирования отраслей пятого и шестого технологических укладов и "Индустрии 4.0".</w:t>
            </w:r>
          </w:p>
          <w:p>
            <w:pPr>
              <w:pStyle w:val="0"/>
              <w:jc w:val="both"/>
            </w:pPr>
            <w:r>
              <w:rPr>
                <w:sz w:val="20"/>
              </w:rPr>
              <w:t xml:space="preserve">Развитие альтернативной энергетики в мире, снижение доли традиционной энергетики.</w:t>
            </w:r>
          </w:p>
          <w:p>
            <w:pPr>
              <w:pStyle w:val="0"/>
              <w:jc w:val="both"/>
            </w:pPr>
            <w:r>
              <w:rPr>
                <w:sz w:val="20"/>
              </w:rPr>
              <w:t xml:space="preserve">Рост доли неметаллических компонентов в сложной машиностроительной продукции (автомобили, авиакосмическая техника, электротехника и т.д.), что может привести к снижению спроса на металлургическое сырье, в том числе железную руду.</w:t>
            </w:r>
          </w:p>
          <w:p>
            <w:pPr>
              <w:pStyle w:val="0"/>
              <w:jc w:val="both"/>
            </w:pPr>
            <w:r>
              <w:rPr>
                <w:sz w:val="20"/>
              </w:rPr>
              <w:t xml:space="preserve">Замена черных металлов цветными металлами, полимерами, различными композиционными материалами.</w:t>
            </w:r>
          </w:p>
          <w:p>
            <w:pPr>
              <w:pStyle w:val="0"/>
              <w:jc w:val="both"/>
            </w:pPr>
            <w:r>
              <w:rPr>
                <w:sz w:val="20"/>
              </w:rPr>
              <w:t xml:space="preserve">Долгосрочное сохранение низких цен на энергоносители в условиях смены технологических укладов и роста доли альтернативных источников энергии в мире.</w:t>
            </w:r>
          </w:p>
          <w:p>
            <w:pPr>
              <w:pStyle w:val="0"/>
              <w:jc w:val="both"/>
            </w:pPr>
            <w:r>
              <w:rPr>
                <w:sz w:val="20"/>
              </w:rPr>
              <w:t xml:space="preserve">Постепенный переход от традиционных энергоресурсов, в том числе энергии, вырабатываемой на атомных электростанциях, к возобновляемым источникам энергии, таким как энергия солнца, ветра, биогаз, мини-гидроэлектростанции и др.</w:t>
            </w:r>
          </w:p>
          <w:p>
            <w:pPr>
              <w:pStyle w:val="0"/>
              <w:jc w:val="both"/>
            </w:pPr>
            <w:r>
              <w:rPr>
                <w:sz w:val="20"/>
              </w:rPr>
            </w:r>
          </w:p>
          <w:p>
            <w:pPr>
              <w:pStyle w:val="0"/>
              <w:jc w:val="both"/>
            </w:pPr>
            <w:r>
              <w:rPr>
                <w:sz w:val="20"/>
              </w:rPr>
              <w:t xml:space="preserve">Человеческий потенциал</w:t>
            </w:r>
          </w:p>
          <w:p>
            <w:pPr>
              <w:pStyle w:val="0"/>
              <w:jc w:val="both"/>
            </w:pPr>
            <w:r>
              <w:rPr>
                <w:sz w:val="20"/>
              </w:rPr>
            </w:r>
          </w:p>
          <w:p>
            <w:pPr>
              <w:pStyle w:val="0"/>
              <w:jc w:val="both"/>
            </w:pPr>
            <w:r>
              <w:rPr>
                <w:sz w:val="20"/>
              </w:rPr>
              <w:t xml:space="preserve">Демографический спад в Российской Федерации.</w:t>
            </w:r>
          </w:p>
          <w:p>
            <w:pPr>
              <w:pStyle w:val="0"/>
              <w:jc w:val="both"/>
            </w:pPr>
            <w:r>
              <w:rPr>
                <w:sz w:val="20"/>
              </w:rPr>
              <w:t xml:space="preserve">Миграционная убыль (с 2013 по 2016 гг. приток иностранных граждан большей частью обусловил политический кризис на Украине, который способствовал переселению украинских граждан в Курскую область до 2016 года включительно).</w:t>
            </w:r>
          </w:p>
          <w:p>
            <w:pPr>
              <w:pStyle w:val="0"/>
              <w:jc w:val="both"/>
            </w:pPr>
            <w:r>
              <w:rPr>
                <w:sz w:val="20"/>
              </w:rPr>
              <w:t xml:space="preserve">Ужесточение конкуренции за высококвалифицированную рабочую силу с регионами России и странами мира.</w:t>
            </w:r>
          </w:p>
          <w:p>
            <w:pPr>
              <w:pStyle w:val="0"/>
              <w:jc w:val="both"/>
            </w:pPr>
            <w:r>
              <w:rPr>
                <w:sz w:val="20"/>
              </w:rPr>
              <w:t xml:space="preserve">Отток наиболее квалифицированных кадров из регионов России в Москву и Санкт-Петербург, снижение качества миграционного притока в регион из других регионов России.</w:t>
            </w:r>
          </w:p>
          <w:p>
            <w:pPr>
              <w:pStyle w:val="0"/>
              <w:jc w:val="both"/>
            </w:pPr>
            <w:r>
              <w:rPr>
                <w:sz w:val="20"/>
              </w:rPr>
              <w:t xml:space="preserve">Цифровизация экономики, повышение уровня использования промышленных и сервисных роботов, рост технологической безработицы (современные технологии способны заменить до половины работников, выполняющих рутинные функции, что может привести к формированию групп населения, не участвующих в современных экономических процессах, так называемой "экономике незнания").</w:t>
            </w:r>
          </w:p>
          <w:p>
            <w:pPr>
              <w:pStyle w:val="0"/>
              <w:jc w:val="both"/>
            </w:pPr>
            <w:r>
              <w:rPr>
                <w:sz w:val="20"/>
              </w:rPr>
              <w:t xml:space="preserve">Тенденции увеличения численности населения старше трудоспособного возраста в России (с 32,8 млн. человек в 2012 году до 40,4 млн. человек к 2030 году) приведет к дальнейшему формированию рынков так называемой "серебряной" экономики.</w:t>
            </w:r>
          </w:p>
          <w:p>
            <w:pPr>
              <w:pStyle w:val="0"/>
              <w:jc w:val="both"/>
            </w:pPr>
            <w:r>
              <w:rPr>
                <w:sz w:val="20"/>
              </w:rPr>
              <w:t xml:space="preserve">Повышение уровня распространенности инфекционных и вирусных заболеваний, приводящее к снижению экономической активности населения и повышению уровня смертности.</w:t>
            </w:r>
          </w:p>
          <w:p>
            <w:pPr>
              <w:pStyle w:val="0"/>
              <w:jc w:val="both"/>
            </w:pPr>
            <w:r>
              <w:rPr>
                <w:sz w:val="20"/>
              </w:rPr>
            </w:r>
          </w:p>
          <w:p>
            <w:pPr>
              <w:pStyle w:val="0"/>
              <w:jc w:val="both"/>
            </w:pPr>
            <w:r>
              <w:rPr>
                <w:sz w:val="20"/>
              </w:rPr>
              <w:t xml:space="preserve">Управленческий потенциал</w:t>
            </w:r>
          </w:p>
          <w:p>
            <w:pPr>
              <w:pStyle w:val="0"/>
              <w:jc w:val="both"/>
            </w:pPr>
            <w:r>
              <w:rPr>
                <w:sz w:val="20"/>
              </w:rPr>
            </w:r>
          </w:p>
          <w:p>
            <w:pPr>
              <w:pStyle w:val="0"/>
              <w:jc w:val="both"/>
            </w:pPr>
            <w:r>
              <w:rPr>
                <w:sz w:val="20"/>
              </w:rPr>
              <w:t xml:space="preserve">Расширение технологических и экономических санкций со стороны европейских стран и стран Северной Америки.</w:t>
            </w:r>
          </w:p>
          <w:p>
            <w:pPr>
              <w:pStyle w:val="0"/>
              <w:jc w:val="both"/>
            </w:pPr>
            <w:r>
              <w:rPr>
                <w:sz w:val="20"/>
              </w:rPr>
              <w:t xml:space="preserve">Отмена сельскохозяйственных контрсанкций со стороны Российской Федерации.</w:t>
            </w:r>
          </w:p>
          <w:p>
            <w:pPr>
              <w:pStyle w:val="0"/>
              <w:jc w:val="both"/>
            </w:pPr>
            <w:r>
              <w:rPr>
                <w:sz w:val="20"/>
              </w:rPr>
              <w:t xml:space="preserve">Снижение объема дотаций и субсидий со стороны федерального бюджета.</w:t>
            </w:r>
          </w:p>
          <w:p>
            <w:pPr>
              <w:pStyle w:val="0"/>
              <w:jc w:val="both"/>
            </w:pPr>
            <w:r>
              <w:rPr>
                <w:sz w:val="20"/>
              </w:rPr>
              <w:t xml:space="preserve">Снижение объемов федеральной поддержки сельского хозяйства, в том числе на основе кредитования, прямого субсидирования, дотирования и пр.</w:t>
            </w:r>
          </w:p>
          <w:p>
            <w:pPr>
              <w:pStyle w:val="0"/>
              <w:jc w:val="both"/>
            </w:pPr>
            <w:r>
              <w:rPr>
                <w:sz w:val="20"/>
              </w:rPr>
              <w:t xml:space="preserve">Ужесточение экологического и технического регулирования отраслей промышленности, в первую очередь добывающих отраслей промышленности, экологически грязных обрабатывающих отраслей промышленности.</w:t>
            </w:r>
          </w:p>
          <w:p>
            <w:pPr>
              <w:pStyle w:val="0"/>
              <w:jc w:val="both"/>
            </w:pPr>
            <w:r>
              <w:rPr>
                <w:sz w:val="20"/>
              </w:rPr>
              <w:t xml:space="preserve">Снижение уровня доступности финансового капитала в инвестиционных целях, ужесточение политики Центрального банка в сфере обеспеченности банков капиталом, негативные тренды развития региональных банковских структур.</w:t>
            </w:r>
          </w:p>
          <w:p>
            <w:pPr>
              <w:pStyle w:val="0"/>
              <w:jc w:val="both"/>
            </w:pPr>
            <w:r>
              <w:rPr>
                <w:sz w:val="20"/>
              </w:rPr>
              <w:t xml:space="preserve">Изменение налогового законодательства, увеличение реальной налоговой нагрузки на предприятия, в том числе в добывающих и обрабатывающих отраслях промышленности, снижение налоговых льгот и субсидий в сельском хозяйстве</w:t>
            </w:r>
          </w:p>
        </w:tc>
      </w:tr>
    </w:tbl>
    <w:p>
      <w:pPr>
        <w:pStyle w:val="0"/>
        <w:jc w:val="both"/>
      </w:pPr>
      <w:r>
        <w:rPr>
          <w:sz w:val="20"/>
        </w:rPr>
      </w:r>
    </w:p>
    <w:p>
      <w:pPr>
        <w:pStyle w:val="0"/>
        <w:outlineLvl w:val="2"/>
        <w:jc w:val="right"/>
      </w:pPr>
      <w:r>
        <w:rPr>
          <w:sz w:val="20"/>
        </w:rPr>
        <w:t xml:space="preserve">Таблица N 2</w:t>
      </w:r>
    </w:p>
    <w:p>
      <w:pPr>
        <w:pStyle w:val="0"/>
        <w:jc w:val="both"/>
      </w:pPr>
      <w:r>
        <w:rPr>
          <w:sz w:val="20"/>
        </w:rPr>
      </w:r>
    </w:p>
    <w:p>
      <w:pPr>
        <w:pStyle w:val="2"/>
        <w:jc w:val="center"/>
      </w:pPr>
      <w:r>
        <w:rPr>
          <w:sz w:val="20"/>
        </w:rPr>
        <w:t xml:space="preserve">Матрица стратегий SWOT-анализа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17"/>
      </w:tblGrid>
      <w:tr>
        <w:tc>
          <w:tcPr>
            <w:tcW w:w="2098" w:type="dxa"/>
          </w:tcPr>
          <w:p>
            <w:pPr>
              <w:pStyle w:val="0"/>
              <w:jc w:val="both"/>
            </w:pPr>
            <w:r>
              <w:rPr>
                <w:sz w:val="20"/>
              </w:rPr>
              <w:t xml:space="preserve">"Сильные стороны - Возможности"</w:t>
            </w:r>
          </w:p>
          <w:p>
            <w:pPr>
              <w:pStyle w:val="0"/>
              <w:jc w:val="both"/>
            </w:pPr>
            <w:r>
              <w:rPr>
                <w:sz w:val="20"/>
              </w:rPr>
              <w:t xml:space="preserve">(использование сильных сторон для увеличения возможностей)</w:t>
            </w:r>
          </w:p>
        </w:tc>
        <w:tc>
          <w:tcPr>
            <w:tcW w:w="6917" w:type="dxa"/>
          </w:tcPr>
          <w:p>
            <w:pPr>
              <w:pStyle w:val="0"/>
              <w:jc w:val="both"/>
            </w:pPr>
            <w:r>
              <w:rPr>
                <w:sz w:val="20"/>
              </w:rPr>
              <w:t xml:space="preserve">Пространственный потенциал</w:t>
            </w:r>
          </w:p>
          <w:p>
            <w:pPr>
              <w:pStyle w:val="0"/>
            </w:pPr>
            <w:r>
              <w:rPr>
                <w:sz w:val="20"/>
              </w:rPr>
            </w:r>
          </w:p>
          <w:p>
            <w:pPr>
              <w:pStyle w:val="0"/>
              <w:jc w:val="both"/>
            </w:pPr>
            <w:r>
              <w:rPr>
                <w:sz w:val="20"/>
              </w:rPr>
              <w:t xml:space="preserve">Реализация проектов, связанных с использованием агломерационных эффектов (Курская городская агломерация, Курско-Белгородская конурбация).</w:t>
            </w:r>
          </w:p>
          <w:p>
            <w:pPr>
              <w:pStyle w:val="0"/>
              <w:jc w:val="both"/>
            </w:pPr>
            <w:r>
              <w:rPr>
                <w:sz w:val="20"/>
              </w:rPr>
              <w:t xml:space="preserve">Развитие межрегионального и международного сотрудничества, в том числе выход с совместными инициативами с другими регионами по созданию транспортных и иных коридоров с учетом снижения транспортного сообщения с Украиной (линии Санкт-Петербург - Гомель - Брянск - Курск).</w:t>
            </w:r>
          </w:p>
          <w:p>
            <w:pPr>
              <w:pStyle w:val="0"/>
            </w:pPr>
            <w:r>
              <w:rPr>
                <w:sz w:val="20"/>
              </w:rPr>
            </w:r>
          </w:p>
          <w:p>
            <w:pPr>
              <w:pStyle w:val="0"/>
              <w:jc w:val="both"/>
            </w:pPr>
            <w:r>
              <w:rPr>
                <w:sz w:val="20"/>
              </w:rPr>
              <w:t xml:space="preserve">Природно-экологический потенциал</w:t>
            </w:r>
          </w:p>
          <w:p>
            <w:pPr>
              <w:pStyle w:val="0"/>
            </w:pPr>
            <w:r>
              <w:rPr>
                <w:sz w:val="20"/>
              </w:rPr>
            </w:r>
          </w:p>
          <w:p>
            <w:pPr>
              <w:pStyle w:val="0"/>
              <w:jc w:val="both"/>
            </w:pPr>
            <w:r>
              <w:rPr>
                <w:sz w:val="20"/>
              </w:rPr>
              <w:t xml:space="preserve">Использование туристических и рекреационных возможностей, продвижение регионального туристического продукта в условиях развития российского внутреннего туристического рынка (в связи с ослаблением рубля и сохранением относительно низких цен на нефть).</w:t>
            </w:r>
          </w:p>
          <w:p>
            <w:pPr>
              <w:pStyle w:val="0"/>
              <w:jc w:val="both"/>
            </w:pPr>
            <w:r>
              <w:rPr>
                <w:sz w:val="20"/>
              </w:rPr>
              <w:t xml:space="preserve">Формирование комплексных туристических продуктов (оздоровление, питание, развлечения и т.д.).</w:t>
            </w:r>
          </w:p>
          <w:p>
            <w:pPr>
              <w:pStyle w:val="0"/>
              <w:jc w:val="both"/>
            </w:pPr>
            <w:r>
              <w:rPr>
                <w:sz w:val="20"/>
              </w:rPr>
              <w:t xml:space="preserve">Использование благоприятных природно-климатических возможностей для привлечения населения из экологически и климатически неблагоприятных регионов России.</w:t>
            </w:r>
          </w:p>
          <w:p>
            <w:pPr>
              <w:pStyle w:val="0"/>
              <w:jc w:val="both"/>
            </w:pPr>
            <w:r>
              <w:rPr>
                <w:sz w:val="20"/>
              </w:rPr>
              <w:t xml:space="preserve">Развитие и совершенствование системы обращения с твердыми коммунальными отходами.</w:t>
            </w:r>
          </w:p>
          <w:p>
            <w:pPr>
              <w:pStyle w:val="0"/>
              <w:jc w:val="both"/>
            </w:pPr>
            <w:r>
              <w:rPr>
                <w:sz w:val="20"/>
              </w:rPr>
              <w:t xml:space="preserve">Утилизация ядохимикатов и других опасных отходов.</w:t>
            </w:r>
          </w:p>
          <w:p>
            <w:pPr>
              <w:pStyle w:val="0"/>
              <w:jc w:val="both"/>
            </w:pPr>
            <w:r>
              <w:rPr>
                <w:sz w:val="20"/>
              </w:rPr>
              <w:t xml:space="preserve">Капитальный ремонт гидротехнических сооружений.</w:t>
            </w:r>
          </w:p>
          <w:p>
            <w:pPr>
              <w:pStyle w:val="0"/>
              <w:jc w:val="both"/>
            </w:pPr>
            <w:r>
              <w:rPr>
                <w:sz w:val="20"/>
              </w:rPr>
              <w:t xml:space="preserve">Мониторинг водных объектов.</w:t>
            </w:r>
          </w:p>
          <w:p>
            <w:pPr>
              <w:pStyle w:val="0"/>
              <w:jc w:val="both"/>
            </w:pPr>
            <w:r>
              <w:rPr>
                <w:sz w:val="20"/>
              </w:rPr>
              <w:t xml:space="preserve">Создание особо охраняемых природных территорий регионального значения и реализация регионального проекта "Сохранение уникальных водных объектов на территории Курской области".</w:t>
            </w:r>
          </w:p>
          <w:p>
            <w:pPr>
              <w:pStyle w:val="0"/>
            </w:pPr>
            <w:r>
              <w:rPr>
                <w:sz w:val="20"/>
              </w:rPr>
            </w:r>
          </w:p>
          <w:p>
            <w:pPr>
              <w:pStyle w:val="0"/>
              <w:jc w:val="both"/>
            </w:pPr>
            <w:r>
              <w:rPr>
                <w:sz w:val="20"/>
              </w:rPr>
              <w:t xml:space="preserve">Экономический потенциал</w:t>
            </w:r>
          </w:p>
          <w:p>
            <w:pPr>
              <w:pStyle w:val="0"/>
            </w:pPr>
            <w:r>
              <w:rPr>
                <w:sz w:val="20"/>
              </w:rPr>
            </w:r>
          </w:p>
          <w:p>
            <w:pPr>
              <w:pStyle w:val="0"/>
              <w:jc w:val="both"/>
            </w:pPr>
            <w:r>
              <w:rPr>
                <w:sz w:val="20"/>
              </w:rPr>
              <w:t xml:space="preserve">Формирование высокотехнологичной экологоориентированной экономики.</w:t>
            </w:r>
          </w:p>
          <w:p>
            <w:pPr>
              <w:pStyle w:val="0"/>
              <w:jc w:val="both"/>
            </w:pPr>
            <w:r>
              <w:rPr>
                <w:sz w:val="20"/>
              </w:rPr>
              <w:t xml:space="preserve">Внедрение современных инструментов промышленной политики, формирование кластеров.</w:t>
            </w:r>
          </w:p>
          <w:p>
            <w:pPr>
              <w:pStyle w:val="0"/>
              <w:jc w:val="both"/>
            </w:pPr>
            <w:r>
              <w:rPr>
                <w:sz w:val="20"/>
              </w:rPr>
              <w:t xml:space="preserve">Стимулирование выхода местных производителей пищевой продукции на рынки сетевых магазинов России, а также на быстрорастущие рынки экологически чистых продуктов питания, выход Курской области на быстрорастущие мировые рынки здорового питания и органической продукции.</w:t>
            </w:r>
          </w:p>
          <w:p>
            <w:pPr>
              <w:pStyle w:val="0"/>
              <w:jc w:val="both"/>
            </w:pPr>
            <w:r>
              <w:rPr>
                <w:sz w:val="20"/>
              </w:rPr>
              <w:t xml:space="preserve">Развитие производства молочной продукции.</w:t>
            </w:r>
          </w:p>
          <w:p>
            <w:pPr>
              <w:pStyle w:val="0"/>
              <w:jc w:val="both"/>
            </w:pPr>
            <w:r>
              <w:rPr>
                <w:sz w:val="20"/>
              </w:rPr>
              <w:t xml:space="preserve">Участие в государственном оборонном заказе.</w:t>
            </w:r>
          </w:p>
          <w:p>
            <w:pPr>
              <w:pStyle w:val="0"/>
            </w:pPr>
            <w:r>
              <w:rPr>
                <w:sz w:val="20"/>
              </w:rPr>
            </w:r>
          </w:p>
          <w:p>
            <w:pPr>
              <w:pStyle w:val="0"/>
              <w:jc w:val="both"/>
            </w:pPr>
            <w:r>
              <w:rPr>
                <w:sz w:val="20"/>
              </w:rPr>
              <w:t xml:space="preserve">Человеческий потенциал</w:t>
            </w:r>
          </w:p>
          <w:p>
            <w:pPr>
              <w:pStyle w:val="0"/>
            </w:pPr>
            <w:r>
              <w:rPr>
                <w:sz w:val="20"/>
              </w:rPr>
            </w:r>
          </w:p>
          <w:p>
            <w:pPr>
              <w:pStyle w:val="0"/>
              <w:jc w:val="both"/>
            </w:pPr>
            <w:r>
              <w:rPr>
                <w:sz w:val="20"/>
              </w:rPr>
              <w:t xml:space="preserve">Развитие научно-образовательного комплекса, развитие инженерных кадров.</w:t>
            </w:r>
          </w:p>
          <w:p>
            <w:pPr>
              <w:pStyle w:val="0"/>
              <w:jc w:val="both"/>
            </w:pPr>
            <w:r>
              <w:rPr>
                <w:sz w:val="20"/>
              </w:rPr>
              <w:t xml:space="preserve">Формирование компетенций с учетом модернизации армии и развития передовых военных технологий.</w:t>
            </w:r>
          </w:p>
          <w:p>
            <w:pPr>
              <w:pStyle w:val="0"/>
              <w:jc w:val="both"/>
            </w:pPr>
            <w:r>
              <w:rPr>
                <w:sz w:val="20"/>
              </w:rPr>
              <w:t xml:space="preserve">Привлечение высококвалифицированных кадров в ведущие университеты Курской области, конкурентоспособные на федеральном уровне.</w:t>
            </w:r>
          </w:p>
          <w:p>
            <w:pPr>
              <w:pStyle w:val="0"/>
              <w:jc w:val="both"/>
            </w:pPr>
            <w:r>
              <w:rPr>
                <w:sz w:val="20"/>
              </w:rPr>
              <w:t xml:space="preserve">Развитие технологического предпринимательства на основе крупных технических вузов и профессиональных училищ.</w:t>
            </w:r>
          </w:p>
          <w:p>
            <w:pPr>
              <w:pStyle w:val="0"/>
              <w:jc w:val="both"/>
            </w:pPr>
            <w:r>
              <w:rPr>
                <w:sz w:val="20"/>
              </w:rPr>
              <w:t xml:space="preserve">Развитие молодежного творчества, развитие фаблабов, центров технологических компетенций, непрерывного технического образования.</w:t>
            </w:r>
          </w:p>
          <w:p>
            <w:pPr>
              <w:pStyle w:val="0"/>
              <w:jc w:val="both"/>
            </w:pPr>
            <w:r>
              <w:rPr>
                <w:sz w:val="20"/>
              </w:rPr>
              <w:t xml:space="preserve">Активное участие Курской области в Национальной технологической инициативе.</w:t>
            </w:r>
          </w:p>
          <w:p>
            <w:pPr>
              <w:pStyle w:val="0"/>
              <w:jc w:val="both"/>
            </w:pPr>
            <w:r>
              <w:rPr>
                <w:sz w:val="20"/>
              </w:rPr>
              <w:t xml:space="preserve">Формирование единого образа региона и увеличение туристического потока.</w:t>
            </w:r>
          </w:p>
          <w:p>
            <w:pPr>
              <w:pStyle w:val="0"/>
            </w:pPr>
            <w:r>
              <w:rPr>
                <w:sz w:val="20"/>
              </w:rPr>
            </w:r>
          </w:p>
          <w:p>
            <w:pPr>
              <w:pStyle w:val="0"/>
              <w:jc w:val="both"/>
            </w:pPr>
            <w:r>
              <w:rPr>
                <w:sz w:val="20"/>
              </w:rPr>
              <w:t xml:space="preserve">Управленческий потенциал</w:t>
            </w:r>
          </w:p>
          <w:p>
            <w:pPr>
              <w:pStyle w:val="0"/>
            </w:pPr>
            <w:r>
              <w:rPr>
                <w:sz w:val="20"/>
              </w:rPr>
            </w:r>
          </w:p>
          <w:p>
            <w:pPr>
              <w:pStyle w:val="0"/>
              <w:jc w:val="both"/>
            </w:pPr>
            <w:r>
              <w:rPr>
                <w:sz w:val="20"/>
              </w:rPr>
              <w:t xml:space="preserve">Кооперация с другими регионами и выход с инициативами на федеральный уровень о реализации крупнейших инфраструктурных межрегиональных проектов, в том числе транспортных коридоров в обход Украины.</w:t>
            </w:r>
          </w:p>
          <w:p>
            <w:pPr>
              <w:pStyle w:val="0"/>
              <w:jc w:val="both"/>
            </w:pPr>
            <w:r>
              <w:rPr>
                <w:sz w:val="20"/>
              </w:rPr>
              <w:t xml:space="preserve">Участие в реализации приоритетных национальных проектов с учетом сильных сторон Курской области</w:t>
            </w:r>
          </w:p>
        </w:tc>
      </w:tr>
      <w:tr>
        <w:tc>
          <w:tcPr>
            <w:tcW w:w="2098" w:type="dxa"/>
          </w:tcPr>
          <w:p>
            <w:pPr>
              <w:pStyle w:val="0"/>
              <w:jc w:val="both"/>
            </w:pPr>
            <w:r>
              <w:rPr>
                <w:sz w:val="20"/>
              </w:rPr>
              <w:t xml:space="preserve">"Сильные стороны - Угрозы"</w:t>
            </w:r>
          </w:p>
          <w:p>
            <w:pPr>
              <w:pStyle w:val="0"/>
              <w:jc w:val="both"/>
            </w:pPr>
            <w:r>
              <w:rPr>
                <w:sz w:val="20"/>
              </w:rPr>
              <w:t xml:space="preserve">(использование сильных сторон во избежание угроз)</w:t>
            </w:r>
          </w:p>
        </w:tc>
        <w:tc>
          <w:tcPr>
            <w:tcW w:w="6917" w:type="dxa"/>
          </w:tcPr>
          <w:p>
            <w:pPr>
              <w:pStyle w:val="0"/>
              <w:jc w:val="both"/>
            </w:pPr>
            <w:r>
              <w:rPr>
                <w:sz w:val="20"/>
              </w:rPr>
              <w:t xml:space="preserve">Пространственный потенциал</w:t>
            </w:r>
          </w:p>
          <w:p>
            <w:pPr>
              <w:pStyle w:val="0"/>
            </w:pPr>
            <w:r>
              <w:rPr>
                <w:sz w:val="20"/>
              </w:rPr>
            </w:r>
          </w:p>
          <w:p>
            <w:pPr>
              <w:pStyle w:val="0"/>
              <w:jc w:val="both"/>
            </w:pPr>
            <w:r>
              <w:rPr>
                <w:sz w:val="20"/>
              </w:rPr>
              <w:t xml:space="preserve">Реализация новейших подходов к развитию городской среды (город человеческого масштаба, снижение этажности, реализация концепции пешеходного города и других).</w:t>
            </w:r>
          </w:p>
          <w:p>
            <w:pPr>
              <w:pStyle w:val="0"/>
              <w:jc w:val="both"/>
            </w:pPr>
            <w:r>
              <w:rPr>
                <w:sz w:val="20"/>
              </w:rPr>
              <w:t xml:space="preserve">Создание систем скоростного экологически чистого транспорта в городских округах Курской области.</w:t>
            </w:r>
          </w:p>
          <w:p>
            <w:pPr>
              <w:pStyle w:val="0"/>
              <w:jc w:val="both"/>
            </w:pPr>
            <w:r>
              <w:rPr>
                <w:sz w:val="20"/>
              </w:rPr>
              <w:t xml:space="preserve">Реализация подхода умной специализации для каждого муниципального образования.</w:t>
            </w:r>
          </w:p>
          <w:p>
            <w:pPr>
              <w:pStyle w:val="0"/>
              <w:jc w:val="both"/>
            </w:pPr>
            <w:r>
              <w:rPr>
                <w:sz w:val="20"/>
              </w:rPr>
              <w:t xml:space="preserve">Разработка и реализация стратегий развития муниципальных образований, разработка мер, направленных на удержание населения и привлечение высококвалифицированных кадров в муниципалитеты.</w:t>
            </w:r>
          </w:p>
          <w:p>
            <w:pPr>
              <w:pStyle w:val="0"/>
            </w:pPr>
            <w:r>
              <w:rPr>
                <w:sz w:val="20"/>
              </w:rPr>
            </w:r>
          </w:p>
          <w:p>
            <w:pPr>
              <w:pStyle w:val="0"/>
              <w:jc w:val="both"/>
            </w:pPr>
            <w:r>
              <w:rPr>
                <w:sz w:val="20"/>
              </w:rPr>
              <w:t xml:space="preserve">Природно-экологический потенциал</w:t>
            </w:r>
          </w:p>
          <w:p>
            <w:pPr>
              <w:pStyle w:val="0"/>
            </w:pPr>
            <w:r>
              <w:rPr>
                <w:sz w:val="20"/>
              </w:rPr>
            </w:r>
          </w:p>
          <w:p>
            <w:pPr>
              <w:pStyle w:val="0"/>
              <w:jc w:val="both"/>
            </w:pPr>
            <w:r>
              <w:rPr>
                <w:sz w:val="20"/>
              </w:rPr>
              <w:t xml:space="preserve">Активное участие в приоритетных национальных проектах, в том числе в национальном проекте "Экология", разработка предложений и проектов, направленных на улучшение состояния почв регионов Черноземья.</w:t>
            </w:r>
          </w:p>
          <w:p>
            <w:pPr>
              <w:pStyle w:val="0"/>
              <w:jc w:val="both"/>
            </w:pPr>
            <w:r>
              <w:rPr>
                <w:sz w:val="20"/>
              </w:rPr>
              <w:t xml:space="preserve">Реализация концепции экогорода в городских округах.</w:t>
            </w:r>
          </w:p>
          <w:p>
            <w:pPr>
              <w:pStyle w:val="0"/>
              <w:jc w:val="both"/>
            </w:pPr>
            <w:r>
              <w:rPr>
                <w:sz w:val="20"/>
              </w:rPr>
              <w:t xml:space="preserve">Реализация современной экологической политики (экологизация поведения населения, запрет пластика (направлено на максимальное его сокращение в составе отходов производства и потребления), раздельный сбор мусора и другие).</w:t>
            </w:r>
          </w:p>
          <w:p>
            <w:pPr>
              <w:pStyle w:val="0"/>
              <w:jc w:val="both"/>
            </w:pPr>
            <w:r>
              <w:rPr>
                <w:sz w:val="20"/>
              </w:rPr>
              <w:t xml:space="preserve">Внедрение технологий бережливого производства, развитие экологически чистых технологий в жилищно-коммунальном хозяйстве.</w:t>
            </w:r>
          </w:p>
          <w:p>
            <w:pPr>
              <w:pStyle w:val="0"/>
              <w:jc w:val="both"/>
            </w:pPr>
            <w:r>
              <w:rPr>
                <w:sz w:val="20"/>
              </w:rPr>
              <w:t xml:space="preserve">Обеспечение учета потребностей пожилых людей ("серебряной" экономики), продвижение участков и домов в сельской местности как комфортной среды для жизни пожилых людей, развитие санаториев, решение проблем, связанных с продолжающейся депопуляцией сельской местности, использование благоприятных природно-климатических условий Курской области и потенциала ее сельских территорий для проживания.</w:t>
            </w:r>
          </w:p>
          <w:p>
            <w:pPr>
              <w:pStyle w:val="0"/>
            </w:pPr>
            <w:r>
              <w:rPr>
                <w:sz w:val="20"/>
              </w:rPr>
            </w:r>
          </w:p>
          <w:p>
            <w:pPr>
              <w:pStyle w:val="0"/>
              <w:jc w:val="both"/>
            </w:pPr>
            <w:r>
              <w:rPr>
                <w:sz w:val="20"/>
              </w:rPr>
              <w:t xml:space="preserve">Экономический потенциал</w:t>
            </w:r>
          </w:p>
          <w:p>
            <w:pPr>
              <w:pStyle w:val="0"/>
            </w:pPr>
            <w:r>
              <w:rPr>
                <w:sz w:val="20"/>
              </w:rPr>
            </w:r>
          </w:p>
          <w:p>
            <w:pPr>
              <w:pStyle w:val="0"/>
              <w:jc w:val="both"/>
            </w:pPr>
            <w:r>
              <w:rPr>
                <w:sz w:val="20"/>
              </w:rPr>
              <w:t xml:space="preserve">Диверсификация деятельности существующих эффективно работающих предприятий.</w:t>
            </w:r>
          </w:p>
          <w:p>
            <w:pPr>
              <w:pStyle w:val="0"/>
              <w:jc w:val="both"/>
            </w:pPr>
            <w:r>
              <w:rPr>
                <w:sz w:val="20"/>
              </w:rPr>
              <w:t xml:space="preserve">Реализация проектов и программ модернизации производства крупных компаний.</w:t>
            </w:r>
          </w:p>
          <w:p>
            <w:pPr>
              <w:pStyle w:val="0"/>
              <w:jc w:val="both"/>
            </w:pPr>
            <w:r>
              <w:rPr>
                <w:sz w:val="20"/>
              </w:rPr>
              <w:t xml:space="preserve">Создание условий для повышения равномерности развития обрабатывающих производств и производств с высокой добавленной стоимостью на территории Курской области.</w:t>
            </w:r>
          </w:p>
          <w:p>
            <w:pPr>
              <w:pStyle w:val="0"/>
              <w:jc w:val="both"/>
            </w:pPr>
            <w:r>
              <w:rPr>
                <w:sz w:val="20"/>
              </w:rPr>
              <w:t xml:space="preserve">Привлечение инвестиций в депрессивные территории.</w:t>
            </w:r>
          </w:p>
          <w:p>
            <w:pPr>
              <w:pStyle w:val="0"/>
              <w:jc w:val="both"/>
            </w:pPr>
            <w:r>
              <w:rPr>
                <w:sz w:val="20"/>
              </w:rPr>
              <w:t xml:space="preserve">Развитие региональных инструментов поддержки сельского хозяйства.</w:t>
            </w:r>
          </w:p>
          <w:p>
            <w:pPr>
              <w:pStyle w:val="0"/>
              <w:jc w:val="both"/>
            </w:pPr>
            <w:r>
              <w:rPr>
                <w:sz w:val="20"/>
              </w:rPr>
              <w:t xml:space="preserve">Внедрение перспективных технологий производства искусственных тканей из продукции сельского хозяйства (в частности, из сахарной свеклы) и экологически чистой упаковки (из зерновых).</w:t>
            </w:r>
          </w:p>
          <w:p>
            <w:pPr>
              <w:pStyle w:val="0"/>
              <w:jc w:val="both"/>
            </w:pPr>
            <w:r>
              <w:rPr>
                <w:sz w:val="20"/>
              </w:rPr>
              <w:t xml:space="preserve">Внедрение новых технологий (в том числе автопилотируемой сельскохозяйственной техники, систем мониторинга и наблюдения).</w:t>
            </w:r>
          </w:p>
          <w:p>
            <w:pPr>
              <w:pStyle w:val="0"/>
            </w:pPr>
            <w:r>
              <w:rPr>
                <w:sz w:val="20"/>
              </w:rPr>
            </w:r>
          </w:p>
          <w:p>
            <w:pPr>
              <w:pStyle w:val="0"/>
              <w:jc w:val="both"/>
            </w:pPr>
            <w:r>
              <w:rPr>
                <w:sz w:val="20"/>
              </w:rPr>
              <w:t xml:space="preserve">Человеческий потенциал</w:t>
            </w:r>
          </w:p>
          <w:p>
            <w:pPr>
              <w:pStyle w:val="0"/>
            </w:pPr>
            <w:r>
              <w:rPr>
                <w:sz w:val="20"/>
              </w:rPr>
            </w:r>
          </w:p>
          <w:p>
            <w:pPr>
              <w:pStyle w:val="0"/>
              <w:jc w:val="both"/>
            </w:pPr>
            <w:r>
              <w:rPr>
                <w:sz w:val="20"/>
              </w:rPr>
              <w:t xml:space="preserve">Создание условий для развития университетов, создания кампусов, технологических долин и инновационных центров.</w:t>
            </w:r>
          </w:p>
          <w:p>
            <w:pPr>
              <w:pStyle w:val="0"/>
              <w:jc w:val="both"/>
            </w:pPr>
            <w:r>
              <w:rPr>
                <w:sz w:val="20"/>
              </w:rPr>
              <w:t xml:space="preserve">Реализация приоритетных национальных проектов, направленных на развитие человеческого потенциала.</w:t>
            </w:r>
          </w:p>
          <w:p>
            <w:pPr>
              <w:pStyle w:val="0"/>
              <w:jc w:val="both"/>
            </w:pPr>
            <w:r>
              <w:rPr>
                <w:sz w:val="20"/>
              </w:rPr>
              <w:t xml:space="preserve">Строительство, модернизация и расширение мощностей Курской АЭС, как следствие - приток квалифицированного персонала в регион.</w:t>
            </w:r>
          </w:p>
          <w:p>
            <w:pPr>
              <w:pStyle w:val="0"/>
              <w:jc w:val="both"/>
            </w:pPr>
            <w:r>
              <w:rPr>
                <w:sz w:val="20"/>
              </w:rPr>
              <w:t xml:space="preserve">Развитие новой системы здравоохранения и формирование медицинского кластера. Развитие медицинского туризма и санаторно-курортной сферы.</w:t>
            </w:r>
          </w:p>
          <w:p>
            <w:pPr>
              <w:pStyle w:val="0"/>
              <w:jc w:val="both"/>
            </w:pPr>
            <w:r>
              <w:rPr>
                <w:sz w:val="20"/>
              </w:rPr>
              <w:t xml:space="preserve">Развитие секторов экономики, ориентированных на потребности пожилых людей: автоматизация ухода за пожилыми гражданами, специализированные услуги, подбор специализированных продуктов и лекарственных средств.</w:t>
            </w:r>
          </w:p>
          <w:p>
            <w:pPr>
              <w:pStyle w:val="0"/>
              <w:jc w:val="both"/>
            </w:pPr>
            <w:r>
              <w:rPr>
                <w:sz w:val="20"/>
              </w:rPr>
              <w:t xml:space="preserve">Развитие системы персонализированной медицины, телемедицины и удаленного контроля за состоянием здоровья, развитием поставщиков услуг для пожилых людей (клубы и кружки, учебные курсы, вакансии, туры, лекции и вечеринки).</w:t>
            </w:r>
          </w:p>
          <w:p>
            <w:pPr>
              <w:pStyle w:val="0"/>
            </w:pPr>
            <w:r>
              <w:rPr>
                <w:sz w:val="20"/>
              </w:rPr>
            </w:r>
          </w:p>
          <w:p>
            <w:pPr>
              <w:pStyle w:val="0"/>
              <w:jc w:val="both"/>
            </w:pPr>
            <w:r>
              <w:rPr>
                <w:sz w:val="20"/>
              </w:rPr>
              <w:t xml:space="preserve">Управленческий потенциал</w:t>
            </w:r>
          </w:p>
          <w:p>
            <w:pPr>
              <w:pStyle w:val="0"/>
            </w:pPr>
            <w:r>
              <w:rPr>
                <w:sz w:val="20"/>
              </w:rPr>
            </w:r>
          </w:p>
          <w:p>
            <w:pPr>
              <w:pStyle w:val="0"/>
              <w:jc w:val="both"/>
            </w:pPr>
            <w:r>
              <w:rPr>
                <w:sz w:val="20"/>
              </w:rPr>
              <w:t xml:space="preserve">Создание стратегических советов при главах муниципальных образований для решения стратегических вопросов, а не только текущих задач</w:t>
            </w:r>
          </w:p>
        </w:tc>
      </w:tr>
      <w:tr>
        <w:tc>
          <w:tcPr>
            <w:tcW w:w="2098" w:type="dxa"/>
          </w:tcPr>
          <w:p>
            <w:pPr>
              <w:pStyle w:val="0"/>
              <w:jc w:val="both"/>
            </w:pPr>
            <w:r>
              <w:rPr>
                <w:sz w:val="20"/>
              </w:rPr>
              <w:t xml:space="preserve">"Слабые стороны - Возможности"</w:t>
            </w:r>
          </w:p>
          <w:p>
            <w:pPr>
              <w:pStyle w:val="0"/>
              <w:jc w:val="both"/>
            </w:pPr>
            <w:r>
              <w:rPr>
                <w:sz w:val="20"/>
              </w:rPr>
              <w:t xml:space="preserve">(преодоление слабых сторон и использование представленных возможностей)</w:t>
            </w:r>
          </w:p>
        </w:tc>
        <w:tc>
          <w:tcPr>
            <w:tcW w:w="6917" w:type="dxa"/>
          </w:tcPr>
          <w:p>
            <w:pPr>
              <w:pStyle w:val="0"/>
              <w:jc w:val="both"/>
            </w:pPr>
            <w:r>
              <w:rPr>
                <w:sz w:val="20"/>
              </w:rPr>
              <w:t xml:space="preserve">Пространственный потенциал</w:t>
            </w:r>
          </w:p>
          <w:p>
            <w:pPr>
              <w:pStyle w:val="0"/>
            </w:pPr>
            <w:r>
              <w:rPr>
                <w:sz w:val="20"/>
              </w:rPr>
            </w:r>
          </w:p>
          <w:p>
            <w:pPr>
              <w:pStyle w:val="0"/>
              <w:jc w:val="both"/>
            </w:pPr>
            <w:r>
              <w:rPr>
                <w:sz w:val="20"/>
              </w:rPr>
              <w:t xml:space="preserve">Активизация межрегионального взаимодействия, поставка товаров на рынки крупнейших агломераций России.</w:t>
            </w:r>
          </w:p>
          <w:p>
            <w:pPr>
              <w:pStyle w:val="0"/>
              <w:jc w:val="both"/>
            </w:pPr>
            <w:r>
              <w:rPr>
                <w:sz w:val="20"/>
              </w:rPr>
              <w:t xml:space="preserve">Реализация программы "Комфортная среда" в региональном центре и малых городах Курской области.</w:t>
            </w:r>
          </w:p>
          <w:p>
            <w:pPr>
              <w:pStyle w:val="0"/>
              <w:jc w:val="both"/>
            </w:pPr>
            <w:r>
              <w:rPr>
                <w:sz w:val="20"/>
              </w:rPr>
              <w:t xml:space="preserve">Реализация новейших градостроительных практик и подходов к развитию городской среды, создание общественных пространств для повышения комфортности проживания, а также развитие новых технологий "умного города".</w:t>
            </w:r>
          </w:p>
          <w:p>
            <w:pPr>
              <w:pStyle w:val="0"/>
            </w:pPr>
            <w:r>
              <w:rPr>
                <w:sz w:val="20"/>
              </w:rPr>
            </w:r>
          </w:p>
          <w:p>
            <w:pPr>
              <w:pStyle w:val="0"/>
              <w:jc w:val="both"/>
            </w:pPr>
            <w:r>
              <w:rPr>
                <w:sz w:val="20"/>
              </w:rPr>
              <w:t xml:space="preserve">Природно-экологический потенциал</w:t>
            </w:r>
          </w:p>
          <w:p>
            <w:pPr>
              <w:pStyle w:val="0"/>
            </w:pPr>
            <w:r>
              <w:rPr>
                <w:sz w:val="20"/>
              </w:rPr>
            </w:r>
          </w:p>
          <w:p>
            <w:pPr>
              <w:pStyle w:val="0"/>
              <w:jc w:val="both"/>
            </w:pPr>
            <w:r>
              <w:rPr>
                <w:sz w:val="20"/>
              </w:rPr>
              <w:t xml:space="preserve">Развитие различных видов туризма, создание туристического кластера.</w:t>
            </w:r>
          </w:p>
          <w:p>
            <w:pPr>
              <w:pStyle w:val="0"/>
              <w:jc w:val="both"/>
            </w:pPr>
            <w:r>
              <w:rPr>
                <w:sz w:val="20"/>
              </w:rPr>
              <w:t xml:space="preserve">Повышение туристической привлекательности.</w:t>
            </w:r>
          </w:p>
          <w:p>
            <w:pPr>
              <w:pStyle w:val="0"/>
              <w:jc w:val="both"/>
            </w:pPr>
            <w:r>
              <w:rPr>
                <w:sz w:val="20"/>
              </w:rPr>
              <w:t xml:space="preserve">Внедрение энергосберегающих технологий в жилищно-коммунальном хозяйстве.</w:t>
            </w:r>
          </w:p>
          <w:p>
            <w:pPr>
              <w:pStyle w:val="0"/>
            </w:pPr>
            <w:r>
              <w:rPr>
                <w:sz w:val="20"/>
              </w:rPr>
            </w:r>
          </w:p>
          <w:p>
            <w:pPr>
              <w:pStyle w:val="0"/>
              <w:jc w:val="both"/>
            </w:pPr>
            <w:r>
              <w:rPr>
                <w:sz w:val="20"/>
              </w:rPr>
              <w:t xml:space="preserve">Экономический потенциал</w:t>
            </w:r>
          </w:p>
          <w:p>
            <w:pPr>
              <w:pStyle w:val="0"/>
            </w:pPr>
            <w:r>
              <w:rPr>
                <w:sz w:val="20"/>
              </w:rPr>
            </w:r>
          </w:p>
          <w:p>
            <w:pPr>
              <w:pStyle w:val="0"/>
              <w:jc w:val="both"/>
            </w:pPr>
            <w:r>
              <w:rPr>
                <w:sz w:val="20"/>
              </w:rPr>
              <w:t xml:space="preserve">Участие в процессах импортозамещения в Российской Федерации, в том числе в агропромышленном комплексе.</w:t>
            </w:r>
          </w:p>
          <w:p>
            <w:pPr>
              <w:pStyle w:val="0"/>
              <w:jc w:val="both"/>
            </w:pPr>
            <w:r>
              <w:rPr>
                <w:sz w:val="20"/>
              </w:rPr>
              <w:t xml:space="preserve">Реализация современных подходов к повышению инвестиционной привлекательности региона, развитие инфраструктуры поддержки предпринимательства.</w:t>
            </w:r>
          </w:p>
          <w:p>
            <w:pPr>
              <w:pStyle w:val="0"/>
              <w:jc w:val="both"/>
            </w:pPr>
            <w:r>
              <w:rPr>
                <w:sz w:val="20"/>
              </w:rPr>
              <w:t xml:space="preserve">Использование новых "зеленых" технологий по повышению продуктивности сельского хозяйства.</w:t>
            </w:r>
          </w:p>
          <w:p>
            <w:pPr>
              <w:pStyle w:val="0"/>
            </w:pPr>
            <w:r>
              <w:rPr>
                <w:sz w:val="20"/>
              </w:rPr>
            </w:r>
          </w:p>
          <w:p>
            <w:pPr>
              <w:pStyle w:val="0"/>
              <w:jc w:val="both"/>
            </w:pPr>
            <w:r>
              <w:rPr>
                <w:sz w:val="20"/>
              </w:rPr>
              <w:t xml:space="preserve">Человеческий потенциал</w:t>
            </w:r>
          </w:p>
          <w:p>
            <w:pPr>
              <w:pStyle w:val="0"/>
            </w:pPr>
            <w:r>
              <w:rPr>
                <w:sz w:val="20"/>
              </w:rPr>
            </w:r>
          </w:p>
          <w:p>
            <w:pPr>
              <w:pStyle w:val="0"/>
              <w:jc w:val="both"/>
            </w:pPr>
            <w:r>
              <w:rPr>
                <w:sz w:val="20"/>
              </w:rPr>
              <w:t xml:space="preserve">Поддержка инноваций, технологического предпринимательства, научно-технического творчества.</w:t>
            </w:r>
          </w:p>
          <w:p>
            <w:pPr>
              <w:pStyle w:val="0"/>
              <w:jc w:val="both"/>
            </w:pPr>
            <w:r>
              <w:rPr>
                <w:sz w:val="20"/>
              </w:rPr>
              <w:t xml:space="preserve">Изменение модели развития вузов региона и повышение их ориентации на создание новых производств, стимулирование предпринимательской активности студентов, формирование технологических долин, реализация третьей миссии университета ("Университет 3.0").</w:t>
            </w:r>
          </w:p>
          <w:p>
            <w:pPr>
              <w:pStyle w:val="0"/>
              <w:jc w:val="both"/>
            </w:pPr>
            <w:r>
              <w:rPr>
                <w:sz w:val="20"/>
              </w:rPr>
              <w:t xml:space="preserve">Реализация мер, направленных на обеспечение более длительного периода работы людей, развитие систем наставничества, создание дополнительных программ обучения и переобучения пожилых людей.</w:t>
            </w:r>
          </w:p>
          <w:p>
            <w:pPr>
              <w:pStyle w:val="0"/>
            </w:pPr>
            <w:r>
              <w:rPr>
                <w:sz w:val="20"/>
              </w:rPr>
            </w:r>
          </w:p>
          <w:p>
            <w:pPr>
              <w:pStyle w:val="0"/>
              <w:jc w:val="both"/>
            </w:pPr>
            <w:r>
              <w:rPr>
                <w:sz w:val="20"/>
              </w:rPr>
              <w:t xml:space="preserve">Управленческий потенциал</w:t>
            </w:r>
          </w:p>
          <w:p>
            <w:pPr>
              <w:pStyle w:val="0"/>
            </w:pPr>
            <w:r>
              <w:rPr>
                <w:sz w:val="20"/>
              </w:rPr>
            </w:r>
          </w:p>
          <w:p>
            <w:pPr>
              <w:pStyle w:val="0"/>
              <w:jc w:val="both"/>
            </w:pPr>
            <w:r>
              <w:rPr>
                <w:sz w:val="20"/>
              </w:rPr>
              <w:t xml:space="preserve">Реализация агломерационных проектов.</w:t>
            </w:r>
          </w:p>
          <w:p>
            <w:pPr>
              <w:pStyle w:val="0"/>
              <w:jc w:val="both"/>
            </w:pPr>
            <w:r>
              <w:rPr>
                <w:sz w:val="20"/>
              </w:rPr>
              <w:t xml:space="preserve">Развитие сектора высшего образования и науки, обеспечение притока молодых специалистов.</w:t>
            </w:r>
          </w:p>
          <w:p>
            <w:pPr>
              <w:pStyle w:val="0"/>
              <w:jc w:val="both"/>
            </w:pPr>
            <w:r>
              <w:rPr>
                <w:sz w:val="20"/>
              </w:rPr>
              <w:t xml:space="preserve">Проведение политики диверсификации экспорта с ориентацией на достраивание технологических цепочек (медицинские препараты, кондитерская продукция, инжиниринговые и строительные услуги).</w:t>
            </w:r>
          </w:p>
          <w:p>
            <w:pPr>
              <w:pStyle w:val="0"/>
              <w:jc w:val="both"/>
            </w:pPr>
            <w:r>
              <w:rPr>
                <w:sz w:val="20"/>
              </w:rPr>
              <w:t xml:space="preserve">Формирование цифровой экономики и "умного" региона, развитие информационно-коммуникационной инфраструктуры (в соответствии с </w:t>
            </w:r>
            <w:hyperlink w:history="0" r:id="rId69"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Указом</w:t>
              </w:r>
            </w:hyperlink>
            <w:r>
              <w:rPr>
                <w:sz w:val="20"/>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предполагается увеличение затрат на развитие цифровой экономики)</w:t>
            </w:r>
          </w:p>
        </w:tc>
      </w:tr>
      <w:tr>
        <w:tc>
          <w:tcPr>
            <w:tcW w:w="2098" w:type="dxa"/>
          </w:tcPr>
          <w:p>
            <w:pPr>
              <w:pStyle w:val="0"/>
              <w:jc w:val="both"/>
            </w:pPr>
            <w:r>
              <w:rPr>
                <w:sz w:val="20"/>
              </w:rPr>
              <w:t xml:space="preserve">"Слабые стороны - Угрозы"</w:t>
            </w:r>
          </w:p>
          <w:p>
            <w:pPr>
              <w:pStyle w:val="0"/>
              <w:jc w:val="both"/>
            </w:pPr>
            <w:r>
              <w:rPr>
                <w:sz w:val="20"/>
              </w:rPr>
              <w:t xml:space="preserve">(минимизация слабых сторон во избежание угроз)</w:t>
            </w:r>
          </w:p>
        </w:tc>
        <w:tc>
          <w:tcPr>
            <w:tcW w:w="6917" w:type="dxa"/>
          </w:tcPr>
          <w:p>
            <w:pPr>
              <w:pStyle w:val="0"/>
              <w:jc w:val="both"/>
            </w:pPr>
            <w:r>
              <w:rPr>
                <w:sz w:val="20"/>
              </w:rPr>
              <w:t xml:space="preserve">Пространственный потенциал</w:t>
            </w:r>
          </w:p>
          <w:p>
            <w:pPr>
              <w:pStyle w:val="0"/>
            </w:pPr>
            <w:r>
              <w:rPr>
                <w:sz w:val="20"/>
              </w:rPr>
            </w:r>
          </w:p>
          <w:p>
            <w:pPr>
              <w:pStyle w:val="0"/>
              <w:jc w:val="both"/>
            </w:pPr>
            <w:r>
              <w:rPr>
                <w:sz w:val="20"/>
              </w:rPr>
              <w:t xml:space="preserve">Создание комфортных для жизни условий в крупных и средних городах с целью минимизации миграционного оттока молодежи.</w:t>
            </w:r>
          </w:p>
          <w:p>
            <w:pPr>
              <w:pStyle w:val="0"/>
              <w:jc w:val="both"/>
            </w:pPr>
            <w:r>
              <w:rPr>
                <w:sz w:val="20"/>
              </w:rPr>
              <w:t xml:space="preserve">Реализация новых градостроительных практик, повышение комфортности городской среды (пешеходный город, экогород, город человеческого масштаба, создание общественных пространств, реновация территорий, квартальная застройка).</w:t>
            </w:r>
          </w:p>
          <w:p>
            <w:pPr>
              <w:pStyle w:val="0"/>
              <w:jc w:val="both"/>
            </w:pPr>
            <w:r>
              <w:rPr>
                <w:sz w:val="20"/>
              </w:rPr>
              <w:t xml:space="preserve">Обеспечение конкуренции за человеческий капитал с точки зрения качества городской среды.</w:t>
            </w:r>
          </w:p>
          <w:p>
            <w:pPr>
              <w:pStyle w:val="0"/>
            </w:pPr>
            <w:r>
              <w:rPr>
                <w:sz w:val="20"/>
              </w:rPr>
            </w:r>
          </w:p>
          <w:p>
            <w:pPr>
              <w:pStyle w:val="0"/>
              <w:jc w:val="both"/>
            </w:pPr>
            <w:r>
              <w:rPr>
                <w:sz w:val="20"/>
              </w:rPr>
              <w:t xml:space="preserve">Природно-экологический потенциал</w:t>
            </w:r>
          </w:p>
          <w:p>
            <w:pPr>
              <w:pStyle w:val="0"/>
            </w:pPr>
            <w:r>
              <w:rPr>
                <w:sz w:val="20"/>
              </w:rPr>
            </w:r>
          </w:p>
          <w:p>
            <w:pPr>
              <w:pStyle w:val="0"/>
              <w:jc w:val="both"/>
            </w:pPr>
            <w:r>
              <w:rPr>
                <w:sz w:val="20"/>
              </w:rPr>
              <w:t xml:space="preserve">Строительство и модернизация очистных сооружений.</w:t>
            </w:r>
          </w:p>
          <w:p>
            <w:pPr>
              <w:pStyle w:val="0"/>
              <w:jc w:val="both"/>
            </w:pPr>
            <w:r>
              <w:rPr>
                <w:sz w:val="20"/>
              </w:rPr>
              <w:t xml:space="preserve">Снижение выбросов от стационарных источников, сокращение автомобильных выбросов.</w:t>
            </w:r>
          </w:p>
          <w:p>
            <w:pPr>
              <w:pStyle w:val="0"/>
              <w:jc w:val="both"/>
            </w:pPr>
            <w:r>
              <w:rPr>
                <w:sz w:val="20"/>
              </w:rPr>
              <w:t xml:space="preserve">Экономический потенциал</w:t>
            </w:r>
          </w:p>
          <w:p>
            <w:pPr>
              <w:pStyle w:val="0"/>
              <w:jc w:val="both"/>
            </w:pPr>
            <w:r>
              <w:rPr>
                <w:sz w:val="20"/>
              </w:rPr>
              <w:t xml:space="preserve">Дальнейшее повышение глубины переработки сырья и производства готовой потребительской пищевой продукции.</w:t>
            </w:r>
          </w:p>
          <w:p>
            <w:pPr>
              <w:pStyle w:val="0"/>
              <w:jc w:val="both"/>
            </w:pPr>
            <w:r>
              <w:rPr>
                <w:sz w:val="20"/>
              </w:rPr>
              <w:t xml:space="preserve">Укрепление межрегиональных связей с ориентацией на регионы-лидеры по социально-экономическому развитию, встраивание в межрегиональные цепочки добавленной стоимости.</w:t>
            </w:r>
          </w:p>
          <w:p>
            <w:pPr>
              <w:pStyle w:val="0"/>
              <w:jc w:val="both"/>
            </w:pPr>
            <w:r>
              <w:rPr>
                <w:sz w:val="20"/>
              </w:rPr>
              <w:t xml:space="preserve">Развитие экономических связей с Белгородской областью.</w:t>
            </w:r>
          </w:p>
          <w:p>
            <w:pPr>
              <w:pStyle w:val="0"/>
            </w:pPr>
            <w:r>
              <w:rPr>
                <w:sz w:val="20"/>
              </w:rPr>
            </w:r>
          </w:p>
          <w:p>
            <w:pPr>
              <w:pStyle w:val="0"/>
              <w:jc w:val="both"/>
            </w:pPr>
            <w:r>
              <w:rPr>
                <w:sz w:val="20"/>
              </w:rPr>
              <w:t xml:space="preserve">Человеческий потенциал</w:t>
            </w:r>
          </w:p>
          <w:p>
            <w:pPr>
              <w:pStyle w:val="0"/>
            </w:pPr>
            <w:r>
              <w:rPr>
                <w:sz w:val="20"/>
              </w:rPr>
            </w:r>
          </w:p>
          <w:p>
            <w:pPr>
              <w:pStyle w:val="0"/>
              <w:jc w:val="both"/>
            </w:pPr>
            <w:r>
              <w:rPr>
                <w:sz w:val="20"/>
              </w:rPr>
              <w:t xml:space="preserve">Внедрение новейших технологий в здравоохранении.</w:t>
            </w:r>
          </w:p>
          <w:p>
            <w:pPr>
              <w:pStyle w:val="0"/>
            </w:pPr>
            <w:r>
              <w:rPr>
                <w:sz w:val="20"/>
              </w:rPr>
            </w:r>
          </w:p>
          <w:p>
            <w:pPr>
              <w:pStyle w:val="0"/>
              <w:jc w:val="both"/>
            </w:pPr>
            <w:r>
              <w:rPr>
                <w:sz w:val="20"/>
              </w:rPr>
              <w:t xml:space="preserve">Управленческий потенциал</w:t>
            </w:r>
          </w:p>
          <w:p>
            <w:pPr>
              <w:pStyle w:val="0"/>
            </w:pPr>
            <w:r>
              <w:rPr>
                <w:sz w:val="20"/>
              </w:rPr>
            </w:r>
          </w:p>
          <w:p>
            <w:pPr>
              <w:pStyle w:val="0"/>
              <w:jc w:val="both"/>
            </w:pPr>
            <w:r>
              <w:rPr>
                <w:sz w:val="20"/>
              </w:rPr>
              <w:t xml:space="preserve">Снижение административной нагрузки на предпринимательский сектор, упрощение процедур открытия компаний, технологического присоединения к инженерной инфраструктуре.</w:t>
            </w:r>
          </w:p>
          <w:p>
            <w:pPr>
              <w:pStyle w:val="0"/>
              <w:jc w:val="both"/>
            </w:pPr>
            <w:r>
              <w:rPr>
                <w:sz w:val="20"/>
              </w:rPr>
              <w:t xml:space="preserve">Расширение участия в федеральных государственных, целевых и ведомственных программах.</w:t>
            </w:r>
          </w:p>
          <w:p>
            <w:pPr>
              <w:pStyle w:val="0"/>
              <w:jc w:val="both"/>
            </w:pPr>
            <w:r>
              <w:rPr>
                <w:sz w:val="20"/>
              </w:rPr>
              <w:t xml:space="preserve">Использование механизмов поддержки отдельных территорий (индустриальные парки, территории опережающего развития и прочие).</w:t>
            </w:r>
          </w:p>
          <w:p>
            <w:pPr>
              <w:pStyle w:val="0"/>
              <w:jc w:val="both"/>
            </w:pPr>
            <w:r>
              <w:rPr>
                <w:sz w:val="20"/>
              </w:rPr>
              <w:t xml:space="preserve">Снижение барьеров для развития предпринимательства.</w:t>
            </w:r>
          </w:p>
          <w:p>
            <w:pPr>
              <w:pStyle w:val="0"/>
              <w:jc w:val="both"/>
            </w:pPr>
            <w:r>
              <w:rPr>
                <w:sz w:val="20"/>
              </w:rPr>
              <w:t xml:space="preserve">Увеличение численности предпринимателей в Курской области (ориентир в России - до 25 млн. человек), повышение доли малого и среднего предпринимательства в валовом региональном продукте до уровня большинства развитых стран</w:t>
            </w:r>
          </w:p>
        </w:tc>
      </w:tr>
    </w:tbl>
    <w:p>
      <w:pPr>
        <w:pStyle w:val="0"/>
        <w:jc w:val="both"/>
      </w:pPr>
      <w:r>
        <w:rPr>
          <w:sz w:val="20"/>
        </w:rPr>
      </w:r>
    </w:p>
    <w:p>
      <w:pPr>
        <w:pStyle w:val="2"/>
        <w:outlineLvl w:val="1"/>
        <w:jc w:val="center"/>
      </w:pPr>
      <w:r>
        <w:rPr>
          <w:sz w:val="20"/>
        </w:rPr>
        <w:t xml:space="preserve">4. Миссия и стратегические направления</w:t>
      </w:r>
    </w:p>
    <w:p>
      <w:pPr>
        <w:pStyle w:val="2"/>
        <w:jc w:val="center"/>
      </w:pPr>
      <w:r>
        <w:rPr>
          <w:sz w:val="20"/>
        </w:rPr>
        <w:t xml:space="preserve">развития Курской области</w:t>
      </w:r>
    </w:p>
    <w:p>
      <w:pPr>
        <w:pStyle w:val="0"/>
        <w:jc w:val="both"/>
      </w:pPr>
      <w:r>
        <w:rPr>
          <w:sz w:val="20"/>
        </w:rPr>
      </w:r>
    </w:p>
    <w:p>
      <w:pPr>
        <w:pStyle w:val="2"/>
        <w:outlineLvl w:val="2"/>
        <w:ind w:firstLine="540"/>
        <w:jc w:val="both"/>
      </w:pPr>
      <w:r>
        <w:rPr>
          <w:sz w:val="20"/>
        </w:rPr>
        <w:t xml:space="preserve">4.1. Миссия и основная цель долгосрочного развития</w:t>
      </w:r>
    </w:p>
    <w:p>
      <w:pPr>
        <w:pStyle w:val="0"/>
        <w:jc w:val="both"/>
      </w:pPr>
      <w:r>
        <w:rPr>
          <w:sz w:val="20"/>
        </w:rPr>
      </w:r>
    </w:p>
    <w:p>
      <w:pPr>
        <w:pStyle w:val="0"/>
        <w:ind w:firstLine="540"/>
        <w:jc w:val="both"/>
      </w:pPr>
      <w:r>
        <w:rPr>
          <w:sz w:val="20"/>
        </w:rPr>
        <w:t xml:space="preserve">Миссия долгосрочного развития Курской области: Курская область - регион, в котором хочется жить.</w:t>
      </w:r>
    </w:p>
    <w:p>
      <w:pPr>
        <w:pStyle w:val="0"/>
        <w:spacing w:before="200" w:line-rule="auto"/>
        <w:ind w:firstLine="540"/>
        <w:jc w:val="both"/>
      </w:pPr>
      <w:r>
        <w:rPr>
          <w:sz w:val="20"/>
        </w:rPr>
        <w:t xml:space="preserve">Реализация миссии предполагает создание региона с высоким качеством жизни, наличием широкого спектра возможностей для самореализации курян.</w:t>
      </w:r>
    </w:p>
    <w:p>
      <w:pPr>
        <w:pStyle w:val="0"/>
        <w:spacing w:before="200" w:line-rule="auto"/>
        <w:ind w:firstLine="540"/>
        <w:jc w:val="both"/>
      </w:pPr>
      <w:r>
        <w:rPr>
          <w:sz w:val="20"/>
        </w:rPr>
        <w:t xml:space="preserve">Целевая экономическая модель: инновационная экологоориентированная модель долгосрочного устойчивого развития, основанная на высокотехнологичных многоукладных производствах, экологически чистом агропромышленном комплексе и сбалансированной пространственной политике, обеспечивающая растущее качество жизни курян и приток в регион высококвалифицированных кадров.</w:t>
      </w:r>
    </w:p>
    <w:p>
      <w:pPr>
        <w:pStyle w:val="0"/>
        <w:spacing w:before="200" w:line-rule="auto"/>
        <w:ind w:firstLine="540"/>
        <w:jc w:val="both"/>
      </w:pPr>
      <w:r>
        <w:rPr>
          <w:sz w:val="20"/>
        </w:rPr>
        <w:t xml:space="preserve">Основная цель долгосрочного развития Курской области заключается в создании условий для благополучной и комфортной жизни жителей ("работа - дом - досуг"):</w:t>
      </w:r>
    </w:p>
    <w:p>
      <w:pPr>
        <w:pStyle w:val="0"/>
        <w:spacing w:before="200" w:line-rule="auto"/>
        <w:ind w:firstLine="540"/>
        <w:jc w:val="both"/>
      </w:pPr>
      <w:r>
        <w:rPr>
          <w:sz w:val="20"/>
        </w:rPr>
        <w:t xml:space="preserve">рост доходов и возможностей самореализации ("работа");</w:t>
      </w:r>
    </w:p>
    <w:p>
      <w:pPr>
        <w:pStyle w:val="0"/>
        <w:spacing w:before="200" w:line-rule="auto"/>
        <w:ind w:firstLine="540"/>
        <w:jc w:val="both"/>
      </w:pPr>
      <w:r>
        <w:rPr>
          <w:sz w:val="20"/>
        </w:rPr>
        <w:t xml:space="preserve">рост качества жизни, здоровье и счастье близких ("дом");</w:t>
      </w:r>
    </w:p>
    <w:p>
      <w:pPr>
        <w:pStyle w:val="0"/>
        <w:spacing w:before="200" w:line-rule="auto"/>
        <w:ind w:firstLine="540"/>
        <w:jc w:val="both"/>
      </w:pPr>
      <w:r>
        <w:rPr>
          <w:sz w:val="20"/>
        </w:rPr>
        <w:t xml:space="preserve">комфортная среда для проживания, разнообразие досуга и возможностей ("досуг").</w:t>
      </w:r>
    </w:p>
    <w:p>
      <w:pPr>
        <w:pStyle w:val="0"/>
        <w:spacing w:before="200" w:line-rule="auto"/>
        <w:ind w:firstLine="540"/>
        <w:jc w:val="both"/>
      </w:pPr>
      <w:r>
        <w:rPr>
          <w:sz w:val="20"/>
        </w:rPr>
        <w:t xml:space="preserve">Основной результат - рост благополучия жителей Курской области, повышение их удовлетворенности домом, работой и отдыхом.</w:t>
      </w:r>
    </w:p>
    <w:p>
      <w:pPr>
        <w:pStyle w:val="0"/>
        <w:spacing w:before="200" w:line-rule="auto"/>
        <w:ind w:firstLine="540"/>
        <w:jc w:val="both"/>
      </w:pPr>
      <w:r>
        <w:rPr>
          <w:sz w:val="20"/>
        </w:rPr>
        <w:t xml:space="preserve">Реализация Стратегии рассчитана до 2030 года.</w:t>
      </w:r>
    </w:p>
    <w:p>
      <w:pPr>
        <w:pStyle w:val="0"/>
        <w:jc w:val="both"/>
      </w:pPr>
      <w:r>
        <w:rPr>
          <w:sz w:val="20"/>
        </w:rPr>
      </w:r>
    </w:p>
    <w:p>
      <w:pPr>
        <w:pStyle w:val="2"/>
        <w:outlineLvl w:val="2"/>
        <w:ind w:firstLine="540"/>
        <w:jc w:val="both"/>
      </w:pPr>
      <w:r>
        <w:rPr>
          <w:sz w:val="20"/>
        </w:rPr>
        <w:t xml:space="preserve">4.2. Методология разработки Стратегии</w:t>
      </w:r>
    </w:p>
    <w:p>
      <w:pPr>
        <w:pStyle w:val="0"/>
        <w:jc w:val="both"/>
      </w:pPr>
      <w:r>
        <w:rPr>
          <w:sz w:val="20"/>
        </w:rPr>
      </w:r>
    </w:p>
    <w:p>
      <w:pPr>
        <w:pStyle w:val="0"/>
        <w:ind w:firstLine="540"/>
        <w:jc w:val="both"/>
      </w:pPr>
      <w:r>
        <w:rPr>
          <w:sz w:val="20"/>
        </w:rPr>
        <w:t xml:space="preserve">Стратегия разработана на основе лучших мировых практик создания стратегий долгосрочного устойчивого развития. Стратегия учитывает опыт разработки стратегий ведущих городов, регионов и стран мира, которые занимают наиболее высокие места в мировых рейтингах качества жизни.</w:t>
      </w:r>
    </w:p>
    <w:p>
      <w:pPr>
        <w:pStyle w:val="0"/>
        <w:spacing w:before="200" w:line-rule="auto"/>
        <w:ind w:firstLine="540"/>
        <w:jc w:val="both"/>
      </w:pPr>
      <w:r>
        <w:rPr>
          <w:sz w:val="20"/>
        </w:rPr>
        <w:t xml:space="preserve">Стратегия основана на предположении, что на сегодняшний день понятие "развитие" претерпело существенную трансформацию: от наращивания сугубо экономического потенциала (прежде всего, промышленного), невзирая на последствия для общества и природы, к человекоориентированному и экологоориентированному, основой которого являются инвестиции в человеческий капитал, инновации, поддержание экосистем.</w:t>
      </w:r>
    </w:p>
    <w:p>
      <w:pPr>
        <w:pStyle w:val="0"/>
        <w:spacing w:before="200" w:line-rule="auto"/>
        <w:ind w:firstLine="540"/>
        <w:jc w:val="both"/>
      </w:pPr>
      <w:r>
        <w:rPr>
          <w:sz w:val="20"/>
        </w:rPr>
        <w:t xml:space="preserve">Для реализации данных подходов необходимы современные инструменты разработки и реализаций стратегий - использование инструментов прямой демократии, краудсорсинга, глубинных интервью, стратегических сессий и проектов, при которых жители, лучше знающие о своих потребностях, о том, что действительно имеет для них значение и составляет главную ценность, становятся основными авторами и соавторами стратегий ("Народные стратегии").</w:t>
      </w:r>
    </w:p>
    <w:p>
      <w:pPr>
        <w:pStyle w:val="0"/>
        <w:spacing w:before="200" w:line-rule="auto"/>
        <w:ind w:firstLine="540"/>
        <w:jc w:val="both"/>
      </w:pPr>
      <w:r>
        <w:rPr>
          <w:sz w:val="20"/>
        </w:rPr>
        <w:t xml:space="preserve">Человекоориентированный подход к рассмотрению понятий "развитие" и "социально-экономический прогресс" предусматривает ориентацию на рост показателей благополучия людей, их субъективного внутреннего ощущения личного счастья, включая не только экономические характеристики, такие как уровень доходов, но и внеэкономические - например, удовлетворенность качеством жизни, ценность досуга, возможность самореализации, экосистемные услуги, качество труда и т.д. Такой переход в осознании основных ценностей социально-экономического развития от показателей экономического роста к гуманистическим приоритетам произошел в развитых странах в конце 1980-х гг. и определен, в том числе, рядом нобелевских лауреатов по экономике, прежде всего, А. Сеном. Развитие человека, создание условий для самореализации каждого гражданина становится основным мерилом социально-экономического развития. Реализация данного подхода подтверждается и тем фактом, что в настоящее время в мире показатели качества жизни не связаны с показателями роста экономики. Например, качество жизни в Японии в последние годы растет, в то время как экономического роста не наблюдается. Напротив, в ряде западных стран, несмотря на экономический рост, другие индикаторы социально-экономического развития, альтернативные валовому внутреннему продукту (субъективное ощущение счастья, индикаторы качества жизни, индекс развития человеческого капитала, индекс истинного прогресса, учитывающий истощение природных ресурсов и другие индикаторы), не имеют устойчивой положительной динамики, а часть из них - устойчиво снижается.</w:t>
      </w:r>
    </w:p>
    <w:p>
      <w:pPr>
        <w:pStyle w:val="0"/>
        <w:spacing w:before="200" w:line-rule="auto"/>
        <w:ind w:firstLine="540"/>
        <w:jc w:val="both"/>
      </w:pPr>
      <w:r>
        <w:rPr>
          <w:sz w:val="20"/>
        </w:rPr>
        <w:t xml:space="preserve">Для того, чтобы учесть все сферы, имеющие значение для повышения качества жизни и благополучия курян, Курская область рассматривается в Стратегии как единая целостная многокомпонентная система, включающая не только социально-экономическую сферу, но и экологическую, нормативно-правовую и ценностную, пространственную, градостроительную и иные составляющие.</w:t>
      </w:r>
    </w:p>
    <w:p>
      <w:pPr>
        <w:pStyle w:val="0"/>
        <w:spacing w:before="200" w:line-rule="auto"/>
        <w:ind w:firstLine="540"/>
        <w:jc w:val="both"/>
      </w:pPr>
      <w:r>
        <w:rPr>
          <w:sz w:val="20"/>
        </w:rPr>
        <w:t xml:space="preserve">Экологоориентированный подход предполагает реализацию стратегий устойчивого развития, то есть создание таких экономических моделей, которые внедряют экологоэффективные технологии, минимизируют антропогенное воздействие и не создают угроз для жизни будущих поколений. На первый план выходят проекты с так называемой "комплексной" эффективностью, когда одновременно наблюдаются положительные эффекты с точки зрения развития экономики, развития человеческого потенциала и экологии. Примеры подобных проектов - создание систем скоростного экологически чистого общественного транспорта, создание комфортной ориентированной на пешеходов гуманистической городской среды, которая дает импульс к развитию предпринимательства.</w:t>
      </w:r>
    </w:p>
    <w:p>
      <w:pPr>
        <w:pStyle w:val="0"/>
        <w:spacing w:before="200" w:line-rule="auto"/>
        <w:ind w:firstLine="540"/>
        <w:jc w:val="both"/>
      </w:pPr>
      <w:r>
        <w:rPr>
          <w:sz w:val="20"/>
        </w:rPr>
        <w:t xml:space="preserve">Курская область, имея мощную промышленную базу и развитый агропромышленный комплекс, имеет все предпосылки к переходу на новую модель развития экономики, активно использующую "зеленые" и природоподобные технологии. Лучшие практики - Северная Калифорния и Флорида, которые перешли на новую модель устойчивого развития с упором на создание условий для реализации человеческого потенциала, стимулирования развития инновационных производств, внедрения "зеленых" технологий (Калифорния - лидер в области солнечной и геотермальной энергетики и т.д.), формирования здоровой комфортной природной среды для проживания человека, при сохранении традиционных, но конкурентоспособных отраслей (машиностроение, фруктоводство, виноградарство и т.д.) по новой схеме (с использованием новейших разработок в этих областях (автоматизация, роботизация, GPS-считывание в АПК, точное земледелие, "умное" сельское хозяйство, "Интернет вещей", использование дронов, индекс зелености поля и т.д.). Курская область в целом имеет схожую специализацию - аграрно-промышленную и имеет все предпосылки для реформирования своей траектории социально-экономического развития в соответствии с лучшими мировыми практиками.</w:t>
      </w:r>
    </w:p>
    <w:p>
      <w:pPr>
        <w:pStyle w:val="0"/>
        <w:spacing w:before="200" w:line-rule="auto"/>
        <w:ind w:firstLine="540"/>
        <w:jc w:val="both"/>
      </w:pPr>
      <w:r>
        <w:rPr>
          <w:sz w:val="20"/>
        </w:rPr>
        <w:t xml:space="preserve">Реализация принципов "народной стратегии" подразумевает вовлечение жителей в процесс поиска, выработки и реализации решений и может происходить в рамках различных современных коммуникационных форматов (опросы населения, стратегические сессии, "Мастерские проектов"). Такой подход позволяет наиболее полно учесть пожелания жителей, привлечь коллективный интеллект жителей для решения наиболее сложных вопросов, выработать единую позицию, консолидирующую жителей региона вокруг общих целей и ценностей.</w:t>
      </w:r>
    </w:p>
    <w:p>
      <w:pPr>
        <w:pStyle w:val="0"/>
        <w:spacing w:before="200" w:line-rule="auto"/>
        <w:ind w:firstLine="540"/>
        <w:jc w:val="both"/>
      </w:pPr>
      <w:r>
        <w:rPr>
          <w:sz w:val="20"/>
        </w:rPr>
        <w:t xml:space="preserve">Разработка Стратегии Курской области основана на серии стратегических сессий и "Мастерских проектов" (</w:t>
      </w:r>
      <w:hyperlink w:history="0" w:anchor="P5447" w:tooltip="ПРОЕКТЫ, ПРОШЕДШИЕ ОТБОР В РАМКАХ РАБОТЫ">
        <w:r>
          <w:rPr>
            <w:sz w:val="20"/>
            <w:color w:val="0000ff"/>
          </w:rPr>
          <w:t xml:space="preserve">приложение N 2</w:t>
        </w:r>
      </w:hyperlink>
      <w:r>
        <w:rPr>
          <w:sz w:val="20"/>
        </w:rPr>
        <w:t xml:space="preserve"> к Стратегии социально-экономического развития Курской области на период до 2030 года), в ходе которых была использована методология больших и быстрых результатов.</w:t>
      </w:r>
    </w:p>
    <w:p>
      <w:pPr>
        <w:pStyle w:val="0"/>
        <w:jc w:val="both"/>
      </w:pPr>
      <w:r>
        <w:rPr>
          <w:sz w:val="20"/>
        </w:rPr>
      </w:r>
    </w:p>
    <w:p>
      <w:pPr>
        <w:pStyle w:val="2"/>
        <w:outlineLvl w:val="2"/>
        <w:ind w:firstLine="540"/>
        <w:jc w:val="both"/>
      </w:pPr>
      <w:r>
        <w:rPr>
          <w:sz w:val="20"/>
        </w:rPr>
        <w:t xml:space="preserve">4.3. Приоритетные направления Стратегии</w:t>
      </w:r>
    </w:p>
    <w:p>
      <w:pPr>
        <w:pStyle w:val="0"/>
        <w:jc w:val="both"/>
      </w:pPr>
      <w:r>
        <w:rPr>
          <w:sz w:val="20"/>
        </w:rPr>
      </w:r>
    </w:p>
    <w:p>
      <w:pPr>
        <w:pStyle w:val="0"/>
        <w:ind w:firstLine="540"/>
        <w:jc w:val="both"/>
      </w:pPr>
      <w:r>
        <w:rPr>
          <w:sz w:val="20"/>
        </w:rPr>
        <w:t xml:space="preserve">На основании предложенной миссии и основной цели выделены следующие основные равнозначные и взаимосвязанные приоритеты развития Курской области:</w:t>
      </w:r>
    </w:p>
    <w:p>
      <w:pPr>
        <w:pStyle w:val="0"/>
        <w:jc w:val="both"/>
      </w:pPr>
      <w:r>
        <w:rPr>
          <w:sz w:val="20"/>
        </w:rPr>
      </w:r>
    </w:p>
    <w:p>
      <w:pPr>
        <w:pStyle w:val="2"/>
        <w:outlineLvl w:val="3"/>
        <w:ind w:firstLine="540"/>
        <w:jc w:val="both"/>
      </w:pPr>
      <w:r>
        <w:rPr>
          <w:sz w:val="20"/>
        </w:rPr>
        <w:t xml:space="preserve">Приоритет 1 "Диверсифицированная многоукладная экономика"</w:t>
      </w:r>
    </w:p>
    <w:p>
      <w:pPr>
        <w:pStyle w:val="0"/>
        <w:jc w:val="both"/>
      </w:pPr>
      <w:r>
        <w:rPr>
          <w:sz w:val="20"/>
        </w:rPr>
      </w:r>
    </w:p>
    <w:p>
      <w:pPr>
        <w:pStyle w:val="0"/>
        <w:ind w:firstLine="540"/>
        <w:jc w:val="both"/>
      </w:pPr>
      <w:r>
        <w:rPr>
          <w:sz w:val="20"/>
        </w:rPr>
        <w:t xml:space="preserve">Укрепление ключевых конкурентоспособных и перспективных секторов экономики Курской области, создание производств пятого и шестого технологических укладов.</w:t>
      </w:r>
    </w:p>
    <w:p>
      <w:pPr>
        <w:pStyle w:val="0"/>
        <w:jc w:val="both"/>
      </w:pPr>
      <w:r>
        <w:rPr>
          <w:sz w:val="20"/>
        </w:rPr>
      </w:r>
    </w:p>
    <w:p>
      <w:pPr>
        <w:pStyle w:val="2"/>
        <w:outlineLvl w:val="3"/>
        <w:ind w:firstLine="540"/>
        <w:jc w:val="both"/>
      </w:pPr>
      <w:r>
        <w:rPr>
          <w:sz w:val="20"/>
        </w:rPr>
        <w:t xml:space="preserve">Приоритет 2 "Управление развитием"</w:t>
      </w:r>
    </w:p>
    <w:p>
      <w:pPr>
        <w:pStyle w:val="0"/>
        <w:jc w:val="both"/>
      </w:pPr>
      <w:r>
        <w:rPr>
          <w:sz w:val="20"/>
        </w:rPr>
      </w:r>
    </w:p>
    <w:p>
      <w:pPr>
        <w:pStyle w:val="0"/>
        <w:ind w:firstLine="540"/>
        <w:jc w:val="both"/>
      </w:pPr>
      <w:r>
        <w:rPr>
          <w:sz w:val="20"/>
        </w:rPr>
        <w:t xml:space="preserve">Создание институциональной среды для реализации человеческого потенциала, в том числе: развитие малого и среднего предпринимательства, создание стимулов для реализации гражданской и предпринимательской инициативы, улучшение инвестиционного климата, реализация проектов развития, развитие цифровой экономики и цифрового управления.</w:t>
      </w:r>
    </w:p>
    <w:p>
      <w:pPr>
        <w:pStyle w:val="0"/>
        <w:jc w:val="both"/>
      </w:pPr>
      <w:r>
        <w:rPr>
          <w:sz w:val="20"/>
        </w:rPr>
      </w:r>
    </w:p>
    <w:p>
      <w:pPr>
        <w:pStyle w:val="2"/>
        <w:outlineLvl w:val="3"/>
        <w:ind w:firstLine="540"/>
        <w:jc w:val="both"/>
      </w:pPr>
      <w:r>
        <w:rPr>
          <w:sz w:val="20"/>
        </w:rPr>
        <w:t xml:space="preserve">Приоритет 3 "Здоровье, здравоохранение и социальная сфера"</w:t>
      </w:r>
    </w:p>
    <w:p>
      <w:pPr>
        <w:pStyle w:val="0"/>
        <w:jc w:val="both"/>
      </w:pPr>
      <w:r>
        <w:rPr>
          <w:sz w:val="20"/>
        </w:rPr>
      </w:r>
    </w:p>
    <w:p>
      <w:pPr>
        <w:pStyle w:val="0"/>
        <w:ind w:firstLine="540"/>
        <w:jc w:val="both"/>
      </w:pPr>
      <w:r>
        <w:rPr>
          <w:sz w:val="20"/>
        </w:rPr>
        <w:t xml:space="preserve">Реализация приоритета направлена на развитие проектов в сфере здравоохранения, социальную поддержку людей. Сохранение и преумножение человеческого потенциала - необходимое и достаточное условие социально-экономического развития региона.</w:t>
      </w:r>
    </w:p>
    <w:p>
      <w:pPr>
        <w:pStyle w:val="0"/>
        <w:jc w:val="both"/>
      </w:pPr>
      <w:r>
        <w:rPr>
          <w:sz w:val="20"/>
        </w:rPr>
      </w:r>
    </w:p>
    <w:p>
      <w:pPr>
        <w:pStyle w:val="2"/>
        <w:outlineLvl w:val="3"/>
        <w:ind w:firstLine="540"/>
        <w:jc w:val="both"/>
      </w:pPr>
      <w:r>
        <w:rPr>
          <w:sz w:val="20"/>
        </w:rPr>
        <w:t xml:space="preserve">Приоритет 4 "Человеческий капитал (образование, наука и инновации, развитие институтов гражданского общества)"</w:t>
      </w:r>
    </w:p>
    <w:p>
      <w:pPr>
        <w:pStyle w:val="0"/>
        <w:jc w:val="both"/>
      </w:pPr>
      <w:r>
        <w:rPr>
          <w:sz w:val="20"/>
        </w:rPr>
      </w:r>
    </w:p>
    <w:p>
      <w:pPr>
        <w:pStyle w:val="0"/>
        <w:ind w:firstLine="540"/>
        <w:jc w:val="both"/>
      </w:pPr>
      <w:r>
        <w:rPr>
          <w:sz w:val="20"/>
        </w:rPr>
        <w:t xml:space="preserve">Подразумевает обеспечение потребностей человека в области образования, развитие науки и научно-инновационной инфраструктуры, развитие институтов гражданского общества.</w:t>
      </w:r>
    </w:p>
    <w:p>
      <w:pPr>
        <w:pStyle w:val="0"/>
        <w:jc w:val="both"/>
      </w:pPr>
      <w:r>
        <w:rPr>
          <w:sz w:val="20"/>
        </w:rPr>
      </w:r>
    </w:p>
    <w:p>
      <w:pPr>
        <w:pStyle w:val="2"/>
        <w:outlineLvl w:val="3"/>
        <w:ind w:firstLine="540"/>
        <w:jc w:val="both"/>
      </w:pPr>
      <w:r>
        <w:rPr>
          <w:sz w:val="20"/>
        </w:rPr>
        <w:t xml:space="preserve">Приоритет 5 "Инфраструктура и пространственное развитие"</w:t>
      </w:r>
    </w:p>
    <w:p>
      <w:pPr>
        <w:pStyle w:val="0"/>
        <w:jc w:val="both"/>
      </w:pPr>
      <w:r>
        <w:rPr>
          <w:sz w:val="20"/>
        </w:rPr>
      </w:r>
    </w:p>
    <w:p>
      <w:pPr>
        <w:pStyle w:val="0"/>
        <w:ind w:firstLine="540"/>
        <w:jc w:val="both"/>
      </w:pPr>
      <w:r>
        <w:rPr>
          <w:sz w:val="20"/>
        </w:rPr>
        <w:t xml:space="preserve">Реализация пространственного и приграничного потенциала, проведение эффективной и сбалансированной пространственной политики.</w:t>
      </w:r>
    </w:p>
    <w:p>
      <w:pPr>
        <w:pStyle w:val="0"/>
        <w:jc w:val="both"/>
      </w:pPr>
      <w:r>
        <w:rPr>
          <w:sz w:val="20"/>
        </w:rPr>
      </w:r>
    </w:p>
    <w:p>
      <w:pPr>
        <w:pStyle w:val="2"/>
        <w:outlineLvl w:val="3"/>
        <w:ind w:firstLine="540"/>
        <w:jc w:val="both"/>
      </w:pPr>
      <w:r>
        <w:rPr>
          <w:sz w:val="20"/>
        </w:rPr>
        <w:t xml:space="preserve">Приоритет 6 "Комфортная городская среда"</w:t>
      </w:r>
    </w:p>
    <w:p>
      <w:pPr>
        <w:pStyle w:val="0"/>
        <w:jc w:val="both"/>
      </w:pPr>
      <w:r>
        <w:rPr>
          <w:sz w:val="20"/>
        </w:rPr>
      </w:r>
    </w:p>
    <w:p>
      <w:pPr>
        <w:pStyle w:val="0"/>
        <w:ind w:firstLine="540"/>
        <w:jc w:val="both"/>
      </w:pPr>
      <w:r>
        <w:rPr>
          <w:sz w:val="20"/>
        </w:rPr>
        <w:t xml:space="preserve">Формирование комфортной городской среды, направленное на создание условий для полноценного раскрытия человеческого потенциала.</w:t>
      </w:r>
    </w:p>
    <w:p>
      <w:pPr>
        <w:pStyle w:val="0"/>
        <w:jc w:val="both"/>
      </w:pPr>
      <w:r>
        <w:rPr>
          <w:sz w:val="20"/>
        </w:rPr>
      </w:r>
    </w:p>
    <w:p>
      <w:pPr>
        <w:pStyle w:val="2"/>
        <w:outlineLvl w:val="3"/>
        <w:ind w:firstLine="540"/>
        <w:jc w:val="both"/>
      </w:pPr>
      <w:r>
        <w:rPr>
          <w:sz w:val="20"/>
        </w:rPr>
        <w:t xml:space="preserve">Приоритет 7 "Зеленый и безопасный регион"</w:t>
      </w:r>
    </w:p>
    <w:p>
      <w:pPr>
        <w:pStyle w:val="0"/>
        <w:jc w:val="both"/>
      </w:pPr>
      <w:r>
        <w:rPr>
          <w:sz w:val="20"/>
        </w:rPr>
      </w:r>
    </w:p>
    <w:p>
      <w:pPr>
        <w:pStyle w:val="0"/>
        <w:ind w:firstLine="540"/>
        <w:jc w:val="both"/>
      </w:pPr>
      <w:r>
        <w:rPr>
          <w:sz w:val="20"/>
        </w:rPr>
        <w:t xml:space="preserve">Подразумевает внедрение системы ценностей устойчивого развития, "зеленой" экономики, комплексной экологизации.</w:t>
      </w:r>
    </w:p>
    <w:p>
      <w:pPr>
        <w:pStyle w:val="0"/>
        <w:spacing w:before="200" w:line-rule="auto"/>
        <w:ind w:firstLine="540"/>
        <w:jc w:val="both"/>
      </w:pPr>
      <w:r>
        <w:rPr>
          <w:sz w:val="20"/>
        </w:rPr>
        <w:t xml:space="preserve">Выбор приоритетов определяет основные цели социально-экономического развития Курской области, направленные на формирование условий для комплексного всестороннего развития человеческого потенциала и удержания населения в регионе. Это обусловлено необходимостью выхода на траекторию устойчивого развития, при котором в центр преобразований ставится качество жизни людей.</w:t>
      </w:r>
    </w:p>
    <w:p>
      <w:pPr>
        <w:pStyle w:val="0"/>
        <w:spacing w:before="200" w:line-rule="auto"/>
        <w:ind w:firstLine="540"/>
        <w:jc w:val="both"/>
      </w:pPr>
      <w:r>
        <w:rPr>
          <w:sz w:val="20"/>
        </w:rPr>
        <w:t xml:space="preserve">Каждое из приоритетных направлений Стратегии взаимоувязано с работой, домом или досугом жителей области.</w:t>
      </w:r>
    </w:p>
    <w:p>
      <w:pPr>
        <w:pStyle w:val="0"/>
        <w:jc w:val="both"/>
      </w:pPr>
      <w:r>
        <w:rPr>
          <w:sz w:val="20"/>
        </w:rPr>
      </w:r>
    </w:p>
    <w:p>
      <w:pPr>
        <w:pStyle w:val="0"/>
        <w:outlineLvl w:val="3"/>
        <w:jc w:val="right"/>
      </w:pPr>
      <w:r>
        <w:rPr>
          <w:sz w:val="20"/>
        </w:rPr>
        <w:t xml:space="preserve">Таблица N 1</w:t>
      </w:r>
    </w:p>
    <w:p>
      <w:pPr>
        <w:pStyle w:val="0"/>
        <w:jc w:val="both"/>
      </w:pPr>
      <w:r>
        <w:rPr>
          <w:sz w:val="20"/>
        </w:rPr>
      </w:r>
    </w:p>
    <w:p>
      <w:pPr>
        <w:pStyle w:val="2"/>
        <w:jc w:val="center"/>
      </w:pPr>
      <w:r>
        <w:rPr>
          <w:sz w:val="20"/>
        </w:rPr>
        <w:t xml:space="preserve">Система приоритетных направлений и целей</w:t>
      </w:r>
    </w:p>
    <w:p>
      <w:pPr>
        <w:pStyle w:val="2"/>
        <w:jc w:val="center"/>
      </w:pPr>
      <w:r>
        <w:rPr>
          <w:sz w:val="20"/>
        </w:rPr>
        <w:t xml:space="preserve">Стратегии социально-экономического развития</w:t>
      </w:r>
    </w:p>
    <w:p>
      <w:pPr>
        <w:pStyle w:val="2"/>
        <w:jc w:val="center"/>
      </w:pPr>
      <w:r>
        <w:rPr>
          <w:sz w:val="20"/>
        </w:rPr>
        <w:t xml:space="preserve">Курской области до 2030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6236"/>
      </w:tblGrid>
      <w:tr>
        <w:tc>
          <w:tcPr>
            <w:tcW w:w="2778" w:type="dxa"/>
          </w:tcPr>
          <w:p>
            <w:pPr>
              <w:pStyle w:val="0"/>
            </w:pPr>
            <w:r>
              <w:rPr>
                <w:sz w:val="20"/>
              </w:rPr>
              <w:t xml:space="preserve">Приоритеты</w:t>
            </w:r>
          </w:p>
        </w:tc>
        <w:tc>
          <w:tcPr>
            <w:tcW w:w="6236" w:type="dxa"/>
          </w:tcPr>
          <w:p>
            <w:pPr>
              <w:pStyle w:val="0"/>
            </w:pPr>
            <w:r>
              <w:rPr>
                <w:sz w:val="20"/>
              </w:rPr>
              <w:t xml:space="preserve">Стратегические цели</w:t>
            </w:r>
          </w:p>
        </w:tc>
      </w:tr>
      <w:tr>
        <w:tc>
          <w:tcPr>
            <w:tcW w:w="2778" w:type="dxa"/>
          </w:tcPr>
          <w:p>
            <w:pPr>
              <w:pStyle w:val="0"/>
              <w:jc w:val="both"/>
            </w:pPr>
            <w:r>
              <w:rPr>
                <w:sz w:val="20"/>
              </w:rPr>
              <w:t xml:space="preserve">Диверсифицированная многоукладная экономика</w:t>
            </w:r>
          </w:p>
        </w:tc>
        <w:tc>
          <w:tcPr>
            <w:tcW w:w="6236" w:type="dxa"/>
          </w:tcPr>
          <w:p>
            <w:pPr>
              <w:pStyle w:val="0"/>
              <w:jc w:val="both"/>
            </w:pPr>
            <w:r>
              <w:rPr>
                <w:sz w:val="20"/>
              </w:rPr>
              <w:t xml:space="preserve">Создание условий для привлечения инвестиций, реализация проектов диверсификации экономики (</w:t>
            </w:r>
            <w:hyperlink w:history="0" w:anchor="P5447" w:tooltip="ПРОЕКТЫ, ПРОШЕДШИЕ ОТБОР В РАМКАХ РАБОТЫ">
              <w:r>
                <w:rPr>
                  <w:sz w:val="20"/>
                  <w:color w:val="0000ff"/>
                </w:rPr>
                <w:t xml:space="preserve">приложения N 2</w:t>
              </w:r>
            </w:hyperlink>
            <w:r>
              <w:rPr>
                <w:sz w:val="20"/>
              </w:rPr>
              <w:t xml:space="preserve"> и </w:t>
            </w:r>
            <w:hyperlink w:history="0" w:anchor="P5534" w:tooltip="ИНВЕСТИЦИОННЫЕ ПРОЕКТЫ КУРСКОЙ ОБЛАСТИ">
              <w:r>
                <w:rPr>
                  <w:sz w:val="20"/>
                  <w:color w:val="0000ff"/>
                </w:rPr>
                <w:t xml:space="preserve">N 3</w:t>
              </w:r>
            </w:hyperlink>
            <w:r>
              <w:rPr>
                <w:sz w:val="20"/>
              </w:rPr>
              <w:t xml:space="preserve"> к Стратегии социально-экономического развития Курской области на период до 2030 года), усиление конкурентоспособности существующих предприятий обрабатывающей промышленности, сельского хозяйства и добычи полезных ископаемых, создание новых высокотехнологичных производств, вывод и расширение присутствия предприятий Курской области на внутреннем и внешнем рынках</w:t>
            </w:r>
          </w:p>
        </w:tc>
      </w:tr>
      <w:tr>
        <w:tc>
          <w:tcPr>
            <w:tcW w:w="2778" w:type="dxa"/>
          </w:tcPr>
          <w:p>
            <w:pPr>
              <w:pStyle w:val="0"/>
              <w:jc w:val="both"/>
            </w:pPr>
            <w:r>
              <w:rPr>
                <w:sz w:val="20"/>
              </w:rPr>
              <w:t xml:space="preserve">Управление развитием</w:t>
            </w:r>
          </w:p>
        </w:tc>
        <w:tc>
          <w:tcPr>
            <w:tcW w:w="6236" w:type="dxa"/>
          </w:tcPr>
          <w:p>
            <w:pPr>
              <w:pStyle w:val="0"/>
              <w:jc w:val="both"/>
            </w:pPr>
            <w:r>
              <w:rPr>
                <w:sz w:val="20"/>
              </w:rPr>
              <w:t xml:space="preserve">Создание условий для привлечения инвестиций и развития малого и среднего предпринимательства, налаживания и диверсификации международных и внешнеэкономических связей, обеспечение внедрения новых управленческих и цифровых технологий, повышение открытости органов власти</w:t>
            </w:r>
          </w:p>
        </w:tc>
      </w:tr>
      <w:tr>
        <w:tc>
          <w:tcPr>
            <w:tcW w:w="2778" w:type="dxa"/>
          </w:tcPr>
          <w:p>
            <w:pPr>
              <w:pStyle w:val="0"/>
              <w:jc w:val="both"/>
            </w:pPr>
            <w:r>
              <w:rPr>
                <w:sz w:val="20"/>
              </w:rPr>
              <w:t xml:space="preserve">Здоровье, здравоохранение и социальная сфера</w:t>
            </w:r>
          </w:p>
        </w:tc>
        <w:tc>
          <w:tcPr>
            <w:tcW w:w="6236" w:type="dxa"/>
          </w:tcPr>
          <w:p>
            <w:pPr>
              <w:pStyle w:val="0"/>
              <w:jc w:val="both"/>
            </w:pPr>
            <w:r>
              <w:rPr>
                <w:sz w:val="20"/>
              </w:rPr>
              <w:t xml:space="preserve">Создание комфортных условий проживания населения за счет повышения уровня занятости, развития социальной инфраструктуры и развития современных технологий в социальной сфере</w:t>
            </w:r>
          </w:p>
        </w:tc>
      </w:tr>
      <w:tr>
        <w:tc>
          <w:tcPr>
            <w:tcW w:w="2778" w:type="dxa"/>
          </w:tcPr>
          <w:p>
            <w:pPr>
              <w:pStyle w:val="0"/>
              <w:jc w:val="both"/>
            </w:pPr>
            <w:r>
              <w:rPr>
                <w:sz w:val="20"/>
              </w:rPr>
              <w:t xml:space="preserve">Человеческий капитал (образование, наука и инновации, развитие институтов гражданского общества)</w:t>
            </w:r>
          </w:p>
        </w:tc>
        <w:tc>
          <w:tcPr>
            <w:tcW w:w="6236" w:type="dxa"/>
          </w:tcPr>
          <w:p>
            <w:pPr>
              <w:pStyle w:val="0"/>
              <w:jc w:val="both"/>
            </w:pPr>
            <w:r>
              <w:rPr>
                <w:sz w:val="20"/>
              </w:rPr>
              <w:t xml:space="preserve">Обеспечение потребностей человека в области образования, развитие науки и научно-инновационной инфраструктуры, развитие институтов гражданского общества</w:t>
            </w:r>
          </w:p>
        </w:tc>
      </w:tr>
      <w:tr>
        <w:tc>
          <w:tcPr>
            <w:tcW w:w="2778" w:type="dxa"/>
          </w:tcPr>
          <w:p>
            <w:pPr>
              <w:pStyle w:val="0"/>
              <w:jc w:val="both"/>
            </w:pPr>
            <w:r>
              <w:rPr>
                <w:sz w:val="20"/>
              </w:rPr>
              <w:t xml:space="preserve">Инфраструктура и пространственное развитие</w:t>
            </w:r>
          </w:p>
        </w:tc>
        <w:tc>
          <w:tcPr>
            <w:tcW w:w="6236" w:type="dxa"/>
          </w:tcPr>
          <w:p>
            <w:pPr>
              <w:pStyle w:val="0"/>
              <w:jc w:val="both"/>
            </w:pPr>
            <w:r>
              <w:rPr>
                <w:sz w:val="20"/>
              </w:rPr>
              <w:t xml:space="preserve">Эффективное пространственное развитие Курской области, включая развитие Курской агломерации, создание современного транспортного каркаса, поддержку геостратегических территорий, малых и средних населенных пунктов</w:t>
            </w:r>
          </w:p>
        </w:tc>
      </w:tr>
      <w:tr>
        <w:tc>
          <w:tcPr>
            <w:tcW w:w="2778" w:type="dxa"/>
          </w:tcPr>
          <w:p>
            <w:pPr>
              <w:pStyle w:val="0"/>
              <w:jc w:val="both"/>
            </w:pPr>
            <w:r>
              <w:rPr>
                <w:sz w:val="20"/>
              </w:rPr>
              <w:t xml:space="preserve">Комфортная городская среда</w:t>
            </w:r>
          </w:p>
        </w:tc>
        <w:tc>
          <w:tcPr>
            <w:tcW w:w="6236" w:type="dxa"/>
          </w:tcPr>
          <w:p>
            <w:pPr>
              <w:pStyle w:val="0"/>
              <w:jc w:val="both"/>
            </w:pPr>
            <w:r>
              <w:rPr>
                <w:sz w:val="20"/>
              </w:rPr>
              <w:t xml:space="preserve">Формирование комфортной городской среды, направленное на создание условий для полноценного раскрытия человеческого потенциала</w:t>
            </w:r>
          </w:p>
        </w:tc>
      </w:tr>
      <w:tr>
        <w:tc>
          <w:tcPr>
            <w:tcW w:w="2778" w:type="dxa"/>
          </w:tcPr>
          <w:p>
            <w:pPr>
              <w:pStyle w:val="0"/>
              <w:jc w:val="both"/>
            </w:pPr>
            <w:r>
              <w:rPr>
                <w:sz w:val="20"/>
              </w:rPr>
              <w:t xml:space="preserve">Зеленый и безопасный регион</w:t>
            </w:r>
          </w:p>
        </w:tc>
        <w:tc>
          <w:tcPr>
            <w:tcW w:w="6236" w:type="dxa"/>
          </w:tcPr>
          <w:p>
            <w:pPr>
              <w:pStyle w:val="0"/>
              <w:jc w:val="both"/>
            </w:pPr>
            <w:r>
              <w:rPr>
                <w:sz w:val="20"/>
              </w:rPr>
              <w:t xml:space="preserve">Реализация модели устойчивого экологоориентированного развития, развитие "зеленой" экономики, решение экологических проблем для максимально полного удовлетворения потребностей населения по формированию экологически чистой среды обитания</w:t>
            </w:r>
          </w:p>
        </w:tc>
      </w:tr>
    </w:tbl>
    <w:p>
      <w:pPr>
        <w:pStyle w:val="0"/>
        <w:jc w:val="both"/>
      </w:pPr>
      <w:r>
        <w:rPr>
          <w:sz w:val="20"/>
        </w:rPr>
      </w:r>
    </w:p>
    <w:p>
      <w:pPr>
        <w:pStyle w:val="0"/>
        <w:ind w:firstLine="540"/>
        <w:jc w:val="both"/>
      </w:pPr>
      <w:r>
        <w:rPr>
          <w:sz w:val="20"/>
        </w:rPr>
        <w:t xml:space="preserve">В Стратегии по каждому из предложенных направлений сформулированы:</w:t>
      </w:r>
    </w:p>
    <w:p>
      <w:pPr>
        <w:pStyle w:val="0"/>
        <w:spacing w:before="200" w:line-rule="auto"/>
        <w:ind w:firstLine="540"/>
        <w:jc w:val="both"/>
      </w:pPr>
      <w:r>
        <w:rPr>
          <w:sz w:val="20"/>
        </w:rPr>
        <w:t xml:space="preserve">стратегические цели;</w:t>
      </w:r>
    </w:p>
    <w:p>
      <w:pPr>
        <w:pStyle w:val="0"/>
        <w:spacing w:before="200" w:line-rule="auto"/>
        <w:ind w:firstLine="540"/>
        <w:jc w:val="both"/>
      </w:pPr>
      <w:r>
        <w:rPr>
          <w:sz w:val="20"/>
        </w:rPr>
        <w:t xml:space="preserve">основные проблемы и ограничения;</w:t>
      </w:r>
    </w:p>
    <w:p>
      <w:pPr>
        <w:pStyle w:val="0"/>
        <w:spacing w:before="200" w:line-rule="auto"/>
        <w:ind w:firstLine="540"/>
        <w:jc w:val="both"/>
      </w:pPr>
      <w:r>
        <w:rPr>
          <w:sz w:val="20"/>
        </w:rPr>
        <w:t xml:space="preserve">общемировые тренды и лучшие практики;</w:t>
      </w:r>
    </w:p>
    <w:p>
      <w:pPr>
        <w:pStyle w:val="0"/>
        <w:spacing w:before="200" w:line-rule="auto"/>
        <w:ind w:firstLine="540"/>
        <w:jc w:val="both"/>
      </w:pPr>
      <w:r>
        <w:rPr>
          <w:sz w:val="20"/>
        </w:rPr>
        <w:t xml:space="preserve">результаты "Мастерских проектов" "Народной стратегии" Курской области;</w:t>
      </w:r>
    </w:p>
    <w:p>
      <w:pPr>
        <w:pStyle w:val="0"/>
        <w:spacing w:before="200" w:line-rule="auto"/>
        <w:ind w:firstLine="540"/>
        <w:jc w:val="both"/>
      </w:pPr>
      <w:r>
        <w:rPr>
          <w:sz w:val="20"/>
        </w:rPr>
        <w:t xml:space="preserve">ключевые результаты;</w:t>
      </w:r>
    </w:p>
    <w:p>
      <w:pPr>
        <w:pStyle w:val="0"/>
        <w:spacing w:before="200" w:line-rule="auto"/>
        <w:ind w:firstLine="540"/>
        <w:jc w:val="both"/>
      </w:pPr>
      <w:r>
        <w:rPr>
          <w:sz w:val="20"/>
        </w:rPr>
        <w:t xml:space="preserve">задачи и основные мероприятия (направления) в рамках каждой из задач на период до 2030 года.</w:t>
      </w:r>
    </w:p>
    <w:p>
      <w:pPr>
        <w:pStyle w:val="0"/>
        <w:jc w:val="both"/>
      </w:pPr>
      <w:r>
        <w:rPr>
          <w:sz w:val="20"/>
        </w:rPr>
      </w:r>
    </w:p>
    <w:p>
      <w:pPr>
        <w:pStyle w:val="2"/>
        <w:outlineLvl w:val="2"/>
        <w:ind w:firstLine="540"/>
        <w:jc w:val="both"/>
      </w:pPr>
      <w:r>
        <w:rPr>
          <w:sz w:val="20"/>
        </w:rPr>
        <w:t xml:space="preserve">4.4. Стратегия в системе стратегического планирования Российской Федерации и Курской области</w:t>
      </w:r>
    </w:p>
    <w:p>
      <w:pPr>
        <w:pStyle w:val="0"/>
        <w:jc w:val="both"/>
      </w:pPr>
      <w:r>
        <w:rPr>
          <w:sz w:val="20"/>
        </w:rPr>
      </w:r>
    </w:p>
    <w:p>
      <w:pPr>
        <w:pStyle w:val="0"/>
        <w:ind w:firstLine="540"/>
        <w:jc w:val="both"/>
      </w:pPr>
      <w:r>
        <w:rPr>
          <w:sz w:val="20"/>
        </w:rPr>
        <w:t xml:space="preserve">Стратегия является основным документом долгосрочного стратегического развития Курской области, учитывающим положения национальных и федеральных проектов, задающих федеральную повестку социально-экономического развития на период до 2030 года и софинансируемых из федерального бюджета. Стратегия интегрирует соответствующие региональные проекты Курской области, включает проекты, разработанные жителями в рамках "Мастерских проектов".</w:t>
      </w:r>
    </w:p>
    <w:p>
      <w:pPr>
        <w:pStyle w:val="0"/>
        <w:jc w:val="both"/>
      </w:pPr>
      <w:r>
        <w:rPr>
          <w:sz w:val="20"/>
        </w:rPr>
      </w:r>
    </w:p>
    <w:p>
      <w:pPr>
        <w:pStyle w:val="0"/>
        <w:outlineLvl w:val="3"/>
        <w:jc w:val="right"/>
      </w:pPr>
      <w:r>
        <w:rPr>
          <w:sz w:val="20"/>
        </w:rPr>
        <w:t xml:space="preserve">Таблица N 2</w:t>
      </w:r>
    </w:p>
    <w:p>
      <w:pPr>
        <w:pStyle w:val="0"/>
        <w:jc w:val="both"/>
      </w:pPr>
      <w:r>
        <w:rPr>
          <w:sz w:val="20"/>
        </w:rPr>
      </w:r>
    </w:p>
    <w:p>
      <w:pPr>
        <w:pStyle w:val="2"/>
        <w:jc w:val="center"/>
      </w:pPr>
      <w:r>
        <w:rPr>
          <w:sz w:val="20"/>
        </w:rPr>
        <w:t xml:space="preserve">Приоритетные направления Стратегии, национальные проекты</w:t>
      </w:r>
    </w:p>
    <w:p>
      <w:pPr>
        <w:pStyle w:val="2"/>
        <w:jc w:val="center"/>
      </w:pPr>
      <w:r>
        <w:rPr>
          <w:sz w:val="20"/>
        </w:rPr>
        <w:t xml:space="preserve">и региональные проекты Курской области, проекты "Мастерских</w:t>
      </w:r>
    </w:p>
    <w:p>
      <w:pPr>
        <w:pStyle w:val="2"/>
        <w:jc w:val="center"/>
      </w:pPr>
      <w:r>
        <w:rPr>
          <w:sz w:val="20"/>
        </w:rPr>
        <w:t xml:space="preserve">проектов"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2438"/>
        <w:gridCol w:w="1701"/>
        <w:gridCol w:w="2665"/>
      </w:tblGrid>
      <w:tr>
        <w:tc>
          <w:tcPr>
            <w:tcW w:w="2608" w:type="dxa"/>
          </w:tcPr>
          <w:p>
            <w:pPr>
              <w:pStyle w:val="0"/>
            </w:pPr>
            <w:r>
              <w:rPr>
                <w:sz w:val="20"/>
              </w:rPr>
              <w:t xml:space="preserve">Приоритетные направления Стратегии</w:t>
            </w:r>
          </w:p>
        </w:tc>
        <w:tc>
          <w:tcPr>
            <w:tcW w:w="2438" w:type="dxa"/>
          </w:tcPr>
          <w:p>
            <w:pPr>
              <w:pStyle w:val="0"/>
            </w:pPr>
            <w:r>
              <w:rPr>
                <w:sz w:val="20"/>
              </w:rPr>
              <w:t xml:space="preserve">Национальные проекты</w:t>
            </w:r>
          </w:p>
        </w:tc>
        <w:tc>
          <w:tcPr>
            <w:tcW w:w="1701" w:type="dxa"/>
          </w:tcPr>
          <w:p>
            <w:pPr>
              <w:pStyle w:val="0"/>
            </w:pPr>
            <w:r>
              <w:rPr>
                <w:sz w:val="20"/>
              </w:rPr>
              <w:t xml:space="preserve">Региональные проекты Курской области</w:t>
            </w:r>
          </w:p>
        </w:tc>
        <w:tc>
          <w:tcPr>
            <w:tcW w:w="2665" w:type="dxa"/>
          </w:tcPr>
          <w:p>
            <w:pPr>
              <w:pStyle w:val="0"/>
            </w:pPr>
            <w:r>
              <w:rPr>
                <w:sz w:val="20"/>
              </w:rPr>
              <w:t xml:space="preserve">Мастерские проектов</w:t>
            </w:r>
          </w:p>
        </w:tc>
      </w:tr>
      <w:tr>
        <w:tc>
          <w:tcPr>
            <w:tcW w:w="2608" w:type="dxa"/>
          </w:tcPr>
          <w:p>
            <w:pPr>
              <w:pStyle w:val="0"/>
            </w:pPr>
            <w:r>
              <w:rPr>
                <w:sz w:val="20"/>
              </w:rPr>
              <w:t xml:space="preserve">Диверсифицированная многоукладная экономика</w:t>
            </w:r>
          </w:p>
        </w:tc>
        <w:tc>
          <w:tcPr>
            <w:tcW w:w="2438" w:type="dxa"/>
          </w:tcPr>
          <w:p>
            <w:pPr>
              <w:pStyle w:val="0"/>
            </w:pPr>
            <w:r>
              <w:rPr>
                <w:sz w:val="20"/>
              </w:rPr>
              <w:t xml:space="preserve">Международная кооперация и экспорт</w:t>
            </w:r>
          </w:p>
          <w:p>
            <w:pPr>
              <w:pStyle w:val="0"/>
            </w:pPr>
            <w:r>
              <w:rPr>
                <w:sz w:val="20"/>
              </w:rPr>
              <w:t xml:space="preserve">Производительность труда</w:t>
            </w:r>
          </w:p>
        </w:tc>
        <w:tc>
          <w:tcPr>
            <w:tcW w:w="1701" w:type="dxa"/>
          </w:tcPr>
          <w:p>
            <w:pPr>
              <w:pStyle w:val="0"/>
            </w:pPr>
            <w:r>
              <w:rPr>
                <w:sz w:val="20"/>
              </w:rPr>
              <w:t xml:space="preserve">6 проектов</w:t>
            </w:r>
          </w:p>
        </w:tc>
        <w:tc>
          <w:tcPr>
            <w:tcW w:w="2665" w:type="dxa"/>
          </w:tcPr>
          <w:p>
            <w:pPr>
              <w:pStyle w:val="0"/>
            </w:pPr>
            <w:r>
              <w:rPr>
                <w:sz w:val="20"/>
              </w:rPr>
              <w:t xml:space="preserve">Конкурентоспособная и диверсифицированная экономика</w:t>
            </w:r>
          </w:p>
          <w:p>
            <w:pPr>
              <w:pStyle w:val="0"/>
            </w:pPr>
            <w:r>
              <w:rPr>
                <w:sz w:val="20"/>
              </w:rPr>
              <w:t xml:space="preserve">(1 проект)</w:t>
            </w:r>
          </w:p>
        </w:tc>
      </w:tr>
      <w:tr>
        <w:tc>
          <w:tcPr>
            <w:tcW w:w="2608" w:type="dxa"/>
          </w:tcPr>
          <w:p>
            <w:pPr>
              <w:pStyle w:val="0"/>
            </w:pPr>
            <w:r>
              <w:rPr>
                <w:sz w:val="20"/>
              </w:rPr>
              <w:t xml:space="preserve">Управление развитием</w:t>
            </w:r>
          </w:p>
        </w:tc>
        <w:tc>
          <w:tcPr>
            <w:tcW w:w="2438" w:type="dxa"/>
          </w:tcPr>
          <w:p>
            <w:pPr>
              <w:pStyle w:val="0"/>
            </w:pPr>
            <w:r>
              <w:rPr>
                <w:sz w:val="20"/>
              </w:rPr>
              <w:t xml:space="preserve">Цифровая экономика</w:t>
            </w:r>
          </w:p>
          <w:p>
            <w:pPr>
              <w:pStyle w:val="0"/>
            </w:pPr>
            <w:r>
              <w:rPr>
                <w:sz w:val="20"/>
              </w:rPr>
              <w:t xml:space="preserve">Малое и среднее предпринимательство</w:t>
            </w:r>
          </w:p>
        </w:tc>
        <w:tc>
          <w:tcPr>
            <w:tcW w:w="1701" w:type="dxa"/>
          </w:tcPr>
          <w:p>
            <w:pPr>
              <w:pStyle w:val="0"/>
            </w:pPr>
            <w:r>
              <w:rPr>
                <w:sz w:val="20"/>
              </w:rPr>
              <w:t xml:space="preserve">10 проектов</w:t>
            </w:r>
          </w:p>
        </w:tc>
        <w:tc>
          <w:tcPr>
            <w:tcW w:w="2665" w:type="dxa"/>
          </w:tcPr>
          <w:p>
            <w:pPr>
              <w:pStyle w:val="0"/>
            </w:pPr>
            <w:r>
              <w:rPr>
                <w:sz w:val="20"/>
              </w:rPr>
              <w:t xml:space="preserve">Конкурентоспособная и диверсифицированная экономика</w:t>
            </w:r>
          </w:p>
          <w:p>
            <w:pPr>
              <w:pStyle w:val="0"/>
            </w:pPr>
            <w:r>
              <w:rPr>
                <w:sz w:val="20"/>
              </w:rPr>
              <w:t xml:space="preserve">(1 проект)</w:t>
            </w:r>
          </w:p>
        </w:tc>
      </w:tr>
      <w:tr>
        <w:tc>
          <w:tcPr>
            <w:tcW w:w="2608" w:type="dxa"/>
          </w:tcPr>
          <w:p>
            <w:pPr>
              <w:pStyle w:val="0"/>
            </w:pPr>
            <w:r>
              <w:rPr>
                <w:sz w:val="20"/>
              </w:rPr>
              <w:t xml:space="preserve">Здоровье, здравоохранение и социальная сфера</w:t>
            </w:r>
          </w:p>
        </w:tc>
        <w:tc>
          <w:tcPr>
            <w:tcW w:w="2438" w:type="dxa"/>
          </w:tcPr>
          <w:p>
            <w:pPr>
              <w:pStyle w:val="0"/>
            </w:pPr>
            <w:r>
              <w:rPr>
                <w:sz w:val="20"/>
              </w:rPr>
              <w:t xml:space="preserve">Демография</w:t>
            </w:r>
          </w:p>
          <w:p>
            <w:pPr>
              <w:pStyle w:val="0"/>
            </w:pPr>
            <w:r>
              <w:rPr>
                <w:sz w:val="20"/>
              </w:rPr>
              <w:t xml:space="preserve">Культура</w:t>
            </w:r>
          </w:p>
          <w:p>
            <w:pPr>
              <w:pStyle w:val="0"/>
            </w:pPr>
            <w:r>
              <w:rPr>
                <w:sz w:val="20"/>
              </w:rPr>
              <w:t xml:space="preserve">Здравоохранение</w:t>
            </w:r>
          </w:p>
        </w:tc>
        <w:tc>
          <w:tcPr>
            <w:tcW w:w="1701" w:type="dxa"/>
          </w:tcPr>
          <w:p>
            <w:pPr>
              <w:pStyle w:val="0"/>
            </w:pPr>
            <w:r>
              <w:rPr>
                <w:sz w:val="20"/>
              </w:rPr>
              <w:t xml:space="preserve">15 проектов</w:t>
            </w:r>
          </w:p>
        </w:tc>
        <w:tc>
          <w:tcPr>
            <w:tcW w:w="2665" w:type="dxa"/>
          </w:tcPr>
          <w:p>
            <w:pPr>
              <w:pStyle w:val="0"/>
            </w:pPr>
            <w:r>
              <w:rPr>
                <w:sz w:val="20"/>
              </w:rPr>
              <w:t xml:space="preserve">Здоровье и здравоохранение</w:t>
            </w:r>
          </w:p>
          <w:p>
            <w:pPr>
              <w:pStyle w:val="0"/>
            </w:pPr>
            <w:r>
              <w:rPr>
                <w:sz w:val="20"/>
              </w:rPr>
              <w:t xml:space="preserve">(8 проектов)</w:t>
            </w:r>
          </w:p>
        </w:tc>
      </w:tr>
      <w:tr>
        <w:tc>
          <w:tcPr>
            <w:tcW w:w="2608" w:type="dxa"/>
          </w:tcPr>
          <w:p>
            <w:pPr>
              <w:pStyle w:val="0"/>
            </w:pPr>
            <w:r>
              <w:rPr>
                <w:sz w:val="20"/>
              </w:rPr>
              <w:t xml:space="preserve">Человеческий капитал (образование, наука и инновации, развитие институтов гражданского общества)</w:t>
            </w:r>
          </w:p>
        </w:tc>
        <w:tc>
          <w:tcPr>
            <w:tcW w:w="2438" w:type="dxa"/>
          </w:tcPr>
          <w:p>
            <w:pPr>
              <w:pStyle w:val="0"/>
            </w:pPr>
            <w:r>
              <w:rPr>
                <w:sz w:val="20"/>
              </w:rPr>
              <w:t xml:space="preserve">Образование</w:t>
            </w:r>
          </w:p>
        </w:tc>
        <w:tc>
          <w:tcPr>
            <w:tcW w:w="1701" w:type="dxa"/>
          </w:tcPr>
          <w:p>
            <w:pPr>
              <w:pStyle w:val="0"/>
            </w:pPr>
            <w:r>
              <w:rPr>
                <w:sz w:val="20"/>
              </w:rPr>
              <w:t xml:space="preserve">7 проектов</w:t>
            </w:r>
          </w:p>
        </w:tc>
        <w:tc>
          <w:tcPr>
            <w:tcW w:w="2665" w:type="dxa"/>
          </w:tcPr>
          <w:p>
            <w:pPr>
              <w:pStyle w:val="0"/>
            </w:pPr>
            <w:r>
              <w:rPr>
                <w:sz w:val="20"/>
              </w:rPr>
              <w:t xml:space="preserve">Образование и таланты</w:t>
            </w:r>
          </w:p>
          <w:p>
            <w:pPr>
              <w:pStyle w:val="0"/>
            </w:pPr>
            <w:r>
              <w:rPr>
                <w:sz w:val="20"/>
              </w:rPr>
              <w:t xml:space="preserve">(8 проектов)</w:t>
            </w:r>
          </w:p>
        </w:tc>
      </w:tr>
      <w:tr>
        <w:tc>
          <w:tcPr>
            <w:tcW w:w="2608" w:type="dxa"/>
          </w:tcPr>
          <w:p>
            <w:pPr>
              <w:pStyle w:val="0"/>
            </w:pPr>
            <w:r>
              <w:rPr>
                <w:sz w:val="20"/>
              </w:rPr>
              <w:t xml:space="preserve">Инфраструктура и пространственное развитие</w:t>
            </w:r>
          </w:p>
        </w:tc>
        <w:tc>
          <w:tcPr>
            <w:tcW w:w="2438" w:type="dxa"/>
          </w:tcPr>
          <w:p>
            <w:pPr>
              <w:pStyle w:val="0"/>
            </w:pPr>
            <w:r>
              <w:rPr>
                <w:sz w:val="20"/>
              </w:rPr>
              <w:t xml:space="preserve">Безопасные и качественные автомобильные дороги</w:t>
            </w:r>
          </w:p>
        </w:tc>
        <w:tc>
          <w:tcPr>
            <w:tcW w:w="1701" w:type="dxa"/>
          </w:tcPr>
          <w:p>
            <w:pPr>
              <w:pStyle w:val="0"/>
            </w:pPr>
            <w:r>
              <w:rPr>
                <w:sz w:val="20"/>
              </w:rPr>
              <w:t xml:space="preserve">3 проекта</w:t>
            </w:r>
          </w:p>
        </w:tc>
        <w:tc>
          <w:tcPr>
            <w:tcW w:w="2665" w:type="dxa"/>
          </w:tcPr>
          <w:p>
            <w:pPr>
              <w:pStyle w:val="0"/>
            </w:pPr>
            <w:r>
              <w:rPr>
                <w:sz w:val="20"/>
              </w:rPr>
              <w:t xml:space="preserve">Безопасные и качественные дороги</w:t>
            </w:r>
          </w:p>
          <w:p>
            <w:pPr>
              <w:pStyle w:val="0"/>
            </w:pPr>
            <w:r>
              <w:rPr>
                <w:sz w:val="20"/>
              </w:rPr>
              <w:t xml:space="preserve">(9 проектов)</w:t>
            </w:r>
          </w:p>
        </w:tc>
      </w:tr>
      <w:tr>
        <w:tc>
          <w:tcPr>
            <w:tcW w:w="2608" w:type="dxa"/>
          </w:tcPr>
          <w:p>
            <w:pPr>
              <w:pStyle w:val="0"/>
            </w:pPr>
            <w:r>
              <w:rPr>
                <w:sz w:val="20"/>
              </w:rPr>
              <w:t xml:space="preserve">Комфортная городская среда</w:t>
            </w:r>
          </w:p>
        </w:tc>
        <w:tc>
          <w:tcPr>
            <w:tcW w:w="2438" w:type="dxa"/>
          </w:tcPr>
          <w:p>
            <w:pPr>
              <w:pStyle w:val="0"/>
            </w:pPr>
            <w:r>
              <w:rPr>
                <w:sz w:val="20"/>
              </w:rPr>
              <w:t xml:space="preserve">Жилье и городская среда</w:t>
            </w:r>
          </w:p>
        </w:tc>
        <w:tc>
          <w:tcPr>
            <w:tcW w:w="1701" w:type="dxa"/>
          </w:tcPr>
          <w:p>
            <w:pPr>
              <w:pStyle w:val="0"/>
            </w:pPr>
            <w:r>
              <w:rPr>
                <w:sz w:val="20"/>
              </w:rPr>
              <w:t xml:space="preserve">4 проекта</w:t>
            </w:r>
          </w:p>
        </w:tc>
        <w:tc>
          <w:tcPr>
            <w:tcW w:w="2665" w:type="dxa"/>
          </w:tcPr>
          <w:p>
            <w:pPr>
              <w:pStyle w:val="0"/>
            </w:pPr>
            <w:r>
              <w:rPr>
                <w:sz w:val="20"/>
              </w:rPr>
              <w:t xml:space="preserve">Комфортная городская среда</w:t>
            </w:r>
          </w:p>
          <w:p>
            <w:pPr>
              <w:pStyle w:val="0"/>
            </w:pPr>
            <w:r>
              <w:rPr>
                <w:sz w:val="20"/>
              </w:rPr>
              <w:t xml:space="preserve">(11 проектов)</w:t>
            </w:r>
          </w:p>
        </w:tc>
      </w:tr>
      <w:tr>
        <w:tc>
          <w:tcPr>
            <w:tcW w:w="2608" w:type="dxa"/>
          </w:tcPr>
          <w:p>
            <w:pPr>
              <w:pStyle w:val="0"/>
            </w:pPr>
            <w:r>
              <w:rPr>
                <w:sz w:val="20"/>
              </w:rPr>
              <w:t xml:space="preserve">Зеленый и безопасный регион</w:t>
            </w:r>
          </w:p>
        </w:tc>
        <w:tc>
          <w:tcPr>
            <w:tcW w:w="2438" w:type="dxa"/>
          </w:tcPr>
          <w:p>
            <w:pPr>
              <w:pStyle w:val="0"/>
            </w:pPr>
            <w:r>
              <w:rPr>
                <w:sz w:val="20"/>
              </w:rPr>
              <w:t xml:space="preserve">Экология</w:t>
            </w:r>
          </w:p>
        </w:tc>
        <w:tc>
          <w:tcPr>
            <w:tcW w:w="1701" w:type="dxa"/>
          </w:tcPr>
          <w:p>
            <w:pPr>
              <w:pStyle w:val="0"/>
            </w:pPr>
            <w:r>
              <w:rPr>
                <w:sz w:val="20"/>
              </w:rPr>
              <w:t xml:space="preserve">5 проектов</w:t>
            </w:r>
          </w:p>
        </w:tc>
        <w:tc>
          <w:tcPr>
            <w:tcW w:w="2665" w:type="dxa"/>
          </w:tcPr>
          <w:p>
            <w:pPr>
              <w:pStyle w:val="0"/>
            </w:pPr>
            <w:r>
              <w:rPr>
                <w:sz w:val="20"/>
              </w:rPr>
              <w:t xml:space="preserve">Комфортная городская среда</w:t>
            </w:r>
          </w:p>
          <w:p>
            <w:pPr>
              <w:pStyle w:val="0"/>
            </w:pPr>
            <w:r>
              <w:rPr>
                <w:sz w:val="20"/>
              </w:rPr>
              <w:t xml:space="preserve">(5 проектов)</w:t>
            </w:r>
          </w:p>
        </w:tc>
      </w:tr>
    </w:tbl>
    <w:p>
      <w:pPr>
        <w:pStyle w:val="0"/>
        <w:jc w:val="both"/>
      </w:pPr>
      <w:r>
        <w:rPr>
          <w:sz w:val="20"/>
        </w:rPr>
      </w:r>
    </w:p>
    <w:p>
      <w:pPr>
        <w:pStyle w:val="0"/>
        <w:ind w:firstLine="540"/>
        <w:jc w:val="both"/>
      </w:pPr>
      <w:r>
        <w:rPr>
          <w:sz w:val="20"/>
        </w:rPr>
        <w:t xml:space="preserve">Стратегия учитывает основные положения </w:t>
      </w:r>
      <w:hyperlink w:history="0" r:id="rId70"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Указа</w:t>
        </w:r>
      </w:hyperlink>
      <w:r>
        <w:rPr>
          <w:sz w:val="20"/>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 (таблица N 3).</w:t>
      </w:r>
    </w:p>
    <w:p>
      <w:pPr>
        <w:pStyle w:val="0"/>
        <w:jc w:val="both"/>
      </w:pPr>
      <w:r>
        <w:rPr>
          <w:sz w:val="20"/>
        </w:rPr>
      </w:r>
    </w:p>
    <w:p>
      <w:pPr>
        <w:pStyle w:val="0"/>
        <w:outlineLvl w:val="3"/>
        <w:jc w:val="right"/>
      </w:pPr>
      <w:r>
        <w:rPr>
          <w:sz w:val="20"/>
        </w:rPr>
        <w:t xml:space="preserve">Таблица N 3</w:t>
      </w:r>
    </w:p>
    <w:p>
      <w:pPr>
        <w:pStyle w:val="0"/>
        <w:jc w:val="both"/>
      </w:pPr>
      <w:r>
        <w:rPr>
          <w:sz w:val="20"/>
        </w:rPr>
      </w:r>
    </w:p>
    <w:p>
      <w:pPr>
        <w:pStyle w:val="2"/>
        <w:jc w:val="center"/>
      </w:pPr>
      <w:r>
        <w:rPr>
          <w:sz w:val="20"/>
        </w:rPr>
        <w:t xml:space="preserve">Соответствие приоритетных направлений и стратегических целей</w:t>
      </w:r>
    </w:p>
    <w:p>
      <w:pPr>
        <w:pStyle w:val="2"/>
        <w:jc w:val="center"/>
      </w:pPr>
      <w:hyperlink w:history="0" r:id="rId71"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Указу</w:t>
        </w:r>
      </w:hyperlink>
      <w:r>
        <w:rPr>
          <w:sz w:val="20"/>
        </w:rPr>
        <w:t xml:space="preserve"> Президента Российской Федерации от 7 мая 2018 года N</w:t>
      </w:r>
    </w:p>
    <w:p>
      <w:pPr>
        <w:pStyle w:val="2"/>
        <w:jc w:val="center"/>
      </w:pPr>
      <w:r>
        <w:rPr>
          <w:sz w:val="20"/>
        </w:rPr>
        <w:t xml:space="preserve">204 "О национальных целях и стратегических задачах развития</w:t>
      </w:r>
    </w:p>
    <w:p>
      <w:pPr>
        <w:pStyle w:val="2"/>
        <w:jc w:val="center"/>
      </w:pPr>
      <w:r>
        <w:rPr>
          <w:sz w:val="20"/>
        </w:rPr>
        <w:t xml:space="preserve">Российской Федерации на период до 2024 года" и федеральным</w:t>
      </w:r>
    </w:p>
    <w:p>
      <w:pPr>
        <w:pStyle w:val="2"/>
        <w:jc w:val="center"/>
      </w:pPr>
      <w:r>
        <w:rPr>
          <w:sz w:val="20"/>
        </w:rPr>
        <w:t xml:space="preserve">инициативам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3288"/>
        <w:gridCol w:w="3175"/>
      </w:tblGrid>
      <w:tr>
        <w:tc>
          <w:tcPr>
            <w:tcW w:w="2608" w:type="dxa"/>
          </w:tcPr>
          <w:p>
            <w:pPr>
              <w:pStyle w:val="0"/>
              <w:jc w:val="center"/>
            </w:pPr>
            <w:r>
              <w:rPr>
                <w:sz w:val="20"/>
              </w:rPr>
              <w:t xml:space="preserve">Приоритетные направления развития Курской области</w:t>
            </w:r>
          </w:p>
        </w:tc>
        <w:tc>
          <w:tcPr>
            <w:tcW w:w="3288" w:type="dxa"/>
          </w:tcPr>
          <w:p>
            <w:pPr>
              <w:pStyle w:val="0"/>
              <w:jc w:val="center"/>
            </w:pPr>
            <w:r>
              <w:rPr>
                <w:sz w:val="20"/>
              </w:rPr>
              <w:t xml:space="preserve">Национальные и федеральные проекты, иные федеральные инициативы</w:t>
            </w:r>
          </w:p>
        </w:tc>
        <w:tc>
          <w:tcPr>
            <w:tcW w:w="3175" w:type="dxa"/>
          </w:tcPr>
          <w:p>
            <w:pPr>
              <w:pStyle w:val="0"/>
              <w:jc w:val="center"/>
            </w:pPr>
            <w:r>
              <w:rPr>
                <w:sz w:val="20"/>
              </w:rPr>
              <w:t xml:space="preserve">Региональные проекты Курской области</w:t>
            </w:r>
          </w:p>
        </w:tc>
      </w:tr>
      <w:tr>
        <w:tc>
          <w:tcPr>
            <w:tcW w:w="2608" w:type="dxa"/>
            <w:vMerge w:val="restart"/>
          </w:tcPr>
          <w:p>
            <w:pPr>
              <w:pStyle w:val="0"/>
              <w:jc w:val="both"/>
            </w:pPr>
            <w:r>
              <w:rPr>
                <w:sz w:val="20"/>
              </w:rPr>
              <w:t xml:space="preserve">Диверсифицированная многоукладная экономика</w:t>
            </w:r>
          </w:p>
        </w:tc>
        <w:tc>
          <w:tcPr>
            <w:tcW w:w="3288" w:type="dxa"/>
            <w:tcBorders>
              <w:bottom w:val="nil"/>
            </w:tcBorders>
          </w:tcPr>
          <w:p>
            <w:pPr>
              <w:pStyle w:val="0"/>
              <w:jc w:val="both"/>
            </w:pPr>
            <w:r>
              <w:rPr>
                <w:sz w:val="20"/>
              </w:rPr>
              <w:t xml:space="preserve">Национальный проект "Повышение производительности труда и поддержка занятости" включает следующие федеральные проекты:</w:t>
            </w:r>
          </w:p>
          <w:p>
            <w:pPr>
              <w:pStyle w:val="0"/>
              <w:jc w:val="both"/>
            </w:pPr>
            <w:r>
              <w:rPr>
                <w:sz w:val="20"/>
              </w:rPr>
              <w:t xml:space="preserve">- "Системные меры по повышению производительности труда";</w:t>
            </w:r>
          </w:p>
          <w:p>
            <w:pPr>
              <w:pStyle w:val="0"/>
              <w:jc w:val="both"/>
            </w:pPr>
            <w:r>
              <w:rPr>
                <w:sz w:val="20"/>
              </w:rPr>
              <w:t xml:space="preserve">- "Адресная поддержка повышения производительности труда на предприятиях";</w:t>
            </w:r>
          </w:p>
          <w:p>
            <w:pPr>
              <w:pStyle w:val="0"/>
              <w:jc w:val="both"/>
            </w:pPr>
            <w:r>
              <w:rPr>
                <w:sz w:val="20"/>
              </w:rPr>
              <w:t xml:space="preserve">- "Поддержка занятости и повышение эффективности рынка труда для обеспечения производительности труда".</w:t>
            </w:r>
          </w:p>
        </w:tc>
        <w:tc>
          <w:tcPr>
            <w:tcW w:w="3175" w:type="dxa"/>
            <w:tcBorders>
              <w:bottom w:val="nil"/>
            </w:tcBorders>
          </w:tcPr>
          <w:p>
            <w:pPr>
              <w:pStyle w:val="0"/>
              <w:jc w:val="both"/>
            </w:pPr>
            <w:r>
              <w:rPr>
                <w:sz w:val="20"/>
              </w:rPr>
              <w:t xml:space="preserve">В рамках национального проекта "Повышение производительности труда и поддержка занятости":</w:t>
            </w:r>
          </w:p>
          <w:p>
            <w:pPr>
              <w:pStyle w:val="0"/>
              <w:jc w:val="both"/>
            </w:pPr>
            <w:r>
              <w:rPr>
                <w:sz w:val="20"/>
              </w:rPr>
              <w:t xml:space="preserve">- "Адресная поддержка повышения производительности труда на предприятиях";</w:t>
            </w:r>
          </w:p>
          <w:p>
            <w:pPr>
              <w:pStyle w:val="0"/>
              <w:jc w:val="both"/>
            </w:pPr>
            <w:r>
              <w:rPr>
                <w:sz w:val="20"/>
              </w:rPr>
              <w:t xml:space="preserve">- "Поддержка занятости и повышение эффективности рынка труда для обеспечения роста производительности труда";</w:t>
            </w:r>
          </w:p>
          <w:p>
            <w:pPr>
              <w:pStyle w:val="0"/>
              <w:jc w:val="both"/>
            </w:pPr>
            <w:r>
              <w:rPr>
                <w:sz w:val="20"/>
              </w:rPr>
              <w:t xml:space="preserve">- "Системные меры по повышению производительности труда".</w:t>
            </w:r>
          </w:p>
        </w:tc>
      </w:tr>
      <w:tr>
        <w:tblPrEx>
          <w:tblBorders>
            <w:insideH w:val="nil"/>
          </w:tblBorders>
        </w:tblPrEx>
        <w:tc>
          <w:tcPr>
            <w:vMerge w:val="continue"/>
          </w:tcPr>
          <w:p/>
        </w:tc>
        <w:tc>
          <w:tcPr>
            <w:tcW w:w="3288" w:type="dxa"/>
            <w:tcBorders>
              <w:top w:val="nil"/>
              <w:bottom w:val="nil"/>
            </w:tcBorders>
          </w:tcPr>
          <w:p>
            <w:pPr>
              <w:pStyle w:val="0"/>
              <w:jc w:val="both"/>
            </w:pPr>
            <w:r>
              <w:rPr>
                <w:sz w:val="20"/>
              </w:rPr>
              <w:t xml:space="preserve">Национальный проект "Международная кооперация и экспорт" включает следующие федеральные проекты:</w:t>
            </w:r>
          </w:p>
          <w:p>
            <w:pPr>
              <w:pStyle w:val="0"/>
              <w:jc w:val="both"/>
            </w:pPr>
            <w:r>
              <w:rPr>
                <w:sz w:val="20"/>
              </w:rPr>
              <w:t xml:space="preserve">- "Промышленный экспорт";</w:t>
            </w:r>
          </w:p>
          <w:p>
            <w:pPr>
              <w:pStyle w:val="0"/>
              <w:jc w:val="both"/>
            </w:pPr>
            <w:r>
              <w:rPr>
                <w:sz w:val="20"/>
              </w:rPr>
              <w:t xml:space="preserve">- "Экспорт продукции АПК";</w:t>
            </w:r>
          </w:p>
          <w:p>
            <w:pPr>
              <w:pStyle w:val="0"/>
              <w:jc w:val="both"/>
            </w:pPr>
            <w:r>
              <w:rPr>
                <w:sz w:val="20"/>
              </w:rPr>
              <w:t xml:space="preserve">- "Логистика международной торговли";</w:t>
            </w:r>
          </w:p>
          <w:p>
            <w:pPr>
              <w:pStyle w:val="0"/>
              <w:jc w:val="both"/>
            </w:pPr>
            <w:r>
              <w:rPr>
                <w:sz w:val="20"/>
              </w:rPr>
              <w:t xml:space="preserve">- "Экспорт услуг";</w:t>
            </w:r>
          </w:p>
          <w:p>
            <w:pPr>
              <w:pStyle w:val="0"/>
              <w:jc w:val="both"/>
            </w:pPr>
            <w:r>
              <w:rPr>
                <w:sz w:val="20"/>
              </w:rPr>
              <w:t xml:space="preserve">- "Системные меры развития международной кооперации и экспорта".</w:t>
            </w:r>
          </w:p>
        </w:tc>
        <w:tc>
          <w:tcPr>
            <w:tcW w:w="3175" w:type="dxa"/>
            <w:tcBorders>
              <w:top w:val="nil"/>
              <w:bottom w:val="nil"/>
            </w:tcBorders>
          </w:tcPr>
          <w:p>
            <w:pPr>
              <w:pStyle w:val="0"/>
              <w:jc w:val="both"/>
            </w:pPr>
            <w:r>
              <w:rPr>
                <w:sz w:val="20"/>
              </w:rPr>
              <w:t xml:space="preserve">В рамках национального проекта "Международная кооперация и экспорт":</w:t>
            </w:r>
          </w:p>
          <w:p>
            <w:pPr>
              <w:pStyle w:val="0"/>
              <w:jc w:val="both"/>
            </w:pPr>
            <w:r>
              <w:rPr>
                <w:sz w:val="20"/>
              </w:rPr>
              <w:t xml:space="preserve">- "Развитие экспорта продукции АПК Курской области";</w:t>
            </w:r>
          </w:p>
          <w:p>
            <w:pPr>
              <w:pStyle w:val="0"/>
              <w:jc w:val="both"/>
            </w:pPr>
            <w:r>
              <w:rPr>
                <w:sz w:val="20"/>
              </w:rPr>
              <w:t xml:space="preserve">- "Экспорт услуг";</w:t>
            </w:r>
          </w:p>
          <w:p>
            <w:pPr>
              <w:pStyle w:val="0"/>
              <w:jc w:val="both"/>
            </w:pPr>
            <w:r>
              <w:rPr>
                <w:sz w:val="20"/>
              </w:rPr>
              <w:t xml:space="preserve">- "Системные меры развития международной кооперации и экспорта"</w:t>
            </w:r>
          </w:p>
        </w:tc>
      </w:tr>
      <w:tr>
        <w:tc>
          <w:tcPr>
            <w:vMerge w:val="continue"/>
          </w:tcPr>
          <w:p/>
        </w:tc>
        <w:tc>
          <w:tcPr>
            <w:tcW w:w="3288" w:type="dxa"/>
            <w:tcBorders>
              <w:top w:val="nil"/>
            </w:tcBorders>
          </w:tcPr>
          <w:p>
            <w:pPr>
              <w:pStyle w:val="0"/>
              <w:jc w:val="both"/>
            </w:pPr>
            <w:r>
              <w:rPr>
                <w:sz w:val="20"/>
              </w:rPr>
              <w:t xml:space="preserve">Национальный проект "Малое и среднее предпринимательство и поддержка индивидуальной предпринимательской инициативы" включает следующие федеральные проекты:</w:t>
            </w:r>
          </w:p>
          <w:p>
            <w:pPr>
              <w:pStyle w:val="0"/>
              <w:jc w:val="both"/>
            </w:pPr>
            <w:r>
              <w:rPr>
                <w:sz w:val="20"/>
              </w:rPr>
              <w:t xml:space="preserve">- "Улучшение условий ведения предпринимательской деятельности";</w:t>
            </w:r>
          </w:p>
          <w:p>
            <w:pPr>
              <w:pStyle w:val="0"/>
              <w:jc w:val="both"/>
            </w:pPr>
            <w:r>
              <w:rPr>
                <w:sz w:val="20"/>
              </w:rPr>
              <w:t xml:space="preserve">- "Расширение доступа субъектов малого и среднего предпринимательства к финансовым ресурсам, в том числе к льготному финансированию";</w:t>
            </w:r>
          </w:p>
          <w:p>
            <w:pPr>
              <w:pStyle w:val="0"/>
              <w:jc w:val="both"/>
            </w:pPr>
            <w:r>
              <w:rPr>
                <w:sz w:val="20"/>
              </w:rPr>
              <w:t xml:space="preserve">- "Акселерация субъектов малого и среднего предпринимательства";</w:t>
            </w:r>
          </w:p>
          <w:p>
            <w:pPr>
              <w:pStyle w:val="0"/>
              <w:jc w:val="both"/>
            </w:pPr>
            <w:r>
              <w:rPr>
                <w:sz w:val="20"/>
              </w:rPr>
              <w:t xml:space="preserve">- "Создание системы поддержки фермеров и развитие сельской кооперации";</w:t>
            </w:r>
          </w:p>
          <w:p>
            <w:pPr>
              <w:pStyle w:val="0"/>
              <w:jc w:val="both"/>
            </w:pPr>
            <w:r>
              <w:rPr>
                <w:sz w:val="20"/>
              </w:rPr>
              <w:t xml:space="preserve">- "Популяризация предпринимательства".</w:t>
            </w:r>
          </w:p>
          <w:p>
            <w:pPr>
              <w:pStyle w:val="0"/>
              <w:jc w:val="both"/>
            </w:pPr>
            <w:r>
              <w:rPr>
                <w:sz w:val="20"/>
              </w:rPr>
              <w:t xml:space="preserve">Инициативы со стороны Агентства стратегических инициатив:</w:t>
            </w:r>
          </w:p>
          <w:p>
            <w:pPr>
              <w:pStyle w:val="0"/>
              <w:jc w:val="both"/>
            </w:pPr>
            <w:r>
              <w:rPr>
                <w:sz w:val="20"/>
              </w:rPr>
              <w:t xml:space="preserve">- "Национальная технологическая инициатива";</w:t>
            </w:r>
          </w:p>
          <w:p>
            <w:pPr>
              <w:pStyle w:val="0"/>
              <w:jc w:val="both"/>
            </w:pPr>
            <w:r>
              <w:rPr>
                <w:sz w:val="20"/>
              </w:rPr>
              <w:t xml:space="preserve">- "Улучшение инвестиционного рейтинга";</w:t>
            </w:r>
          </w:p>
          <w:p>
            <w:pPr>
              <w:pStyle w:val="0"/>
              <w:jc w:val="both"/>
            </w:pPr>
            <w:r>
              <w:rPr>
                <w:sz w:val="20"/>
              </w:rPr>
              <w:t xml:space="preserve">- "Кадровое обеспечение экономики";</w:t>
            </w:r>
          </w:p>
          <w:p>
            <w:pPr>
              <w:pStyle w:val="0"/>
              <w:jc w:val="both"/>
            </w:pPr>
            <w:r>
              <w:rPr>
                <w:sz w:val="20"/>
              </w:rPr>
              <w:t xml:space="preserve">- "Навыки будущего"</w:t>
            </w:r>
          </w:p>
        </w:tc>
        <w:tc>
          <w:tcPr>
            <w:tcW w:w="3175" w:type="dxa"/>
            <w:tcBorders>
              <w:top w:val="nil"/>
            </w:tcBorders>
          </w:tcPr>
          <w:p>
            <w:pPr>
              <w:pStyle w:val="0"/>
              <w:jc w:val="both"/>
            </w:pPr>
            <w:r>
              <w:rPr>
                <w:sz w:val="20"/>
              </w:rPr>
              <w:t xml:space="preserve">В рамках национального проекта "Малое и среднее предпринимательство":</w:t>
            </w:r>
          </w:p>
          <w:p>
            <w:pPr>
              <w:pStyle w:val="0"/>
              <w:jc w:val="both"/>
            </w:pPr>
            <w:r>
              <w:rPr>
                <w:sz w:val="20"/>
              </w:rPr>
              <w:t xml:space="preserve">- "Улучшение условий ведения предпринимательской деятельности";</w:t>
            </w:r>
          </w:p>
          <w:p>
            <w:pPr>
              <w:pStyle w:val="0"/>
              <w:jc w:val="both"/>
            </w:pPr>
            <w:r>
              <w:rPr>
                <w:sz w:val="20"/>
              </w:rPr>
              <w:t xml:space="preserve">- "Расширение доступа субъектов малого и среднего предпринимательства к финансовым ресурсам, в том числе к льготному финансированию";</w:t>
            </w:r>
          </w:p>
          <w:p>
            <w:pPr>
              <w:pStyle w:val="0"/>
              <w:jc w:val="both"/>
            </w:pPr>
            <w:r>
              <w:rPr>
                <w:sz w:val="20"/>
              </w:rPr>
              <w:t xml:space="preserve">- "Акселерация субъектов малого и среднего предпринимательства";</w:t>
            </w:r>
          </w:p>
          <w:p>
            <w:pPr>
              <w:pStyle w:val="0"/>
              <w:jc w:val="both"/>
            </w:pPr>
            <w:r>
              <w:rPr>
                <w:sz w:val="20"/>
              </w:rPr>
              <w:t xml:space="preserve">- "Создание системы поддержки фермеров и развитие сельской кооперации в Курской области";</w:t>
            </w:r>
          </w:p>
          <w:p>
            <w:pPr>
              <w:pStyle w:val="0"/>
              <w:jc w:val="both"/>
            </w:pPr>
            <w:r>
              <w:rPr>
                <w:sz w:val="20"/>
              </w:rPr>
              <w:t xml:space="preserve">- "Популяризация предпринимательства"</w:t>
            </w:r>
          </w:p>
        </w:tc>
      </w:tr>
      <w:tr>
        <w:tc>
          <w:tcPr>
            <w:tcW w:w="2608" w:type="dxa"/>
          </w:tcPr>
          <w:p>
            <w:pPr>
              <w:pStyle w:val="0"/>
              <w:jc w:val="both"/>
            </w:pPr>
            <w:r>
              <w:rPr>
                <w:sz w:val="20"/>
              </w:rPr>
              <w:t xml:space="preserve">Управление развитием</w:t>
            </w:r>
          </w:p>
        </w:tc>
        <w:tc>
          <w:tcPr>
            <w:tcW w:w="3288" w:type="dxa"/>
          </w:tcPr>
          <w:p>
            <w:pPr>
              <w:pStyle w:val="0"/>
              <w:jc w:val="both"/>
            </w:pPr>
            <w:r>
              <w:rPr>
                <w:sz w:val="20"/>
              </w:rPr>
              <w:t xml:space="preserve">Национальная программа "Цифровая экономика Российской Федерации" включает следующие федеральные проекты:</w:t>
            </w:r>
          </w:p>
          <w:p>
            <w:pPr>
              <w:pStyle w:val="0"/>
              <w:jc w:val="both"/>
            </w:pPr>
            <w:r>
              <w:rPr>
                <w:sz w:val="20"/>
              </w:rPr>
              <w:t xml:space="preserve">- "Нормативное регулирование цифровой среды";</w:t>
            </w:r>
          </w:p>
          <w:p>
            <w:pPr>
              <w:pStyle w:val="0"/>
              <w:jc w:val="both"/>
            </w:pPr>
            <w:r>
              <w:rPr>
                <w:sz w:val="20"/>
              </w:rPr>
              <w:t xml:space="preserve">- "Информационная инфраструктура";</w:t>
            </w:r>
          </w:p>
          <w:p>
            <w:pPr>
              <w:pStyle w:val="0"/>
              <w:jc w:val="both"/>
            </w:pPr>
            <w:r>
              <w:rPr>
                <w:sz w:val="20"/>
              </w:rPr>
              <w:t xml:space="preserve">- "Кадры для цифровой экономики";</w:t>
            </w:r>
          </w:p>
          <w:p>
            <w:pPr>
              <w:pStyle w:val="0"/>
              <w:jc w:val="both"/>
            </w:pPr>
            <w:r>
              <w:rPr>
                <w:sz w:val="20"/>
              </w:rPr>
              <w:t xml:space="preserve">- "Информационная безопасность";</w:t>
            </w:r>
          </w:p>
          <w:p>
            <w:pPr>
              <w:pStyle w:val="0"/>
              <w:jc w:val="both"/>
            </w:pPr>
            <w:r>
              <w:rPr>
                <w:sz w:val="20"/>
              </w:rPr>
              <w:t xml:space="preserve">- "Цифровые технологии";</w:t>
            </w:r>
          </w:p>
          <w:p>
            <w:pPr>
              <w:pStyle w:val="0"/>
              <w:jc w:val="both"/>
            </w:pPr>
            <w:r>
              <w:rPr>
                <w:sz w:val="20"/>
              </w:rPr>
              <w:t xml:space="preserve">- "Цифровое государственное управление"</w:t>
            </w:r>
          </w:p>
        </w:tc>
        <w:tc>
          <w:tcPr>
            <w:tcW w:w="3175" w:type="dxa"/>
          </w:tcPr>
          <w:p>
            <w:pPr>
              <w:pStyle w:val="0"/>
              <w:jc w:val="both"/>
            </w:pPr>
            <w:r>
              <w:rPr>
                <w:sz w:val="20"/>
              </w:rPr>
              <w:t xml:space="preserve">В рамках национальной программы "Цифровая экономика Российской Федерации":</w:t>
            </w:r>
          </w:p>
          <w:p>
            <w:pPr>
              <w:pStyle w:val="0"/>
              <w:jc w:val="both"/>
            </w:pPr>
            <w:r>
              <w:rPr>
                <w:sz w:val="20"/>
              </w:rPr>
              <w:t xml:space="preserve">- "Кадры для цифровой экономики";</w:t>
            </w:r>
          </w:p>
          <w:p>
            <w:pPr>
              <w:pStyle w:val="0"/>
              <w:jc w:val="both"/>
            </w:pPr>
            <w:r>
              <w:rPr>
                <w:sz w:val="20"/>
              </w:rPr>
              <w:t xml:space="preserve">- "Информационная безопасность";</w:t>
            </w:r>
          </w:p>
          <w:p>
            <w:pPr>
              <w:pStyle w:val="0"/>
              <w:jc w:val="both"/>
            </w:pPr>
            <w:r>
              <w:rPr>
                <w:sz w:val="20"/>
              </w:rPr>
              <w:t xml:space="preserve">- "Информационная инфраструктура";</w:t>
            </w:r>
          </w:p>
          <w:p>
            <w:pPr>
              <w:pStyle w:val="0"/>
              <w:jc w:val="both"/>
            </w:pPr>
            <w:r>
              <w:rPr>
                <w:sz w:val="20"/>
              </w:rPr>
              <w:t xml:space="preserve">- "Цифровые технологии";</w:t>
            </w:r>
          </w:p>
          <w:p>
            <w:pPr>
              <w:pStyle w:val="0"/>
              <w:jc w:val="both"/>
            </w:pPr>
            <w:r>
              <w:rPr>
                <w:sz w:val="20"/>
              </w:rPr>
              <w:t xml:space="preserve">- "Цифровое государственное управление"</w:t>
            </w:r>
          </w:p>
        </w:tc>
      </w:tr>
      <w:tr>
        <w:tc>
          <w:tcPr>
            <w:tcW w:w="2608" w:type="dxa"/>
            <w:vMerge w:val="restart"/>
          </w:tcPr>
          <w:p>
            <w:pPr>
              <w:pStyle w:val="0"/>
              <w:jc w:val="both"/>
            </w:pPr>
            <w:r>
              <w:rPr>
                <w:sz w:val="20"/>
              </w:rPr>
              <w:t xml:space="preserve">Здоровье, здравоохранение и социальная сфера</w:t>
            </w:r>
          </w:p>
        </w:tc>
        <w:tc>
          <w:tcPr>
            <w:tcW w:w="3288" w:type="dxa"/>
            <w:tcBorders>
              <w:bottom w:val="nil"/>
            </w:tcBorders>
          </w:tcPr>
          <w:p>
            <w:pPr>
              <w:pStyle w:val="0"/>
              <w:jc w:val="both"/>
            </w:pPr>
            <w:r>
              <w:rPr>
                <w:sz w:val="20"/>
              </w:rPr>
              <w:t xml:space="preserve">Национальный проект "Демография", включает следующие федеральные проекты:</w:t>
            </w:r>
          </w:p>
          <w:p>
            <w:pPr>
              <w:pStyle w:val="0"/>
              <w:jc w:val="both"/>
            </w:pPr>
            <w:r>
              <w:rPr>
                <w:sz w:val="20"/>
              </w:rPr>
              <w:t xml:space="preserve">- "Финансовая поддержка семей при рождении детей";</w:t>
            </w:r>
          </w:p>
          <w:p>
            <w:pPr>
              <w:pStyle w:val="0"/>
              <w:jc w:val="both"/>
            </w:pPr>
            <w:r>
              <w:rPr>
                <w:sz w:val="20"/>
              </w:rPr>
              <w:t xml:space="preserve">- "Содействие занятости женщин - создание условий для дошкольного образования детей в возрасте до трех лет";</w:t>
            </w:r>
          </w:p>
          <w:p>
            <w:pPr>
              <w:pStyle w:val="0"/>
              <w:jc w:val="both"/>
            </w:pPr>
            <w:r>
              <w:rPr>
                <w:sz w:val="20"/>
              </w:rPr>
              <w:t xml:space="preserve">- "Разработка и реализация программы системной поддержки и повышения качества жизни граждан старшего поколения";</w:t>
            </w:r>
          </w:p>
          <w:p>
            <w:pPr>
              <w:pStyle w:val="0"/>
              <w:jc w:val="both"/>
            </w:pPr>
            <w:r>
              <w:rPr>
                <w:sz w:val="20"/>
              </w:rPr>
              <w:t xml:space="preserve">- "Формирование системы мотивации граждан к здоровому образу жизни, включая здоровое питание и отказ от вредных привычек";</w:t>
            </w:r>
          </w:p>
          <w:p>
            <w:pPr>
              <w:pStyle w:val="0"/>
              <w:jc w:val="both"/>
            </w:pPr>
            <w:r>
              <w:rPr>
                <w:sz w:val="20"/>
              </w:rPr>
              <w:t xml:space="preserve">-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w:t>
            </w:r>
          </w:p>
        </w:tc>
        <w:tc>
          <w:tcPr>
            <w:tcW w:w="3175" w:type="dxa"/>
            <w:tcBorders>
              <w:bottom w:val="nil"/>
            </w:tcBorders>
          </w:tcPr>
          <w:p>
            <w:pPr>
              <w:pStyle w:val="0"/>
              <w:jc w:val="both"/>
            </w:pPr>
            <w:r>
              <w:rPr>
                <w:sz w:val="20"/>
              </w:rPr>
              <w:t xml:space="preserve">В рамках национального проекта "Демография":</w:t>
            </w:r>
          </w:p>
          <w:p>
            <w:pPr>
              <w:pStyle w:val="0"/>
              <w:jc w:val="both"/>
            </w:pPr>
            <w:r>
              <w:rPr>
                <w:sz w:val="20"/>
              </w:rPr>
              <w:t xml:space="preserve">-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(спорт - норма жизни)";</w:t>
            </w:r>
          </w:p>
          <w:p>
            <w:pPr>
              <w:pStyle w:val="0"/>
              <w:jc w:val="both"/>
            </w:pPr>
            <w:r>
              <w:rPr>
                <w:sz w:val="20"/>
              </w:rPr>
              <w:t xml:space="preserve">- "Формирование системы мотивации граждан к здоровому образу жизни, включая здоровое питание и отказ от вредных привычек в Курской области";</w:t>
            </w:r>
          </w:p>
          <w:p>
            <w:pPr>
              <w:pStyle w:val="0"/>
              <w:jc w:val="both"/>
            </w:pPr>
            <w:r>
              <w:rPr>
                <w:sz w:val="20"/>
              </w:rPr>
              <w:t xml:space="preserve">- "Разработка и реализация программы системной поддержки и повышения качества жизни граждан старшего поколения на территории Курской области";</w:t>
            </w:r>
          </w:p>
          <w:p>
            <w:pPr>
              <w:pStyle w:val="0"/>
              <w:jc w:val="both"/>
            </w:pPr>
            <w:r>
              <w:rPr>
                <w:sz w:val="20"/>
              </w:rPr>
              <w:t xml:space="preserve">- "Финансовая поддержка семей при рождении детей в Курской области";</w:t>
            </w:r>
          </w:p>
          <w:p>
            <w:pPr>
              <w:pStyle w:val="0"/>
              <w:jc w:val="both"/>
            </w:pPr>
            <w:r>
              <w:rPr>
                <w:sz w:val="20"/>
              </w:rPr>
              <w:t xml:space="preserve">- "Создание условий для осуществления трудовой деятельности женщин, имеющих детей, включая достижение 100-процентной доступности (к 2021 году) дошкольного образования для детей в возрасте до трех лет".</w:t>
            </w:r>
          </w:p>
        </w:tc>
      </w:tr>
      <w:tr>
        <w:tblPrEx>
          <w:tblBorders>
            <w:insideH w:val="nil"/>
          </w:tblBorders>
        </w:tblPrEx>
        <w:tc>
          <w:tcPr>
            <w:vMerge w:val="continue"/>
          </w:tcPr>
          <w:p/>
        </w:tc>
        <w:tc>
          <w:tcPr>
            <w:tcW w:w="3288" w:type="dxa"/>
            <w:tcBorders>
              <w:top w:val="nil"/>
              <w:bottom w:val="nil"/>
            </w:tcBorders>
          </w:tcPr>
          <w:p>
            <w:pPr>
              <w:pStyle w:val="0"/>
              <w:jc w:val="both"/>
            </w:pPr>
            <w:r>
              <w:rPr>
                <w:sz w:val="20"/>
              </w:rPr>
              <w:t xml:space="preserve">Национальный проект "Культура" включает следующие федеральные проекты:</w:t>
            </w:r>
          </w:p>
          <w:p>
            <w:pPr>
              <w:pStyle w:val="0"/>
              <w:jc w:val="both"/>
            </w:pPr>
            <w:r>
              <w:rPr>
                <w:sz w:val="20"/>
              </w:rPr>
              <w:t xml:space="preserve">- "Обеспечение качественно нового уровня развития инфраструктуры культуры";</w:t>
            </w:r>
          </w:p>
          <w:p>
            <w:pPr>
              <w:pStyle w:val="0"/>
              <w:jc w:val="both"/>
            </w:pPr>
            <w:r>
              <w:rPr>
                <w:sz w:val="20"/>
              </w:rPr>
              <w:t xml:space="preserve">- "Создание условий для реализации творческого потенциала нации";</w:t>
            </w:r>
          </w:p>
          <w:p>
            <w:pPr>
              <w:pStyle w:val="0"/>
              <w:jc w:val="both"/>
            </w:pPr>
            <w:r>
              <w:rPr>
                <w:sz w:val="20"/>
              </w:rPr>
              <w:t xml:space="preserve">- "Цифровизация услуг и формирование информационного пространства в сфере культуры".</w:t>
            </w:r>
          </w:p>
        </w:tc>
        <w:tc>
          <w:tcPr>
            <w:tcW w:w="3175" w:type="dxa"/>
            <w:tcBorders>
              <w:top w:val="nil"/>
              <w:bottom w:val="nil"/>
            </w:tcBorders>
          </w:tcPr>
          <w:p>
            <w:pPr>
              <w:pStyle w:val="0"/>
              <w:jc w:val="both"/>
            </w:pPr>
            <w:r>
              <w:rPr>
                <w:sz w:val="20"/>
              </w:rPr>
              <w:t xml:space="preserve">В рамках национального проекта "Культура":</w:t>
            </w:r>
          </w:p>
          <w:p>
            <w:pPr>
              <w:pStyle w:val="0"/>
              <w:jc w:val="both"/>
            </w:pPr>
            <w:r>
              <w:rPr>
                <w:sz w:val="20"/>
              </w:rPr>
              <w:t xml:space="preserve">- "Цифровизация услуг и формирование информационного пространства в сфере культуры Курской области";</w:t>
            </w:r>
          </w:p>
          <w:p>
            <w:pPr>
              <w:pStyle w:val="0"/>
              <w:jc w:val="both"/>
            </w:pPr>
            <w:r>
              <w:rPr>
                <w:sz w:val="20"/>
              </w:rPr>
              <w:t xml:space="preserve">- "Обеспечение качественно нового уровня развития инфраструктуры культуры в Курской области";</w:t>
            </w:r>
          </w:p>
          <w:p>
            <w:pPr>
              <w:pStyle w:val="0"/>
              <w:jc w:val="both"/>
            </w:pPr>
            <w:r>
              <w:rPr>
                <w:sz w:val="20"/>
              </w:rPr>
              <w:t xml:space="preserve">- "Создание в Курской области условий для реализации творческого потенциала нации".</w:t>
            </w:r>
          </w:p>
        </w:tc>
      </w:tr>
      <w:tr>
        <w:tc>
          <w:tcPr>
            <w:vMerge w:val="continue"/>
          </w:tcPr>
          <w:p/>
        </w:tc>
        <w:tc>
          <w:tcPr>
            <w:tcW w:w="3288" w:type="dxa"/>
            <w:tcBorders>
              <w:top w:val="nil"/>
            </w:tcBorders>
          </w:tcPr>
          <w:p>
            <w:pPr>
              <w:pStyle w:val="0"/>
              <w:jc w:val="both"/>
            </w:pPr>
            <w:r>
              <w:rPr>
                <w:sz w:val="20"/>
              </w:rPr>
              <w:t xml:space="preserve">Национальный проект "Здравоохранение" включает следующие федеральные проекты:</w:t>
            </w:r>
          </w:p>
          <w:p>
            <w:pPr>
              <w:pStyle w:val="0"/>
              <w:jc w:val="both"/>
            </w:pPr>
            <w:r>
              <w:rPr>
                <w:sz w:val="20"/>
              </w:rPr>
              <w:t xml:space="preserve">- "Развитие системы оказания первичной медико-санитарной помощи";</w:t>
            </w:r>
          </w:p>
          <w:p>
            <w:pPr>
              <w:pStyle w:val="0"/>
              <w:jc w:val="both"/>
            </w:pPr>
            <w:r>
              <w:rPr>
                <w:sz w:val="20"/>
              </w:rPr>
              <w:t xml:space="preserve">- "Борьба с сердечно-сосудистыми заболеваниями";</w:t>
            </w:r>
          </w:p>
          <w:p>
            <w:pPr>
              <w:pStyle w:val="0"/>
              <w:jc w:val="both"/>
            </w:pPr>
            <w:r>
              <w:rPr>
                <w:sz w:val="20"/>
              </w:rPr>
              <w:t xml:space="preserve">- "Борьба с онкологическими заболеваниями";</w:t>
            </w:r>
          </w:p>
          <w:p>
            <w:pPr>
              <w:pStyle w:val="0"/>
              <w:jc w:val="both"/>
            </w:pPr>
            <w:r>
              <w:rPr>
                <w:sz w:val="20"/>
              </w:rPr>
              <w:t xml:space="preserve">- "Развитие детского здравоохранения, включая создание современной инфраструктуры оказания медицинской помощи детям";</w:t>
            </w:r>
          </w:p>
          <w:p>
            <w:pPr>
              <w:pStyle w:val="0"/>
              <w:jc w:val="both"/>
            </w:pPr>
            <w:r>
              <w:rPr>
                <w:sz w:val="20"/>
              </w:rPr>
              <w:t xml:space="preserve">- "Обеспечение медицинских организаций системы здравоохранения квалифицированными кадрами";</w:t>
            </w:r>
          </w:p>
          <w:p>
            <w:pPr>
              <w:pStyle w:val="0"/>
              <w:jc w:val="both"/>
            </w:pPr>
            <w:r>
              <w:rPr>
                <w:sz w:val="20"/>
              </w:rPr>
              <w:t xml:space="preserve">- "Развитие национальных медицинских исследовательских центров и внедрение инновационных медицинских технологий";</w:t>
            </w:r>
          </w:p>
          <w:p>
            <w:pPr>
              <w:pStyle w:val="0"/>
              <w:jc w:val="both"/>
            </w:pPr>
            <w:r>
              <w:rPr>
                <w:sz w:val="20"/>
              </w:rPr>
              <w:t xml:space="preserve">- "Создание единого цифрового контура в здравоохранении на основе единой государственной информационной системы здравоохранения (ЕГИСЗ)";</w:t>
            </w:r>
          </w:p>
          <w:p>
            <w:pPr>
              <w:pStyle w:val="0"/>
              <w:jc w:val="both"/>
            </w:pPr>
            <w:r>
              <w:rPr>
                <w:sz w:val="20"/>
              </w:rPr>
              <w:t xml:space="preserve">- "Развитие экспорта медицинских услуг"</w:t>
            </w:r>
          </w:p>
        </w:tc>
        <w:tc>
          <w:tcPr>
            <w:tcW w:w="3175" w:type="dxa"/>
            <w:tcBorders>
              <w:top w:val="nil"/>
            </w:tcBorders>
          </w:tcPr>
          <w:p>
            <w:pPr>
              <w:pStyle w:val="0"/>
              <w:jc w:val="both"/>
            </w:pPr>
            <w:r>
              <w:rPr>
                <w:sz w:val="20"/>
              </w:rPr>
              <w:t xml:space="preserve">В рамках национального проекта "Здравоохранение":</w:t>
            </w:r>
          </w:p>
          <w:p>
            <w:pPr>
              <w:pStyle w:val="0"/>
              <w:jc w:val="both"/>
            </w:pPr>
            <w:r>
              <w:rPr>
                <w:sz w:val="20"/>
              </w:rPr>
              <w:t xml:space="preserve">- "Развитие системы оказания первичной медико-санитарной помощи";</w:t>
            </w:r>
          </w:p>
          <w:p>
            <w:pPr>
              <w:pStyle w:val="0"/>
              <w:jc w:val="both"/>
            </w:pPr>
            <w:r>
              <w:rPr>
                <w:sz w:val="20"/>
              </w:rPr>
              <w:t xml:space="preserve">- "Борьба с сердечно-сосудистыми заболеваниями";</w:t>
            </w:r>
          </w:p>
          <w:p>
            <w:pPr>
              <w:pStyle w:val="0"/>
              <w:jc w:val="both"/>
            </w:pPr>
            <w:r>
              <w:rPr>
                <w:sz w:val="20"/>
              </w:rPr>
              <w:t xml:space="preserve">- "Борьба с онкологическими заболеваниями в Курской области";</w:t>
            </w:r>
          </w:p>
          <w:p>
            <w:pPr>
              <w:pStyle w:val="0"/>
              <w:jc w:val="both"/>
            </w:pPr>
            <w:r>
              <w:rPr>
                <w:sz w:val="20"/>
              </w:rPr>
              <w:t xml:space="preserve">- "Развитие детского здравоохранения Курской области, включая создание современной инфраструктуры оказания медицинской помощи детям";</w:t>
            </w:r>
          </w:p>
          <w:p>
            <w:pPr>
              <w:pStyle w:val="0"/>
              <w:jc w:val="both"/>
            </w:pPr>
            <w:r>
              <w:rPr>
                <w:sz w:val="20"/>
              </w:rPr>
              <w:t xml:space="preserve">- "Обеспечение медицинских организаций системы здравоохранения квалифицированными кадрами";</w:t>
            </w:r>
          </w:p>
          <w:p>
            <w:pPr>
              <w:pStyle w:val="0"/>
              <w:jc w:val="both"/>
            </w:pPr>
            <w:r>
              <w:rPr>
                <w:sz w:val="20"/>
              </w:rPr>
              <w:t xml:space="preserve">- "Создание единого цифрового контура в здравоохранении Курской области на основе единой государственной информационной системы здравоохранения (ЕГИСЗ)";</w:t>
            </w:r>
          </w:p>
          <w:p>
            <w:pPr>
              <w:pStyle w:val="0"/>
              <w:jc w:val="both"/>
            </w:pPr>
            <w:r>
              <w:rPr>
                <w:sz w:val="20"/>
              </w:rPr>
              <w:t xml:space="preserve">- "Развитие экспорта медицинских услуг в Курской области"</w:t>
            </w:r>
          </w:p>
        </w:tc>
      </w:tr>
      <w:tr>
        <w:tc>
          <w:tcPr>
            <w:tcW w:w="2608" w:type="dxa"/>
            <w:vMerge w:val="restart"/>
          </w:tcPr>
          <w:p>
            <w:pPr>
              <w:pStyle w:val="0"/>
              <w:jc w:val="both"/>
            </w:pPr>
            <w:r>
              <w:rPr>
                <w:sz w:val="20"/>
              </w:rPr>
              <w:t xml:space="preserve">Человеческий капитал (образование, наука и инновации, развитие институтов гражданского общества)</w:t>
            </w:r>
          </w:p>
        </w:tc>
        <w:tc>
          <w:tcPr>
            <w:tcW w:w="3288" w:type="dxa"/>
            <w:tcBorders>
              <w:bottom w:val="nil"/>
            </w:tcBorders>
          </w:tcPr>
          <w:p>
            <w:pPr>
              <w:pStyle w:val="0"/>
              <w:jc w:val="both"/>
            </w:pPr>
            <w:r>
              <w:rPr>
                <w:sz w:val="20"/>
              </w:rPr>
              <w:t xml:space="preserve">Национальный проект "Образование" включает следующие федеральные проекты:</w:t>
            </w:r>
          </w:p>
          <w:p>
            <w:pPr>
              <w:pStyle w:val="0"/>
              <w:jc w:val="both"/>
            </w:pPr>
            <w:r>
              <w:rPr>
                <w:sz w:val="20"/>
              </w:rPr>
              <w:t xml:space="preserve">- "Современная школа";</w:t>
            </w:r>
          </w:p>
          <w:p>
            <w:pPr>
              <w:pStyle w:val="0"/>
              <w:jc w:val="both"/>
            </w:pPr>
            <w:r>
              <w:rPr>
                <w:sz w:val="20"/>
              </w:rPr>
              <w:t xml:space="preserve">- "Успех каждого ребенка";</w:t>
            </w:r>
          </w:p>
          <w:p>
            <w:pPr>
              <w:pStyle w:val="0"/>
              <w:jc w:val="both"/>
            </w:pPr>
            <w:r>
              <w:rPr>
                <w:sz w:val="20"/>
              </w:rPr>
              <w:t xml:space="preserve">- "Поддержка семей, имеющих детей"</w:t>
            </w:r>
          </w:p>
          <w:p>
            <w:pPr>
              <w:pStyle w:val="0"/>
              <w:jc w:val="both"/>
            </w:pPr>
            <w:r>
              <w:rPr>
                <w:sz w:val="20"/>
              </w:rPr>
              <w:t xml:space="preserve">- "Цифровая образовательная среда";</w:t>
            </w:r>
          </w:p>
          <w:p>
            <w:pPr>
              <w:pStyle w:val="0"/>
              <w:jc w:val="both"/>
            </w:pPr>
            <w:r>
              <w:rPr>
                <w:sz w:val="20"/>
              </w:rPr>
              <w:t xml:space="preserve">- "Учитель будущего";</w:t>
            </w:r>
          </w:p>
          <w:p>
            <w:pPr>
              <w:pStyle w:val="0"/>
              <w:jc w:val="both"/>
            </w:pPr>
            <w:r>
              <w:rPr>
                <w:sz w:val="20"/>
              </w:rPr>
              <w:t xml:space="preserve">- "Молодые профессионалы (повышение конкурентоспособности профессионального образования)";</w:t>
            </w:r>
          </w:p>
          <w:p>
            <w:pPr>
              <w:pStyle w:val="0"/>
              <w:jc w:val="both"/>
            </w:pPr>
            <w:r>
              <w:rPr>
                <w:sz w:val="20"/>
              </w:rPr>
              <w:t xml:space="preserve">- "Новые возможности для каждого";</w:t>
            </w:r>
          </w:p>
          <w:p>
            <w:pPr>
              <w:pStyle w:val="0"/>
              <w:jc w:val="both"/>
            </w:pPr>
            <w:r>
              <w:rPr>
                <w:sz w:val="20"/>
              </w:rPr>
              <w:t xml:space="preserve">- "Социальная активность";</w:t>
            </w:r>
          </w:p>
          <w:p>
            <w:pPr>
              <w:pStyle w:val="0"/>
              <w:jc w:val="both"/>
            </w:pPr>
            <w:r>
              <w:rPr>
                <w:sz w:val="20"/>
              </w:rPr>
              <w:t xml:space="preserve">- "Экспорт образования";</w:t>
            </w:r>
          </w:p>
          <w:p>
            <w:pPr>
              <w:pStyle w:val="0"/>
              <w:jc w:val="both"/>
            </w:pPr>
            <w:r>
              <w:rPr>
                <w:sz w:val="20"/>
              </w:rPr>
              <w:t xml:space="preserve">- "Социальные лифты для каждого".</w:t>
            </w:r>
          </w:p>
          <w:p>
            <w:pPr>
              <w:pStyle w:val="0"/>
            </w:pPr>
            <w:r>
              <w:rPr>
                <w:sz w:val="20"/>
              </w:rPr>
            </w:r>
          </w:p>
          <w:p>
            <w:pPr>
              <w:pStyle w:val="0"/>
              <w:jc w:val="both"/>
            </w:pPr>
            <w:r>
              <w:rPr>
                <w:sz w:val="20"/>
              </w:rPr>
              <w:t xml:space="preserve">Национальный проект "Наука" включает следующие федеральные проекты:</w:t>
            </w:r>
          </w:p>
          <w:p>
            <w:pPr>
              <w:pStyle w:val="0"/>
              <w:jc w:val="both"/>
            </w:pPr>
            <w:r>
              <w:rPr>
                <w:sz w:val="20"/>
              </w:rPr>
              <w:t xml:space="preserve">- "Развитие научной и научно-производственной кооперации";</w:t>
            </w:r>
          </w:p>
          <w:p>
            <w:pPr>
              <w:pStyle w:val="0"/>
              <w:jc w:val="both"/>
            </w:pPr>
            <w:r>
              <w:rPr>
                <w:sz w:val="20"/>
              </w:rPr>
              <w:t xml:space="preserve">- "Развитие передовой инфраструктуры для проведения исследований и разработок в Российской Федерации";</w:t>
            </w:r>
          </w:p>
          <w:p>
            <w:pPr>
              <w:pStyle w:val="0"/>
              <w:jc w:val="both"/>
            </w:pPr>
            <w:r>
              <w:rPr>
                <w:sz w:val="20"/>
              </w:rPr>
              <w:t xml:space="preserve">- "Развитие кадрового потенциала в сфере исследования и разработок".</w:t>
            </w:r>
          </w:p>
        </w:tc>
        <w:tc>
          <w:tcPr>
            <w:tcW w:w="3175" w:type="dxa"/>
            <w:tcBorders>
              <w:bottom w:val="nil"/>
            </w:tcBorders>
          </w:tcPr>
          <w:p>
            <w:pPr>
              <w:pStyle w:val="0"/>
              <w:jc w:val="both"/>
            </w:pPr>
            <w:r>
              <w:rPr>
                <w:sz w:val="20"/>
              </w:rPr>
              <w:t xml:space="preserve">В рамках национального проекта "Образование":</w:t>
            </w:r>
          </w:p>
          <w:p>
            <w:pPr>
              <w:pStyle w:val="0"/>
              <w:jc w:val="both"/>
            </w:pPr>
            <w:r>
              <w:rPr>
                <w:sz w:val="20"/>
              </w:rPr>
              <w:t xml:space="preserve">- "Современная школа";</w:t>
            </w:r>
          </w:p>
          <w:p>
            <w:pPr>
              <w:pStyle w:val="0"/>
              <w:jc w:val="both"/>
            </w:pPr>
            <w:r>
              <w:rPr>
                <w:sz w:val="20"/>
              </w:rPr>
              <w:t xml:space="preserve">- "Успех каждого ребенка";</w:t>
            </w:r>
          </w:p>
          <w:p>
            <w:pPr>
              <w:pStyle w:val="0"/>
              <w:jc w:val="both"/>
            </w:pPr>
            <w:r>
              <w:rPr>
                <w:sz w:val="20"/>
              </w:rPr>
              <w:t xml:space="preserve">- "Поддержка семей, имеющих детей";</w:t>
            </w:r>
          </w:p>
          <w:p>
            <w:pPr>
              <w:pStyle w:val="0"/>
              <w:jc w:val="both"/>
            </w:pPr>
            <w:r>
              <w:rPr>
                <w:sz w:val="20"/>
              </w:rPr>
              <w:t xml:space="preserve">- "Цифровая образовательная среда";</w:t>
            </w:r>
          </w:p>
          <w:p>
            <w:pPr>
              <w:pStyle w:val="0"/>
              <w:jc w:val="both"/>
            </w:pPr>
            <w:r>
              <w:rPr>
                <w:sz w:val="20"/>
              </w:rPr>
              <w:t xml:space="preserve">- "Учитель будущего";</w:t>
            </w:r>
          </w:p>
          <w:p>
            <w:pPr>
              <w:pStyle w:val="0"/>
              <w:jc w:val="both"/>
            </w:pPr>
            <w:r>
              <w:rPr>
                <w:sz w:val="20"/>
              </w:rPr>
              <w:t xml:space="preserve">- "Молодые профессионалы (повышение конкурентоспособности профессионального образования)";</w:t>
            </w:r>
          </w:p>
          <w:p>
            <w:pPr>
              <w:pStyle w:val="0"/>
              <w:jc w:val="both"/>
            </w:pPr>
            <w:r>
              <w:rPr>
                <w:sz w:val="20"/>
              </w:rPr>
              <w:t xml:space="preserve">- "Социальная активность"</w:t>
            </w:r>
          </w:p>
        </w:tc>
      </w:tr>
      <w:tr>
        <w:tc>
          <w:tcPr>
            <w:vMerge w:val="continue"/>
          </w:tcPr>
          <w:p/>
        </w:tc>
        <w:tc>
          <w:tcPr>
            <w:tcW w:w="3288" w:type="dxa"/>
            <w:tcBorders>
              <w:top w:val="nil"/>
            </w:tcBorders>
          </w:tcPr>
          <w:p>
            <w:pPr>
              <w:pStyle w:val="0"/>
              <w:jc w:val="both"/>
            </w:pPr>
            <w:r>
              <w:rPr>
                <w:sz w:val="20"/>
              </w:rPr>
              <w:t xml:space="preserve">Национальная программа "Цифровая экономика" включает федеральный проект "Кадры для цифровой экономики"</w:t>
            </w:r>
          </w:p>
        </w:tc>
        <w:tc>
          <w:tcPr>
            <w:tcW w:w="3175" w:type="dxa"/>
            <w:tcBorders>
              <w:top w:val="nil"/>
            </w:tcBorders>
          </w:tcPr>
          <w:p>
            <w:pPr>
              <w:pStyle w:val="0"/>
              <w:jc w:val="both"/>
            </w:pPr>
            <w:r>
              <w:rPr>
                <w:sz w:val="20"/>
              </w:rPr>
              <w:t xml:space="preserve">В рамках национальной программы "Цифровая экономика":</w:t>
            </w:r>
          </w:p>
          <w:p>
            <w:pPr>
              <w:pStyle w:val="0"/>
              <w:jc w:val="both"/>
            </w:pPr>
            <w:r>
              <w:rPr>
                <w:sz w:val="20"/>
              </w:rPr>
              <w:t xml:space="preserve">"Кадры для цифровой экономики"</w:t>
            </w:r>
          </w:p>
        </w:tc>
      </w:tr>
      <w:tr>
        <w:tc>
          <w:tcPr>
            <w:tcW w:w="2608" w:type="dxa"/>
          </w:tcPr>
          <w:p>
            <w:pPr>
              <w:pStyle w:val="0"/>
              <w:jc w:val="both"/>
            </w:pPr>
            <w:r>
              <w:rPr>
                <w:sz w:val="20"/>
              </w:rPr>
              <w:t xml:space="preserve">Инфраструктура и пространственное развитие</w:t>
            </w:r>
          </w:p>
        </w:tc>
        <w:tc>
          <w:tcPr>
            <w:tcW w:w="3288" w:type="dxa"/>
          </w:tcPr>
          <w:p>
            <w:pPr>
              <w:pStyle w:val="0"/>
              <w:jc w:val="both"/>
            </w:pPr>
            <w:r>
              <w:rPr>
                <w:sz w:val="20"/>
              </w:rPr>
              <w:t xml:space="preserve">Национальный проект "Безопасные и качественные автомобильные дороги" включает следующие федеральные проекты:</w:t>
            </w:r>
          </w:p>
          <w:p>
            <w:pPr>
              <w:pStyle w:val="0"/>
              <w:jc w:val="both"/>
            </w:pPr>
            <w:r>
              <w:rPr>
                <w:sz w:val="20"/>
              </w:rPr>
              <w:t xml:space="preserve">- "Дорожная сеть";</w:t>
            </w:r>
          </w:p>
          <w:p>
            <w:pPr>
              <w:pStyle w:val="0"/>
              <w:jc w:val="both"/>
            </w:pPr>
            <w:r>
              <w:rPr>
                <w:sz w:val="20"/>
              </w:rPr>
              <w:t xml:space="preserve">- "Общесистемные меры развития дорожного хозяйства";</w:t>
            </w:r>
          </w:p>
          <w:p>
            <w:pPr>
              <w:pStyle w:val="0"/>
              <w:jc w:val="both"/>
            </w:pPr>
            <w:r>
              <w:rPr>
                <w:sz w:val="20"/>
              </w:rPr>
              <w:t xml:space="preserve">- "Безопасность дорожного движения";</w:t>
            </w:r>
          </w:p>
          <w:p>
            <w:pPr>
              <w:pStyle w:val="0"/>
              <w:jc w:val="both"/>
            </w:pPr>
            <w:r>
              <w:rPr>
                <w:sz w:val="20"/>
              </w:rPr>
              <w:t xml:space="preserve">- "Автомобильные дороги Минобороны России".</w:t>
            </w:r>
          </w:p>
          <w:p>
            <w:pPr>
              <w:pStyle w:val="0"/>
            </w:pPr>
            <w:r>
              <w:rPr>
                <w:sz w:val="20"/>
              </w:rPr>
            </w:r>
          </w:p>
          <w:p>
            <w:pPr>
              <w:pStyle w:val="0"/>
              <w:jc w:val="both"/>
            </w:pPr>
            <w:r>
              <w:rPr>
                <w:sz w:val="20"/>
              </w:rPr>
              <w:t xml:space="preserve">Комплексный план модернизации и расширения магистральной инфраструктуры на период до 2024 года включает следующие федеральные проекты:</w:t>
            </w:r>
          </w:p>
          <w:p>
            <w:pPr>
              <w:pStyle w:val="0"/>
              <w:jc w:val="both"/>
            </w:pPr>
            <w:r>
              <w:rPr>
                <w:sz w:val="20"/>
              </w:rPr>
              <w:t xml:space="preserve">- "Европа - Западный Китай";</w:t>
            </w:r>
          </w:p>
          <w:p>
            <w:pPr>
              <w:pStyle w:val="0"/>
              <w:jc w:val="both"/>
            </w:pPr>
            <w:r>
              <w:rPr>
                <w:sz w:val="20"/>
              </w:rPr>
              <w:t xml:space="preserve">- "Северный морской путь";</w:t>
            </w:r>
          </w:p>
          <w:p>
            <w:pPr>
              <w:pStyle w:val="0"/>
              <w:jc w:val="both"/>
            </w:pPr>
            <w:r>
              <w:rPr>
                <w:sz w:val="20"/>
              </w:rPr>
              <w:t xml:space="preserve">- "Железнодорожный транспорт и транзит";</w:t>
            </w:r>
          </w:p>
          <w:p>
            <w:pPr>
              <w:pStyle w:val="0"/>
              <w:jc w:val="both"/>
            </w:pPr>
            <w:r>
              <w:rPr>
                <w:sz w:val="20"/>
              </w:rPr>
              <w:t xml:space="preserve">- "Транспортно-логистические центры";</w:t>
            </w:r>
          </w:p>
          <w:p>
            <w:pPr>
              <w:pStyle w:val="0"/>
              <w:jc w:val="both"/>
            </w:pPr>
            <w:r>
              <w:rPr>
                <w:sz w:val="20"/>
              </w:rPr>
              <w:t xml:space="preserve">- "Коммуникации между центрами экономического роста";</w:t>
            </w:r>
          </w:p>
          <w:p>
            <w:pPr>
              <w:pStyle w:val="0"/>
              <w:jc w:val="both"/>
            </w:pPr>
            <w:r>
              <w:rPr>
                <w:sz w:val="20"/>
              </w:rPr>
              <w:t xml:space="preserve">- "Развитие региональных аэропортов и маршрутов";</w:t>
            </w:r>
          </w:p>
          <w:p>
            <w:pPr>
              <w:pStyle w:val="0"/>
              <w:jc w:val="both"/>
            </w:pPr>
            <w:r>
              <w:rPr>
                <w:sz w:val="20"/>
              </w:rPr>
              <w:t xml:space="preserve">- "Высокоскоростное железнодорожное сообщение";</w:t>
            </w:r>
          </w:p>
          <w:p>
            <w:pPr>
              <w:pStyle w:val="0"/>
              <w:jc w:val="both"/>
            </w:pPr>
            <w:r>
              <w:rPr>
                <w:sz w:val="20"/>
              </w:rPr>
              <w:t xml:space="preserve">- "Внутренние водные пути"</w:t>
            </w:r>
          </w:p>
        </w:tc>
        <w:tc>
          <w:tcPr>
            <w:tcW w:w="3175" w:type="dxa"/>
          </w:tcPr>
          <w:p>
            <w:pPr>
              <w:pStyle w:val="0"/>
              <w:jc w:val="both"/>
            </w:pPr>
            <w:r>
              <w:rPr>
                <w:sz w:val="20"/>
              </w:rPr>
              <w:t xml:space="preserve">В рамках национального проекта "Безопасные и качественные автомобильные дороги":</w:t>
            </w:r>
          </w:p>
          <w:p>
            <w:pPr>
              <w:pStyle w:val="0"/>
              <w:jc w:val="both"/>
            </w:pPr>
            <w:r>
              <w:rPr>
                <w:sz w:val="20"/>
              </w:rPr>
              <w:t xml:space="preserve">- "Дорожная сеть",</w:t>
            </w:r>
          </w:p>
          <w:p>
            <w:pPr>
              <w:pStyle w:val="0"/>
              <w:jc w:val="both"/>
            </w:pPr>
            <w:r>
              <w:rPr>
                <w:sz w:val="20"/>
              </w:rPr>
              <w:t xml:space="preserve">- "Общесистемные меры развития дорожного хозяйства";</w:t>
            </w:r>
          </w:p>
          <w:p>
            <w:pPr>
              <w:pStyle w:val="0"/>
              <w:jc w:val="both"/>
            </w:pPr>
            <w:r>
              <w:rPr>
                <w:sz w:val="20"/>
              </w:rPr>
              <w:t xml:space="preserve">- "Безопасность дорожного движения"</w:t>
            </w:r>
          </w:p>
        </w:tc>
      </w:tr>
      <w:tr>
        <w:tc>
          <w:tcPr>
            <w:tcW w:w="2608" w:type="dxa"/>
          </w:tcPr>
          <w:p>
            <w:pPr>
              <w:pStyle w:val="0"/>
              <w:jc w:val="both"/>
            </w:pPr>
            <w:r>
              <w:rPr>
                <w:sz w:val="20"/>
              </w:rPr>
              <w:t xml:space="preserve">Комфортная городская среда</w:t>
            </w:r>
          </w:p>
        </w:tc>
        <w:tc>
          <w:tcPr>
            <w:tcW w:w="3288" w:type="dxa"/>
          </w:tcPr>
          <w:p>
            <w:pPr>
              <w:pStyle w:val="0"/>
              <w:jc w:val="both"/>
            </w:pPr>
            <w:r>
              <w:rPr>
                <w:sz w:val="20"/>
              </w:rPr>
              <w:t xml:space="preserve">Национальный проект "Жилье и городская среда" включает следующие федеральные проекты:</w:t>
            </w:r>
          </w:p>
          <w:p>
            <w:pPr>
              <w:pStyle w:val="0"/>
              <w:jc w:val="both"/>
            </w:pPr>
            <w:r>
              <w:rPr>
                <w:sz w:val="20"/>
              </w:rPr>
              <w:t xml:space="preserve">- "Ипотека";</w:t>
            </w:r>
          </w:p>
          <w:p>
            <w:pPr>
              <w:pStyle w:val="0"/>
              <w:jc w:val="both"/>
            </w:pPr>
            <w:r>
              <w:rPr>
                <w:sz w:val="20"/>
              </w:rPr>
              <w:t xml:space="preserve">- "Жилье";</w:t>
            </w:r>
          </w:p>
          <w:p>
            <w:pPr>
              <w:pStyle w:val="0"/>
              <w:jc w:val="both"/>
            </w:pPr>
            <w:r>
              <w:rPr>
                <w:sz w:val="20"/>
              </w:rPr>
              <w:t xml:space="preserve">- "Формирование комфортной городской среды";</w:t>
            </w:r>
          </w:p>
          <w:p>
            <w:pPr>
              <w:pStyle w:val="0"/>
              <w:jc w:val="both"/>
            </w:pPr>
            <w:r>
              <w:rPr>
                <w:sz w:val="20"/>
              </w:rPr>
              <w:t xml:space="preserve">- "Обеспечение устойчивого сокращения непригодного для проживания жилищного фонда"</w:t>
            </w:r>
          </w:p>
        </w:tc>
        <w:tc>
          <w:tcPr>
            <w:tcW w:w="3175" w:type="dxa"/>
          </w:tcPr>
          <w:p>
            <w:pPr>
              <w:pStyle w:val="0"/>
              <w:jc w:val="both"/>
            </w:pPr>
            <w:r>
              <w:rPr>
                <w:sz w:val="20"/>
              </w:rPr>
              <w:t xml:space="preserve">В рамках национального проекта "Жилье и городская среда":</w:t>
            </w:r>
          </w:p>
          <w:p>
            <w:pPr>
              <w:pStyle w:val="0"/>
              <w:jc w:val="both"/>
            </w:pPr>
            <w:r>
              <w:rPr>
                <w:sz w:val="20"/>
              </w:rPr>
              <w:t xml:space="preserve">- "Формирование комфортной городской среды в Курской области";</w:t>
            </w:r>
          </w:p>
          <w:p>
            <w:pPr>
              <w:pStyle w:val="0"/>
              <w:jc w:val="both"/>
            </w:pPr>
            <w:r>
              <w:rPr>
                <w:sz w:val="20"/>
              </w:rPr>
              <w:t xml:space="preserve">- "Обеспечение устойчивого сокращения непригодного для проживания жилищного фонда в Курской области";</w:t>
            </w:r>
          </w:p>
          <w:p>
            <w:pPr>
              <w:pStyle w:val="0"/>
              <w:jc w:val="both"/>
            </w:pPr>
            <w:r>
              <w:rPr>
                <w:sz w:val="20"/>
              </w:rPr>
              <w:t xml:space="preserve">- "Ипотека";</w:t>
            </w:r>
          </w:p>
          <w:p>
            <w:pPr>
              <w:pStyle w:val="0"/>
              <w:jc w:val="both"/>
            </w:pPr>
            <w:r>
              <w:rPr>
                <w:sz w:val="20"/>
              </w:rPr>
              <w:t xml:space="preserve">- "Жилье"</w:t>
            </w:r>
          </w:p>
        </w:tc>
      </w:tr>
      <w:tr>
        <w:tc>
          <w:tcPr>
            <w:tcW w:w="2608" w:type="dxa"/>
          </w:tcPr>
          <w:p>
            <w:pPr>
              <w:pStyle w:val="0"/>
              <w:jc w:val="both"/>
            </w:pPr>
            <w:r>
              <w:rPr>
                <w:sz w:val="20"/>
              </w:rPr>
              <w:t xml:space="preserve">Зеленый и безопасный регион</w:t>
            </w:r>
          </w:p>
        </w:tc>
        <w:tc>
          <w:tcPr>
            <w:tcW w:w="3288" w:type="dxa"/>
          </w:tcPr>
          <w:p>
            <w:pPr>
              <w:pStyle w:val="0"/>
              <w:jc w:val="both"/>
            </w:pPr>
            <w:r>
              <w:rPr>
                <w:sz w:val="20"/>
              </w:rPr>
              <w:t xml:space="preserve">Национальный проект "Экология" включает следующие федеральные проекты:</w:t>
            </w:r>
          </w:p>
          <w:p>
            <w:pPr>
              <w:pStyle w:val="0"/>
              <w:jc w:val="both"/>
            </w:pPr>
            <w:r>
              <w:rPr>
                <w:sz w:val="20"/>
              </w:rPr>
              <w:t xml:space="preserve">- "Чистая страна";</w:t>
            </w:r>
          </w:p>
          <w:p>
            <w:pPr>
              <w:pStyle w:val="0"/>
              <w:jc w:val="both"/>
            </w:pPr>
            <w:r>
              <w:rPr>
                <w:sz w:val="20"/>
              </w:rPr>
              <w:t xml:space="preserve">- "Комплексная система обращения с твердыми коммунальными отходами";</w:t>
            </w:r>
          </w:p>
          <w:p>
            <w:pPr>
              <w:pStyle w:val="0"/>
              <w:jc w:val="both"/>
            </w:pPr>
            <w:r>
              <w:rPr>
                <w:sz w:val="20"/>
              </w:rPr>
              <w:t xml:space="preserve">- "Инфраструктура для обращения с отходами I - II классов опасности";</w:t>
            </w:r>
          </w:p>
          <w:p>
            <w:pPr>
              <w:pStyle w:val="0"/>
              <w:jc w:val="both"/>
            </w:pPr>
            <w:r>
              <w:rPr>
                <w:sz w:val="20"/>
              </w:rPr>
              <w:t xml:space="preserve">- "Сохранение уникальных водных объектов";</w:t>
            </w:r>
          </w:p>
          <w:p>
            <w:pPr>
              <w:pStyle w:val="0"/>
              <w:jc w:val="both"/>
            </w:pPr>
            <w:r>
              <w:rPr>
                <w:sz w:val="20"/>
              </w:rPr>
              <w:t xml:space="preserve">- "Чистая вода";</w:t>
            </w:r>
          </w:p>
          <w:p>
            <w:pPr>
              <w:pStyle w:val="0"/>
              <w:jc w:val="both"/>
            </w:pPr>
            <w:r>
              <w:rPr>
                <w:sz w:val="20"/>
              </w:rPr>
              <w:t xml:space="preserve">- "Сохранение биологического разнообразия и развитие экологического туризма";</w:t>
            </w:r>
          </w:p>
          <w:p>
            <w:pPr>
              <w:pStyle w:val="0"/>
              <w:jc w:val="both"/>
            </w:pPr>
            <w:r>
              <w:rPr>
                <w:sz w:val="20"/>
              </w:rPr>
              <w:t xml:space="preserve">- "Сохранение лесов";</w:t>
            </w:r>
          </w:p>
          <w:p>
            <w:pPr>
              <w:pStyle w:val="0"/>
              <w:jc w:val="both"/>
            </w:pPr>
            <w:r>
              <w:rPr>
                <w:sz w:val="20"/>
              </w:rPr>
              <w:t xml:space="preserve">- "Чистый воздух";</w:t>
            </w:r>
          </w:p>
          <w:p>
            <w:pPr>
              <w:pStyle w:val="0"/>
              <w:jc w:val="both"/>
            </w:pPr>
            <w:r>
              <w:rPr>
                <w:sz w:val="20"/>
              </w:rPr>
              <w:t xml:space="preserve">- "Внедрение наилучших доступных технологий"</w:t>
            </w:r>
          </w:p>
        </w:tc>
        <w:tc>
          <w:tcPr>
            <w:tcW w:w="3175" w:type="dxa"/>
          </w:tcPr>
          <w:p>
            <w:pPr>
              <w:pStyle w:val="0"/>
              <w:jc w:val="both"/>
            </w:pPr>
            <w:r>
              <w:rPr>
                <w:sz w:val="20"/>
              </w:rPr>
              <w:t xml:space="preserve">В рамках национального проекта "Экология":</w:t>
            </w:r>
          </w:p>
          <w:p>
            <w:pPr>
              <w:pStyle w:val="0"/>
              <w:jc w:val="both"/>
            </w:pPr>
            <w:r>
              <w:rPr>
                <w:sz w:val="20"/>
              </w:rPr>
              <w:t xml:space="preserve">- "Сохранение лесов в Курской области";</w:t>
            </w:r>
          </w:p>
          <w:p>
            <w:pPr>
              <w:pStyle w:val="0"/>
              <w:jc w:val="both"/>
            </w:pPr>
            <w:r>
              <w:rPr>
                <w:sz w:val="20"/>
              </w:rPr>
              <w:t xml:space="preserve">- "Снижение негативного воздействия на окружающую среду путем ликвидации наиболее опасных объектов накопленного вреда окружающей среде и несанкционированных свалок в границах городов на территории Курской области";</w:t>
            </w:r>
          </w:p>
          <w:p>
            <w:pPr>
              <w:pStyle w:val="0"/>
              <w:jc w:val="both"/>
            </w:pPr>
            <w:r>
              <w:rPr>
                <w:sz w:val="20"/>
              </w:rPr>
              <w:t xml:space="preserve">- "Сохранение уникальных водных объектов на территории Курской области";</w:t>
            </w:r>
          </w:p>
          <w:p>
            <w:pPr>
              <w:pStyle w:val="0"/>
              <w:jc w:val="both"/>
            </w:pPr>
            <w:r>
              <w:rPr>
                <w:sz w:val="20"/>
              </w:rPr>
              <w:t xml:space="preserve">- "Чистая вода в Курской области";</w:t>
            </w:r>
          </w:p>
          <w:p>
            <w:pPr>
              <w:pStyle w:val="0"/>
              <w:jc w:val="both"/>
            </w:pPr>
            <w:r>
              <w:rPr>
                <w:sz w:val="20"/>
              </w:rPr>
              <w:t xml:space="preserve">- "Комплексная система обращения с твердыми коммунальными отходами"</w:t>
            </w:r>
          </w:p>
        </w:tc>
      </w:tr>
    </w:tbl>
    <w:p>
      <w:pPr>
        <w:pStyle w:val="0"/>
        <w:jc w:val="both"/>
      </w:pPr>
      <w:r>
        <w:rPr>
          <w:sz w:val="20"/>
        </w:rPr>
      </w:r>
    </w:p>
    <w:p>
      <w:pPr>
        <w:pStyle w:val="0"/>
        <w:ind w:firstLine="540"/>
        <w:jc w:val="both"/>
      </w:pPr>
      <w:r>
        <w:rPr>
          <w:sz w:val="20"/>
        </w:rPr>
        <w:t xml:space="preserve">На сегодняшний день утверждены и реализуются 50 региональных проектов, обеспечивающих достижение целей, показателей и результатов федеральных проектов, входящих в состав национальных (в рамках целевого сценария).</w:t>
      </w:r>
    </w:p>
    <w:p>
      <w:pPr>
        <w:pStyle w:val="0"/>
        <w:jc w:val="both"/>
      </w:pPr>
      <w:r>
        <w:rPr>
          <w:sz w:val="20"/>
        </w:rPr>
      </w:r>
    </w:p>
    <w:p>
      <w:pPr>
        <w:pStyle w:val="0"/>
        <w:outlineLvl w:val="3"/>
        <w:jc w:val="right"/>
      </w:pPr>
      <w:r>
        <w:rPr>
          <w:sz w:val="20"/>
        </w:rPr>
        <w:t xml:space="preserve">Таблица N 4</w:t>
      </w:r>
    </w:p>
    <w:p>
      <w:pPr>
        <w:pStyle w:val="0"/>
        <w:jc w:val="both"/>
      </w:pPr>
      <w:r>
        <w:rPr>
          <w:sz w:val="20"/>
        </w:rPr>
      </w:r>
    </w:p>
    <w:p>
      <w:pPr>
        <w:pStyle w:val="2"/>
        <w:jc w:val="center"/>
      </w:pPr>
      <w:r>
        <w:rPr>
          <w:sz w:val="20"/>
        </w:rPr>
        <w:t xml:space="preserve">Перечень региональных проектов Курской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3"/>
        <w:gridCol w:w="5832"/>
        <w:gridCol w:w="2665"/>
      </w:tblGrid>
      <w:tr>
        <w:tc>
          <w:tcPr>
            <w:tcW w:w="513" w:type="dxa"/>
            <w:vAlign w:val="center"/>
          </w:tcPr>
          <w:p>
            <w:pPr>
              <w:pStyle w:val="0"/>
              <w:jc w:val="center"/>
            </w:pPr>
            <w:r>
              <w:rPr>
                <w:sz w:val="20"/>
              </w:rPr>
              <w:t xml:space="preserve">N п/п</w:t>
            </w:r>
          </w:p>
        </w:tc>
        <w:tc>
          <w:tcPr>
            <w:tcW w:w="5832" w:type="dxa"/>
            <w:vAlign w:val="center"/>
          </w:tcPr>
          <w:p>
            <w:pPr>
              <w:pStyle w:val="0"/>
              <w:jc w:val="center"/>
            </w:pPr>
            <w:r>
              <w:rPr>
                <w:sz w:val="20"/>
              </w:rPr>
              <w:t xml:space="preserve">Региональный проект</w:t>
            </w:r>
          </w:p>
        </w:tc>
        <w:tc>
          <w:tcPr>
            <w:tcW w:w="2665" w:type="dxa"/>
            <w:vAlign w:val="center"/>
          </w:tcPr>
          <w:p>
            <w:pPr>
              <w:pStyle w:val="0"/>
              <w:jc w:val="center"/>
            </w:pPr>
            <w:r>
              <w:rPr>
                <w:sz w:val="20"/>
              </w:rPr>
              <w:t xml:space="preserve">Срок реализации на территории Курской области</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"Здравоохранение"</w:t>
            </w:r>
          </w:p>
        </w:tc>
        <w:tc>
          <w:tcPr>
            <w:tcW w:w="2665" w:type="dxa"/>
            <w:vAlign w:val="center"/>
          </w:tcPr>
          <w:p>
            <w:pPr>
              <w:pStyle w:val="0"/>
            </w:pPr>
            <w:r>
              <w:rPr>
                <w:sz w:val="20"/>
              </w:rPr>
            </w:r>
          </w:p>
        </w:tc>
      </w:tr>
      <w:tr>
        <w:tc>
          <w:tcPr>
            <w:tcW w:w="513" w:type="dxa"/>
            <w:vAlign w:val="center"/>
          </w:tcPr>
          <w:p>
            <w:pPr>
              <w:pStyle w:val="0"/>
              <w:jc w:val="both"/>
            </w:pPr>
            <w:r>
              <w:rPr>
                <w:sz w:val="20"/>
              </w:rPr>
              <w:t xml:space="preserve">1</w:t>
            </w:r>
          </w:p>
        </w:tc>
        <w:tc>
          <w:tcPr>
            <w:tcW w:w="5832" w:type="dxa"/>
            <w:vAlign w:val="center"/>
          </w:tcPr>
          <w:p>
            <w:pPr>
              <w:pStyle w:val="0"/>
              <w:jc w:val="both"/>
            </w:pPr>
            <w:r>
              <w:rPr>
                <w:sz w:val="20"/>
              </w:rPr>
              <w:t xml:space="preserve">Развитие системы оказания первичной медико-санитарной помощи в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2</w:t>
            </w:r>
          </w:p>
        </w:tc>
        <w:tc>
          <w:tcPr>
            <w:tcW w:w="5832" w:type="dxa"/>
            <w:vAlign w:val="center"/>
          </w:tcPr>
          <w:p>
            <w:pPr>
              <w:pStyle w:val="0"/>
              <w:jc w:val="both"/>
            </w:pPr>
            <w:r>
              <w:rPr>
                <w:sz w:val="20"/>
              </w:rPr>
              <w:t xml:space="preserve">Борьба с сердечно-сосудистыми заболеваниями в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3</w:t>
            </w:r>
          </w:p>
        </w:tc>
        <w:tc>
          <w:tcPr>
            <w:tcW w:w="5832" w:type="dxa"/>
            <w:vAlign w:val="center"/>
          </w:tcPr>
          <w:p>
            <w:pPr>
              <w:pStyle w:val="0"/>
              <w:jc w:val="both"/>
            </w:pPr>
            <w:r>
              <w:rPr>
                <w:sz w:val="20"/>
              </w:rPr>
              <w:t xml:space="preserve">Борьба с онкологическими заболеваниями в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4</w:t>
            </w:r>
          </w:p>
        </w:tc>
        <w:tc>
          <w:tcPr>
            <w:tcW w:w="5832" w:type="dxa"/>
            <w:vAlign w:val="center"/>
          </w:tcPr>
          <w:p>
            <w:pPr>
              <w:pStyle w:val="0"/>
              <w:jc w:val="both"/>
            </w:pPr>
            <w:r>
              <w:rPr>
                <w:sz w:val="20"/>
              </w:rPr>
              <w:t xml:space="preserve">Развитие детского здравоохранения Курской области, включая создание современной инфраструктуры оказания медицинской помощи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5</w:t>
            </w:r>
          </w:p>
        </w:tc>
        <w:tc>
          <w:tcPr>
            <w:tcW w:w="5832" w:type="dxa"/>
            <w:vAlign w:val="center"/>
          </w:tcPr>
          <w:p>
            <w:pPr>
              <w:pStyle w:val="0"/>
              <w:jc w:val="both"/>
            </w:pPr>
            <w:r>
              <w:rPr>
                <w:sz w:val="20"/>
              </w:rPr>
              <w:t xml:space="preserve">Обеспечение медицинских организаций системы здравоохранения квалифицированными кадрами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6</w:t>
            </w:r>
          </w:p>
        </w:tc>
        <w:tc>
          <w:tcPr>
            <w:tcW w:w="5832" w:type="dxa"/>
            <w:vAlign w:val="center"/>
          </w:tcPr>
          <w:p>
            <w:pPr>
              <w:pStyle w:val="0"/>
              <w:jc w:val="both"/>
            </w:pPr>
            <w:r>
              <w:rPr>
                <w:sz w:val="20"/>
              </w:rPr>
              <w:t xml:space="preserve">Создание единого цифрового контура в здравоохранении Курской области на основе единой государственной информационной системы здравоохранения (ЕГИСЗ)</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7</w:t>
            </w:r>
          </w:p>
        </w:tc>
        <w:tc>
          <w:tcPr>
            <w:tcW w:w="5832" w:type="dxa"/>
            <w:vAlign w:val="center"/>
          </w:tcPr>
          <w:p>
            <w:pPr>
              <w:pStyle w:val="0"/>
              <w:jc w:val="both"/>
            </w:pPr>
            <w:r>
              <w:rPr>
                <w:sz w:val="20"/>
              </w:rPr>
              <w:t xml:space="preserve">Развитие экспорта медицинских услуг в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"Образование"</w:t>
            </w:r>
          </w:p>
        </w:tc>
        <w:tc>
          <w:tcPr>
            <w:tcW w:w="2665" w:type="dxa"/>
            <w:vAlign w:val="center"/>
          </w:tcPr>
          <w:p>
            <w:pPr>
              <w:pStyle w:val="0"/>
            </w:pPr>
            <w:r>
              <w:rPr>
                <w:sz w:val="20"/>
              </w:rPr>
            </w:r>
          </w:p>
        </w:tc>
      </w:tr>
      <w:tr>
        <w:tc>
          <w:tcPr>
            <w:tcW w:w="513" w:type="dxa"/>
            <w:vAlign w:val="center"/>
          </w:tcPr>
          <w:p>
            <w:pPr>
              <w:pStyle w:val="0"/>
              <w:jc w:val="both"/>
            </w:pPr>
            <w:r>
              <w:rPr>
                <w:sz w:val="20"/>
              </w:rPr>
              <w:t xml:space="preserve">8</w:t>
            </w:r>
          </w:p>
        </w:tc>
        <w:tc>
          <w:tcPr>
            <w:tcW w:w="5832" w:type="dxa"/>
            <w:vAlign w:val="center"/>
          </w:tcPr>
          <w:p>
            <w:pPr>
              <w:pStyle w:val="0"/>
              <w:jc w:val="both"/>
            </w:pPr>
            <w:r>
              <w:rPr>
                <w:sz w:val="20"/>
              </w:rPr>
              <w:t xml:space="preserve">Современная школа</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9</w:t>
            </w:r>
          </w:p>
        </w:tc>
        <w:tc>
          <w:tcPr>
            <w:tcW w:w="5832" w:type="dxa"/>
            <w:vAlign w:val="center"/>
          </w:tcPr>
          <w:p>
            <w:pPr>
              <w:pStyle w:val="0"/>
              <w:jc w:val="both"/>
            </w:pPr>
            <w:r>
              <w:rPr>
                <w:sz w:val="20"/>
              </w:rPr>
              <w:t xml:space="preserve">Успех каждого ребенка</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10</w:t>
            </w:r>
          </w:p>
        </w:tc>
        <w:tc>
          <w:tcPr>
            <w:tcW w:w="5832" w:type="dxa"/>
            <w:vAlign w:val="center"/>
          </w:tcPr>
          <w:p>
            <w:pPr>
              <w:pStyle w:val="0"/>
              <w:jc w:val="both"/>
            </w:pPr>
            <w:r>
              <w:rPr>
                <w:sz w:val="20"/>
              </w:rPr>
              <w:t xml:space="preserve">Поддержка семей, имеющих детей</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11</w:t>
            </w:r>
          </w:p>
        </w:tc>
        <w:tc>
          <w:tcPr>
            <w:tcW w:w="5832" w:type="dxa"/>
            <w:vAlign w:val="center"/>
          </w:tcPr>
          <w:p>
            <w:pPr>
              <w:pStyle w:val="0"/>
              <w:jc w:val="both"/>
            </w:pPr>
            <w:r>
              <w:rPr>
                <w:sz w:val="20"/>
              </w:rPr>
              <w:t xml:space="preserve">Цифровая образовательная среда</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12</w:t>
            </w:r>
          </w:p>
        </w:tc>
        <w:tc>
          <w:tcPr>
            <w:tcW w:w="5832" w:type="dxa"/>
            <w:vAlign w:val="center"/>
          </w:tcPr>
          <w:p>
            <w:pPr>
              <w:pStyle w:val="0"/>
              <w:jc w:val="both"/>
            </w:pPr>
            <w:r>
              <w:rPr>
                <w:sz w:val="20"/>
              </w:rPr>
              <w:t xml:space="preserve">Учитель будущего</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13</w:t>
            </w:r>
          </w:p>
        </w:tc>
        <w:tc>
          <w:tcPr>
            <w:tcW w:w="5832" w:type="dxa"/>
            <w:vAlign w:val="center"/>
          </w:tcPr>
          <w:p>
            <w:pPr>
              <w:pStyle w:val="0"/>
              <w:jc w:val="both"/>
            </w:pPr>
            <w:r>
              <w:rPr>
                <w:sz w:val="20"/>
              </w:rPr>
              <w:t xml:space="preserve">Молодые профессионалы (повышение конкурентоспособности профессионального образования)</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14</w:t>
            </w:r>
          </w:p>
        </w:tc>
        <w:tc>
          <w:tcPr>
            <w:tcW w:w="5832" w:type="dxa"/>
            <w:vAlign w:val="center"/>
          </w:tcPr>
          <w:p>
            <w:pPr>
              <w:pStyle w:val="0"/>
              <w:jc w:val="both"/>
            </w:pPr>
            <w:r>
              <w:rPr>
                <w:sz w:val="20"/>
              </w:rPr>
              <w:t xml:space="preserve">Социальная активность</w:t>
            </w:r>
          </w:p>
        </w:tc>
        <w:tc>
          <w:tcPr>
            <w:tcW w:w="2665" w:type="dxa"/>
            <w:vAlign w:val="center"/>
          </w:tcPr>
          <w:p>
            <w:pPr>
              <w:pStyle w:val="0"/>
              <w:jc w:val="center"/>
            </w:pPr>
            <w:r>
              <w:rPr>
                <w:sz w:val="20"/>
              </w:rPr>
              <w:t xml:space="preserve">01.01.2019 - 31.12.2025</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"Демография"</w:t>
            </w:r>
          </w:p>
        </w:tc>
        <w:tc>
          <w:tcPr>
            <w:tcW w:w="2665" w:type="dxa"/>
            <w:vAlign w:val="center"/>
          </w:tcPr>
          <w:p>
            <w:pPr>
              <w:pStyle w:val="0"/>
            </w:pPr>
            <w:r>
              <w:rPr>
                <w:sz w:val="20"/>
              </w:rPr>
            </w:r>
          </w:p>
        </w:tc>
      </w:tr>
      <w:tr>
        <w:tc>
          <w:tcPr>
            <w:tcW w:w="513" w:type="dxa"/>
            <w:vAlign w:val="center"/>
          </w:tcPr>
          <w:p>
            <w:pPr>
              <w:pStyle w:val="0"/>
              <w:jc w:val="both"/>
            </w:pPr>
            <w:r>
              <w:rPr>
                <w:sz w:val="20"/>
              </w:rPr>
              <w:t xml:space="preserve">15</w:t>
            </w:r>
          </w:p>
        </w:tc>
        <w:tc>
          <w:tcPr>
            <w:tcW w:w="5832" w:type="dxa"/>
            <w:vAlign w:val="center"/>
          </w:tcPr>
          <w:p>
            <w:pPr>
              <w:pStyle w:val="0"/>
              <w:jc w:val="both"/>
            </w:pPr>
            <w:r>
              <w:rPr>
                <w:sz w:val="20"/>
              </w:rPr>
              <w:t xml:space="preserve">Финансовая поддержка семей при рождении детей в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16</w:t>
            </w:r>
          </w:p>
        </w:tc>
        <w:tc>
          <w:tcPr>
            <w:tcW w:w="5832" w:type="dxa"/>
            <w:vAlign w:val="center"/>
          </w:tcPr>
          <w:p>
            <w:pPr>
              <w:pStyle w:val="0"/>
              <w:jc w:val="both"/>
            </w:pPr>
            <w:r>
              <w:rPr>
                <w:sz w:val="20"/>
              </w:rPr>
              <w:t xml:space="preserve">Создание условий для осуществления трудовой деятельности женщин, имеющих детей, включая достижение 100-процентной доступности (к 2021 году) дошкольного образования для детей в возрасте до трех лет</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17</w:t>
            </w:r>
          </w:p>
        </w:tc>
        <w:tc>
          <w:tcPr>
            <w:tcW w:w="5832" w:type="dxa"/>
            <w:vAlign w:val="center"/>
          </w:tcPr>
          <w:p>
            <w:pPr>
              <w:pStyle w:val="0"/>
              <w:jc w:val="both"/>
            </w:pPr>
            <w:r>
              <w:rPr>
                <w:sz w:val="20"/>
              </w:rPr>
              <w:t xml:space="preserve">Разработка и реализация программы системной поддержки и повышения качества жизни граждан старшего поколения на территории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18</w:t>
            </w:r>
          </w:p>
        </w:tc>
        <w:tc>
          <w:tcPr>
            <w:tcW w:w="5832" w:type="dxa"/>
            <w:vAlign w:val="center"/>
          </w:tcPr>
          <w:p>
            <w:pPr>
              <w:pStyle w:val="0"/>
              <w:jc w:val="both"/>
            </w:pPr>
            <w:r>
              <w:rPr>
                <w:sz w:val="20"/>
              </w:rPr>
              <w:t xml:space="preserve">Формирование системы мотивации граждан к здоровому образу жизни, включая здоровое питание и отказ от вредных привычек, в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19</w:t>
            </w:r>
          </w:p>
        </w:tc>
        <w:tc>
          <w:tcPr>
            <w:tcW w:w="5832" w:type="dxa"/>
            <w:vAlign w:val="center"/>
          </w:tcPr>
          <w:p>
            <w:pPr>
              <w:pStyle w:val="0"/>
              <w:jc w:val="both"/>
            </w:pPr>
            <w:r>
              <w:rPr>
                <w:sz w:val="20"/>
              </w:rPr>
              <w:t xml:space="preserve">Создание для всех категорий и групп населения условий для занятий физической культурой и спортом, в том числе повышение уровня обеспеченности объектами спорта, а также подготовка спортивного резерва (спорт - норма жизни)</w:t>
            </w:r>
          </w:p>
        </w:tc>
        <w:tc>
          <w:tcPr>
            <w:tcW w:w="2665" w:type="dxa"/>
            <w:vAlign w:val="center"/>
          </w:tcPr>
          <w:p>
            <w:pPr>
              <w:pStyle w:val="0"/>
              <w:jc w:val="center"/>
            </w:pPr>
            <w:r>
              <w:rPr>
                <w:sz w:val="20"/>
              </w:rPr>
              <w:t xml:space="preserve">01.01.2019 - 31.12.2024</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"Культура"</w:t>
            </w:r>
          </w:p>
        </w:tc>
        <w:tc>
          <w:tcPr>
            <w:tcW w:w="2665" w:type="dxa"/>
            <w:vAlign w:val="center"/>
          </w:tcPr>
          <w:p>
            <w:pPr>
              <w:pStyle w:val="0"/>
            </w:pPr>
            <w:r>
              <w:rPr>
                <w:sz w:val="20"/>
              </w:rPr>
            </w:r>
          </w:p>
        </w:tc>
      </w:tr>
      <w:tr>
        <w:tc>
          <w:tcPr>
            <w:tcW w:w="513" w:type="dxa"/>
            <w:vAlign w:val="center"/>
          </w:tcPr>
          <w:p>
            <w:pPr>
              <w:pStyle w:val="0"/>
              <w:jc w:val="both"/>
            </w:pPr>
            <w:r>
              <w:rPr>
                <w:sz w:val="20"/>
              </w:rPr>
              <w:t xml:space="preserve">20</w:t>
            </w:r>
          </w:p>
        </w:tc>
        <w:tc>
          <w:tcPr>
            <w:tcW w:w="5832" w:type="dxa"/>
            <w:vAlign w:val="center"/>
          </w:tcPr>
          <w:p>
            <w:pPr>
              <w:pStyle w:val="0"/>
              <w:jc w:val="both"/>
            </w:pPr>
            <w:r>
              <w:rPr>
                <w:sz w:val="20"/>
              </w:rPr>
              <w:t xml:space="preserve">Обеспечение качественно нового уровня развития инфраструктуры культуры в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21</w:t>
            </w:r>
          </w:p>
        </w:tc>
        <w:tc>
          <w:tcPr>
            <w:tcW w:w="5832" w:type="dxa"/>
            <w:vAlign w:val="center"/>
          </w:tcPr>
          <w:p>
            <w:pPr>
              <w:pStyle w:val="0"/>
              <w:jc w:val="both"/>
            </w:pPr>
            <w:r>
              <w:rPr>
                <w:sz w:val="20"/>
              </w:rPr>
              <w:t xml:space="preserve">Создание в Курской области условий для реализации творческого потенциала нации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22</w:t>
            </w:r>
          </w:p>
        </w:tc>
        <w:tc>
          <w:tcPr>
            <w:tcW w:w="5832" w:type="dxa"/>
            <w:vAlign w:val="center"/>
          </w:tcPr>
          <w:p>
            <w:pPr>
              <w:pStyle w:val="0"/>
              <w:jc w:val="both"/>
            </w:pPr>
            <w:r>
              <w:rPr>
                <w:sz w:val="20"/>
              </w:rPr>
              <w:t xml:space="preserve">Цифровизация услуг и формирование информационного пространства в сфере культуры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"Безопасные и качественные автомобильные дороги"</w:t>
            </w:r>
          </w:p>
        </w:tc>
        <w:tc>
          <w:tcPr>
            <w:tcW w:w="2665" w:type="dxa"/>
            <w:vAlign w:val="center"/>
          </w:tcPr>
          <w:p>
            <w:pPr>
              <w:pStyle w:val="0"/>
            </w:pPr>
            <w:r>
              <w:rPr>
                <w:sz w:val="20"/>
              </w:rPr>
            </w:r>
          </w:p>
        </w:tc>
      </w:tr>
      <w:tr>
        <w:tc>
          <w:tcPr>
            <w:tcW w:w="513" w:type="dxa"/>
            <w:vAlign w:val="center"/>
          </w:tcPr>
          <w:p>
            <w:pPr>
              <w:pStyle w:val="0"/>
              <w:jc w:val="both"/>
            </w:pPr>
            <w:r>
              <w:rPr>
                <w:sz w:val="20"/>
              </w:rPr>
              <w:t xml:space="preserve">23</w:t>
            </w:r>
          </w:p>
        </w:tc>
        <w:tc>
          <w:tcPr>
            <w:tcW w:w="5832" w:type="dxa"/>
            <w:vAlign w:val="center"/>
          </w:tcPr>
          <w:p>
            <w:pPr>
              <w:pStyle w:val="0"/>
              <w:jc w:val="both"/>
            </w:pPr>
            <w:r>
              <w:rPr>
                <w:sz w:val="20"/>
              </w:rPr>
              <w:t xml:space="preserve">Дорожная сеть</w:t>
            </w:r>
          </w:p>
        </w:tc>
        <w:tc>
          <w:tcPr>
            <w:tcW w:w="2665" w:type="dxa"/>
            <w:vAlign w:val="center"/>
          </w:tcPr>
          <w:p>
            <w:pPr>
              <w:pStyle w:val="0"/>
              <w:jc w:val="center"/>
            </w:pPr>
            <w:r>
              <w:rPr>
                <w:sz w:val="20"/>
              </w:rPr>
              <w:t xml:space="preserve">13.12.2018 - 31.12.2024</w:t>
            </w:r>
          </w:p>
        </w:tc>
      </w:tr>
      <w:tr>
        <w:tc>
          <w:tcPr>
            <w:tcW w:w="513" w:type="dxa"/>
            <w:vAlign w:val="center"/>
          </w:tcPr>
          <w:p>
            <w:pPr>
              <w:pStyle w:val="0"/>
              <w:jc w:val="both"/>
            </w:pPr>
            <w:r>
              <w:rPr>
                <w:sz w:val="20"/>
              </w:rPr>
              <w:t xml:space="preserve">24</w:t>
            </w:r>
          </w:p>
        </w:tc>
        <w:tc>
          <w:tcPr>
            <w:tcW w:w="5832" w:type="dxa"/>
            <w:vAlign w:val="center"/>
          </w:tcPr>
          <w:p>
            <w:pPr>
              <w:pStyle w:val="0"/>
              <w:jc w:val="both"/>
            </w:pPr>
            <w:r>
              <w:rPr>
                <w:sz w:val="20"/>
              </w:rPr>
              <w:t xml:space="preserve">Общесистемные меры развития дорожного хозяйства</w:t>
            </w:r>
          </w:p>
        </w:tc>
        <w:tc>
          <w:tcPr>
            <w:tcW w:w="2665" w:type="dxa"/>
            <w:vAlign w:val="center"/>
          </w:tcPr>
          <w:p>
            <w:pPr>
              <w:pStyle w:val="0"/>
              <w:jc w:val="center"/>
            </w:pPr>
            <w:r>
              <w:rPr>
                <w:sz w:val="20"/>
              </w:rPr>
              <w:t xml:space="preserve">13.12.2018 - 31.12.2024</w:t>
            </w:r>
          </w:p>
        </w:tc>
      </w:tr>
      <w:tr>
        <w:tc>
          <w:tcPr>
            <w:tcW w:w="513" w:type="dxa"/>
            <w:vAlign w:val="center"/>
          </w:tcPr>
          <w:p>
            <w:pPr>
              <w:pStyle w:val="0"/>
              <w:jc w:val="both"/>
            </w:pPr>
            <w:r>
              <w:rPr>
                <w:sz w:val="20"/>
              </w:rPr>
              <w:t xml:space="preserve">25</w:t>
            </w:r>
          </w:p>
        </w:tc>
        <w:tc>
          <w:tcPr>
            <w:tcW w:w="5832" w:type="dxa"/>
            <w:vAlign w:val="center"/>
          </w:tcPr>
          <w:p>
            <w:pPr>
              <w:pStyle w:val="0"/>
              <w:jc w:val="both"/>
            </w:pPr>
            <w:r>
              <w:rPr>
                <w:sz w:val="20"/>
              </w:rPr>
              <w:t xml:space="preserve">Безопасность дорожного движения</w:t>
            </w:r>
          </w:p>
        </w:tc>
        <w:tc>
          <w:tcPr>
            <w:tcW w:w="2665" w:type="dxa"/>
            <w:vAlign w:val="center"/>
          </w:tcPr>
          <w:p>
            <w:pPr>
              <w:pStyle w:val="0"/>
              <w:jc w:val="center"/>
            </w:pPr>
            <w:r>
              <w:rPr>
                <w:sz w:val="20"/>
              </w:rPr>
              <w:t xml:space="preserve">01.01.2019 - 31.12.2024</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"Жилье и городская среда"</w:t>
            </w:r>
          </w:p>
        </w:tc>
        <w:tc>
          <w:tcPr>
            <w:tcW w:w="2665" w:type="dxa"/>
            <w:vAlign w:val="center"/>
          </w:tcPr>
          <w:p>
            <w:pPr>
              <w:pStyle w:val="0"/>
            </w:pPr>
            <w:r>
              <w:rPr>
                <w:sz w:val="20"/>
              </w:rPr>
            </w:r>
          </w:p>
        </w:tc>
      </w:tr>
      <w:tr>
        <w:tc>
          <w:tcPr>
            <w:tcW w:w="513" w:type="dxa"/>
            <w:vAlign w:val="center"/>
          </w:tcPr>
          <w:p>
            <w:pPr>
              <w:pStyle w:val="0"/>
              <w:jc w:val="both"/>
            </w:pPr>
            <w:r>
              <w:rPr>
                <w:sz w:val="20"/>
              </w:rPr>
              <w:t xml:space="preserve">26</w:t>
            </w:r>
          </w:p>
        </w:tc>
        <w:tc>
          <w:tcPr>
            <w:tcW w:w="5832" w:type="dxa"/>
            <w:vAlign w:val="center"/>
          </w:tcPr>
          <w:p>
            <w:pPr>
              <w:pStyle w:val="0"/>
              <w:jc w:val="both"/>
            </w:pPr>
            <w:r>
              <w:rPr>
                <w:sz w:val="20"/>
              </w:rPr>
              <w:t xml:space="preserve">Ипотека</w:t>
            </w:r>
          </w:p>
        </w:tc>
        <w:tc>
          <w:tcPr>
            <w:tcW w:w="2665" w:type="dxa"/>
            <w:vAlign w:val="center"/>
          </w:tcPr>
          <w:p>
            <w:pPr>
              <w:pStyle w:val="0"/>
              <w:jc w:val="center"/>
            </w:pPr>
            <w:r>
              <w:rPr>
                <w:sz w:val="20"/>
              </w:rPr>
              <w:t xml:space="preserve">13.12.2018 - 31.12.2024</w:t>
            </w:r>
          </w:p>
        </w:tc>
      </w:tr>
      <w:tr>
        <w:tc>
          <w:tcPr>
            <w:tcW w:w="513" w:type="dxa"/>
            <w:vAlign w:val="center"/>
          </w:tcPr>
          <w:p>
            <w:pPr>
              <w:pStyle w:val="0"/>
              <w:jc w:val="both"/>
            </w:pPr>
            <w:r>
              <w:rPr>
                <w:sz w:val="20"/>
              </w:rPr>
              <w:t xml:space="preserve">27</w:t>
            </w:r>
          </w:p>
        </w:tc>
        <w:tc>
          <w:tcPr>
            <w:tcW w:w="5832" w:type="dxa"/>
            <w:vAlign w:val="center"/>
          </w:tcPr>
          <w:p>
            <w:pPr>
              <w:pStyle w:val="0"/>
              <w:jc w:val="both"/>
            </w:pPr>
            <w:r>
              <w:rPr>
                <w:sz w:val="20"/>
              </w:rPr>
              <w:t xml:space="preserve">Жилье</w:t>
            </w:r>
          </w:p>
        </w:tc>
        <w:tc>
          <w:tcPr>
            <w:tcW w:w="2665" w:type="dxa"/>
            <w:vAlign w:val="center"/>
          </w:tcPr>
          <w:p>
            <w:pPr>
              <w:pStyle w:val="0"/>
              <w:jc w:val="center"/>
            </w:pPr>
            <w:r>
              <w:rPr>
                <w:sz w:val="20"/>
              </w:rPr>
              <w:t xml:space="preserve">13.12.2018 - 31.12.2024</w:t>
            </w:r>
          </w:p>
        </w:tc>
      </w:tr>
      <w:tr>
        <w:tc>
          <w:tcPr>
            <w:tcW w:w="513" w:type="dxa"/>
            <w:vAlign w:val="center"/>
          </w:tcPr>
          <w:p>
            <w:pPr>
              <w:pStyle w:val="0"/>
              <w:jc w:val="both"/>
            </w:pPr>
            <w:r>
              <w:rPr>
                <w:sz w:val="20"/>
              </w:rPr>
              <w:t xml:space="preserve">28</w:t>
            </w:r>
          </w:p>
        </w:tc>
        <w:tc>
          <w:tcPr>
            <w:tcW w:w="5832" w:type="dxa"/>
            <w:vAlign w:val="center"/>
          </w:tcPr>
          <w:p>
            <w:pPr>
              <w:pStyle w:val="0"/>
              <w:jc w:val="both"/>
            </w:pPr>
            <w:r>
              <w:rPr>
                <w:sz w:val="20"/>
              </w:rPr>
              <w:t xml:space="preserve">Формирование комфортной городской среды в Курской области</w:t>
            </w:r>
          </w:p>
        </w:tc>
        <w:tc>
          <w:tcPr>
            <w:tcW w:w="2665" w:type="dxa"/>
            <w:vAlign w:val="center"/>
          </w:tcPr>
          <w:p>
            <w:pPr>
              <w:pStyle w:val="0"/>
              <w:jc w:val="center"/>
            </w:pPr>
            <w:r>
              <w:rPr>
                <w:sz w:val="20"/>
              </w:rPr>
              <w:t xml:space="preserve">08.01.2019 - 01.05.2025</w:t>
            </w:r>
          </w:p>
        </w:tc>
      </w:tr>
      <w:tr>
        <w:tc>
          <w:tcPr>
            <w:tcW w:w="513" w:type="dxa"/>
            <w:vAlign w:val="center"/>
          </w:tcPr>
          <w:p>
            <w:pPr>
              <w:pStyle w:val="0"/>
              <w:jc w:val="both"/>
            </w:pPr>
            <w:r>
              <w:rPr>
                <w:sz w:val="20"/>
              </w:rPr>
              <w:t xml:space="preserve">29</w:t>
            </w:r>
          </w:p>
        </w:tc>
        <w:tc>
          <w:tcPr>
            <w:tcW w:w="5832" w:type="dxa"/>
            <w:vAlign w:val="center"/>
          </w:tcPr>
          <w:p>
            <w:pPr>
              <w:pStyle w:val="0"/>
              <w:jc w:val="both"/>
            </w:pPr>
            <w:r>
              <w:rPr>
                <w:sz w:val="20"/>
              </w:rPr>
              <w:t xml:space="preserve">Обеспечение устойчивого сокращения непригодного для проживания жилищного фонда в Курской области</w:t>
            </w:r>
          </w:p>
        </w:tc>
        <w:tc>
          <w:tcPr>
            <w:tcW w:w="2665" w:type="dxa"/>
            <w:vAlign w:val="center"/>
          </w:tcPr>
          <w:p>
            <w:pPr>
              <w:pStyle w:val="0"/>
              <w:jc w:val="center"/>
            </w:pPr>
            <w:r>
              <w:rPr>
                <w:sz w:val="20"/>
              </w:rPr>
              <w:t xml:space="preserve">09.01.2019 - 31.12.2024</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"Экология"</w:t>
            </w:r>
          </w:p>
        </w:tc>
        <w:tc>
          <w:tcPr>
            <w:tcW w:w="2665" w:type="dxa"/>
            <w:vAlign w:val="center"/>
          </w:tcPr>
          <w:p>
            <w:pPr>
              <w:pStyle w:val="0"/>
            </w:pPr>
            <w:r>
              <w:rPr>
                <w:sz w:val="20"/>
              </w:rPr>
            </w:r>
          </w:p>
        </w:tc>
      </w:tr>
      <w:tr>
        <w:tc>
          <w:tcPr>
            <w:tcW w:w="513" w:type="dxa"/>
            <w:vAlign w:val="center"/>
          </w:tcPr>
          <w:p>
            <w:pPr>
              <w:pStyle w:val="0"/>
              <w:jc w:val="both"/>
            </w:pPr>
            <w:r>
              <w:rPr>
                <w:sz w:val="20"/>
              </w:rPr>
              <w:t xml:space="preserve">30</w:t>
            </w:r>
          </w:p>
        </w:tc>
        <w:tc>
          <w:tcPr>
            <w:tcW w:w="5832" w:type="dxa"/>
            <w:vAlign w:val="center"/>
          </w:tcPr>
          <w:p>
            <w:pPr>
              <w:pStyle w:val="0"/>
              <w:jc w:val="both"/>
            </w:pPr>
            <w:r>
              <w:rPr>
                <w:sz w:val="20"/>
              </w:rPr>
              <w:t xml:space="preserve">Снижение негативного воздействия на окружающую среду путем ликвидации наиболее опасных объектов накопленного вреда окружающей среде и несанкционированных свалок в границах городов на территории Курской области</w:t>
            </w:r>
          </w:p>
        </w:tc>
        <w:tc>
          <w:tcPr>
            <w:tcW w:w="2665" w:type="dxa"/>
            <w:vAlign w:val="center"/>
          </w:tcPr>
          <w:p>
            <w:pPr>
              <w:pStyle w:val="0"/>
              <w:jc w:val="center"/>
            </w:pPr>
            <w:r>
              <w:rPr>
                <w:sz w:val="20"/>
              </w:rPr>
              <w:t xml:space="preserve">01.01.2022 - 31.12.2024</w:t>
            </w:r>
          </w:p>
        </w:tc>
      </w:tr>
      <w:tr>
        <w:tc>
          <w:tcPr>
            <w:tcW w:w="513" w:type="dxa"/>
            <w:vAlign w:val="center"/>
          </w:tcPr>
          <w:p>
            <w:pPr>
              <w:pStyle w:val="0"/>
              <w:jc w:val="both"/>
            </w:pPr>
            <w:r>
              <w:rPr>
                <w:sz w:val="20"/>
              </w:rPr>
              <w:t xml:space="preserve">31</w:t>
            </w:r>
          </w:p>
        </w:tc>
        <w:tc>
          <w:tcPr>
            <w:tcW w:w="5832" w:type="dxa"/>
            <w:vAlign w:val="center"/>
          </w:tcPr>
          <w:p>
            <w:pPr>
              <w:pStyle w:val="0"/>
              <w:jc w:val="both"/>
            </w:pPr>
            <w:r>
              <w:rPr>
                <w:sz w:val="20"/>
              </w:rPr>
              <w:t xml:space="preserve">Комплексная система обращения с твердыми коммунальными отходами</w:t>
            </w:r>
          </w:p>
        </w:tc>
        <w:tc>
          <w:tcPr>
            <w:tcW w:w="2665" w:type="dxa"/>
            <w:vAlign w:val="center"/>
          </w:tcPr>
          <w:p>
            <w:pPr>
              <w:pStyle w:val="0"/>
              <w:jc w:val="center"/>
            </w:pPr>
            <w:r>
              <w:rPr>
                <w:sz w:val="20"/>
              </w:rPr>
              <w:t xml:space="preserve">13.12.2018 - 31.12.2024</w:t>
            </w:r>
          </w:p>
        </w:tc>
      </w:tr>
      <w:tr>
        <w:tc>
          <w:tcPr>
            <w:tcW w:w="513" w:type="dxa"/>
            <w:vAlign w:val="center"/>
          </w:tcPr>
          <w:p>
            <w:pPr>
              <w:pStyle w:val="0"/>
              <w:jc w:val="both"/>
            </w:pPr>
            <w:r>
              <w:rPr>
                <w:sz w:val="20"/>
              </w:rPr>
              <w:t xml:space="preserve">32</w:t>
            </w:r>
          </w:p>
        </w:tc>
        <w:tc>
          <w:tcPr>
            <w:tcW w:w="5832" w:type="dxa"/>
            <w:vAlign w:val="center"/>
          </w:tcPr>
          <w:p>
            <w:pPr>
              <w:pStyle w:val="0"/>
              <w:jc w:val="both"/>
            </w:pPr>
            <w:r>
              <w:rPr>
                <w:sz w:val="20"/>
              </w:rPr>
              <w:t xml:space="preserve">Чистая вода в Курской области</w:t>
            </w:r>
          </w:p>
        </w:tc>
        <w:tc>
          <w:tcPr>
            <w:tcW w:w="2665" w:type="dxa"/>
            <w:vAlign w:val="center"/>
          </w:tcPr>
          <w:p>
            <w:pPr>
              <w:pStyle w:val="0"/>
              <w:jc w:val="center"/>
            </w:pPr>
            <w:r>
              <w:rPr>
                <w:sz w:val="20"/>
              </w:rPr>
              <w:t xml:space="preserve">10.01.2019 - 31.12.2024</w:t>
            </w:r>
          </w:p>
        </w:tc>
      </w:tr>
      <w:tr>
        <w:tc>
          <w:tcPr>
            <w:tcW w:w="513" w:type="dxa"/>
            <w:vAlign w:val="center"/>
          </w:tcPr>
          <w:p>
            <w:pPr>
              <w:pStyle w:val="0"/>
              <w:jc w:val="both"/>
            </w:pPr>
            <w:r>
              <w:rPr>
                <w:sz w:val="20"/>
              </w:rPr>
              <w:t xml:space="preserve">33</w:t>
            </w:r>
          </w:p>
        </w:tc>
        <w:tc>
          <w:tcPr>
            <w:tcW w:w="5832" w:type="dxa"/>
            <w:vAlign w:val="center"/>
          </w:tcPr>
          <w:p>
            <w:pPr>
              <w:pStyle w:val="0"/>
              <w:jc w:val="both"/>
            </w:pPr>
            <w:r>
              <w:rPr>
                <w:sz w:val="20"/>
              </w:rPr>
              <w:t xml:space="preserve">Сохранение уникальных водных объектов на территории Курской области</w:t>
            </w:r>
          </w:p>
        </w:tc>
        <w:tc>
          <w:tcPr>
            <w:tcW w:w="2665" w:type="dxa"/>
            <w:vAlign w:val="center"/>
          </w:tcPr>
          <w:p>
            <w:pPr>
              <w:pStyle w:val="0"/>
              <w:jc w:val="center"/>
            </w:pPr>
            <w:r>
              <w:rPr>
                <w:sz w:val="20"/>
              </w:rPr>
              <w:t xml:space="preserve">10.01.2019 - 25.12.2024</w:t>
            </w:r>
          </w:p>
        </w:tc>
      </w:tr>
      <w:tr>
        <w:tc>
          <w:tcPr>
            <w:tcW w:w="513" w:type="dxa"/>
            <w:vAlign w:val="center"/>
          </w:tcPr>
          <w:p>
            <w:pPr>
              <w:pStyle w:val="0"/>
              <w:jc w:val="both"/>
            </w:pPr>
            <w:r>
              <w:rPr>
                <w:sz w:val="20"/>
              </w:rPr>
              <w:t xml:space="preserve">34</w:t>
            </w:r>
          </w:p>
        </w:tc>
        <w:tc>
          <w:tcPr>
            <w:tcW w:w="5832" w:type="dxa"/>
            <w:vAlign w:val="center"/>
          </w:tcPr>
          <w:p>
            <w:pPr>
              <w:pStyle w:val="0"/>
              <w:jc w:val="both"/>
            </w:pPr>
            <w:r>
              <w:rPr>
                <w:sz w:val="20"/>
              </w:rPr>
              <w:t xml:space="preserve">Сохранение лесов в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"Малое и среднее предпринимательство и поддержка индивидуальной предпринимательской инициативы"</w:t>
            </w:r>
          </w:p>
        </w:tc>
        <w:tc>
          <w:tcPr>
            <w:tcW w:w="2665" w:type="dxa"/>
            <w:vAlign w:val="center"/>
          </w:tcPr>
          <w:p>
            <w:pPr>
              <w:pStyle w:val="0"/>
            </w:pPr>
            <w:r>
              <w:rPr>
                <w:sz w:val="20"/>
              </w:rPr>
            </w:r>
          </w:p>
        </w:tc>
      </w:tr>
      <w:tr>
        <w:tc>
          <w:tcPr>
            <w:tcW w:w="513" w:type="dxa"/>
            <w:vAlign w:val="center"/>
          </w:tcPr>
          <w:p>
            <w:pPr>
              <w:pStyle w:val="0"/>
              <w:jc w:val="both"/>
            </w:pPr>
            <w:r>
              <w:rPr>
                <w:sz w:val="20"/>
              </w:rPr>
              <w:t xml:space="preserve">35</w:t>
            </w:r>
          </w:p>
        </w:tc>
        <w:tc>
          <w:tcPr>
            <w:tcW w:w="5832" w:type="dxa"/>
            <w:vAlign w:val="center"/>
          </w:tcPr>
          <w:p>
            <w:pPr>
              <w:pStyle w:val="0"/>
              <w:jc w:val="both"/>
            </w:pPr>
            <w:r>
              <w:rPr>
                <w:sz w:val="20"/>
              </w:rPr>
              <w:t xml:space="preserve">Акселерация субъектов малого и среднего предпринимательства</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36</w:t>
            </w:r>
          </w:p>
        </w:tc>
        <w:tc>
          <w:tcPr>
            <w:tcW w:w="5832" w:type="dxa"/>
            <w:vAlign w:val="center"/>
          </w:tcPr>
          <w:p>
            <w:pPr>
              <w:pStyle w:val="0"/>
              <w:jc w:val="both"/>
            </w:pPr>
            <w:r>
              <w:rPr>
                <w:sz w:val="20"/>
              </w:rPr>
              <w:t xml:space="preserve">Популяризация предпринимательства</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37</w:t>
            </w:r>
          </w:p>
        </w:tc>
        <w:tc>
          <w:tcPr>
            <w:tcW w:w="5832" w:type="dxa"/>
            <w:vAlign w:val="center"/>
          </w:tcPr>
          <w:p>
            <w:pPr>
              <w:pStyle w:val="0"/>
              <w:jc w:val="both"/>
            </w:pPr>
            <w:r>
              <w:rPr>
                <w:sz w:val="20"/>
              </w:rPr>
              <w:t xml:space="preserve">Улучшение условий ведения предпринимательской деятельности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38</w:t>
            </w:r>
          </w:p>
        </w:tc>
        <w:tc>
          <w:tcPr>
            <w:tcW w:w="5832" w:type="dxa"/>
            <w:vAlign w:val="center"/>
          </w:tcPr>
          <w:p>
            <w:pPr>
              <w:pStyle w:val="0"/>
              <w:jc w:val="both"/>
            </w:pPr>
            <w:r>
              <w:rPr>
                <w:sz w:val="20"/>
              </w:rPr>
              <w:t xml:space="preserve">Расширение доступа субъектов малого и среднего предпринимательства к финансовым ресурсам, в том числе к льготному финансированию</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39</w:t>
            </w:r>
          </w:p>
        </w:tc>
        <w:tc>
          <w:tcPr>
            <w:tcW w:w="5832" w:type="dxa"/>
            <w:vAlign w:val="center"/>
          </w:tcPr>
          <w:p>
            <w:pPr>
              <w:pStyle w:val="0"/>
              <w:jc w:val="both"/>
            </w:pPr>
            <w:r>
              <w:rPr>
                <w:sz w:val="20"/>
              </w:rPr>
              <w:t xml:space="preserve">Создание системы поддержки фермеров и развитие сельской кооперации в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"Цифровая экономика Российской Федерации"</w:t>
            </w:r>
          </w:p>
        </w:tc>
        <w:tc>
          <w:tcPr>
            <w:tcW w:w="2665" w:type="dxa"/>
            <w:vAlign w:val="center"/>
          </w:tcPr>
          <w:p>
            <w:pPr>
              <w:pStyle w:val="0"/>
            </w:pPr>
            <w:r>
              <w:rPr>
                <w:sz w:val="20"/>
              </w:rPr>
            </w:r>
          </w:p>
        </w:tc>
      </w:tr>
      <w:tr>
        <w:tc>
          <w:tcPr>
            <w:tcW w:w="513" w:type="dxa"/>
            <w:vAlign w:val="center"/>
          </w:tcPr>
          <w:p>
            <w:pPr>
              <w:pStyle w:val="0"/>
              <w:jc w:val="both"/>
            </w:pPr>
            <w:r>
              <w:rPr>
                <w:sz w:val="20"/>
              </w:rPr>
              <w:t xml:space="preserve">40</w:t>
            </w:r>
          </w:p>
        </w:tc>
        <w:tc>
          <w:tcPr>
            <w:tcW w:w="5832" w:type="dxa"/>
            <w:vAlign w:val="center"/>
          </w:tcPr>
          <w:p>
            <w:pPr>
              <w:pStyle w:val="0"/>
              <w:jc w:val="both"/>
            </w:pPr>
            <w:r>
              <w:rPr>
                <w:sz w:val="20"/>
              </w:rPr>
              <w:t xml:space="preserve">Кадры для цифровой экономики</w:t>
            </w:r>
          </w:p>
        </w:tc>
        <w:tc>
          <w:tcPr>
            <w:tcW w:w="2665" w:type="dxa"/>
            <w:vAlign w:val="center"/>
          </w:tcPr>
          <w:p>
            <w:pPr>
              <w:pStyle w:val="0"/>
              <w:jc w:val="center"/>
            </w:pPr>
            <w:r>
              <w:rPr>
                <w:sz w:val="20"/>
              </w:rPr>
              <w:t xml:space="preserve">16.08.2019 - 31.12.2024</w:t>
            </w:r>
          </w:p>
        </w:tc>
      </w:tr>
      <w:tr>
        <w:tc>
          <w:tcPr>
            <w:tcW w:w="513" w:type="dxa"/>
            <w:vAlign w:val="center"/>
          </w:tcPr>
          <w:p>
            <w:pPr>
              <w:pStyle w:val="0"/>
              <w:jc w:val="both"/>
            </w:pPr>
            <w:r>
              <w:rPr>
                <w:sz w:val="20"/>
              </w:rPr>
              <w:t xml:space="preserve">41</w:t>
            </w:r>
          </w:p>
        </w:tc>
        <w:tc>
          <w:tcPr>
            <w:tcW w:w="5832" w:type="dxa"/>
            <w:vAlign w:val="center"/>
          </w:tcPr>
          <w:p>
            <w:pPr>
              <w:pStyle w:val="0"/>
              <w:jc w:val="both"/>
            </w:pPr>
            <w:r>
              <w:rPr>
                <w:sz w:val="20"/>
              </w:rPr>
              <w:t xml:space="preserve">Информационная безопасность</w:t>
            </w:r>
          </w:p>
        </w:tc>
        <w:tc>
          <w:tcPr>
            <w:tcW w:w="2665" w:type="dxa"/>
            <w:vAlign w:val="center"/>
          </w:tcPr>
          <w:p>
            <w:pPr>
              <w:pStyle w:val="0"/>
              <w:jc w:val="center"/>
            </w:pPr>
            <w:r>
              <w:rPr>
                <w:sz w:val="20"/>
              </w:rPr>
              <w:t xml:space="preserve">16.08.2019 - 31.12.2024</w:t>
            </w:r>
          </w:p>
        </w:tc>
      </w:tr>
      <w:tr>
        <w:tc>
          <w:tcPr>
            <w:tcW w:w="513" w:type="dxa"/>
            <w:vAlign w:val="center"/>
          </w:tcPr>
          <w:p>
            <w:pPr>
              <w:pStyle w:val="0"/>
              <w:jc w:val="both"/>
            </w:pPr>
            <w:r>
              <w:rPr>
                <w:sz w:val="20"/>
              </w:rPr>
              <w:t xml:space="preserve">42</w:t>
            </w:r>
          </w:p>
        </w:tc>
        <w:tc>
          <w:tcPr>
            <w:tcW w:w="5832" w:type="dxa"/>
            <w:vAlign w:val="center"/>
          </w:tcPr>
          <w:p>
            <w:pPr>
              <w:pStyle w:val="0"/>
              <w:jc w:val="both"/>
            </w:pPr>
            <w:r>
              <w:rPr>
                <w:sz w:val="20"/>
              </w:rPr>
              <w:t xml:space="preserve">Цифровые технологии</w:t>
            </w:r>
          </w:p>
        </w:tc>
        <w:tc>
          <w:tcPr>
            <w:tcW w:w="2665" w:type="dxa"/>
            <w:vAlign w:val="center"/>
          </w:tcPr>
          <w:p>
            <w:pPr>
              <w:pStyle w:val="0"/>
              <w:jc w:val="center"/>
            </w:pPr>
            <w:r>
              <w:rPr>
                <w:sz w:val="20"/>
              </w:rPr>
              <w:t xml:space="preserve">16.08.2019 - 31.12.2024</w:t>
            </w:r>
          </w:p>
        </w:tc>
      </w:tr>
      <w:tr>
        <w:tc>
          <w:tcPr>
            <w:tcW w:w="513" w:type="dxa"/>
            <w:vAlign w:val="center"/>
          </w:tcPr>
          <w:p>
            <w:pPr>
              <w:pStyle w:val="0"/>
              <w:jc w:val="both"/>
            </w:pPr>
            <w:r>
              <w:rPr>
                <w:sz w:val="20"/>
              </w:rPr>
              <w:t xml:space="preserve">43</w:t>
            </w:r>
          </w:p>
        </w:tc>
        <w:tc>
          <w:tcPr>
            <w:tcW w:w="5832" w:type="dxa"/>
            <w:vAlign w:val="center"/>
          </w:tcPr>
          <w:p>
            <w:pPr>
              <w:pStyle w:val="0"/>
              <w:jc w:val="both"/>
            </w:pPr>
            <w:r>
              <w:rPr>
                <w:sz w:val="20"/>
              </w:rPr>
              <w:t xml:space="preserve">Информационная инфраструктура</w:t>
            </w:r>
          </w:p>
        </w:tc>
        <w:tc>
          <w:tcPr>
            <w:tcW w:w="2665" w:type="dxa"/>
            <w:vAlign w:val="center"/>
          </w:tcPr>
          <w:p>
            <w:pPr>
              <w:pStyle w:val="0"/>
              <w:jc w:val="center"/>
            </w:pPr>
            <w:r>
              <w:rPr>
                <w:sz w:val="20"/>
              </w:rPr>
              <w:t xml:space="preserve">16.08.2019 - 31.12.2024</w:t>
            </w:r>
          </w:p>
        </w:tc>
      </w:tr>
      <w:tr>
        <w:tc>
          <w:tcPr>
            <w:tcW w:w="513" w:type="dxa"/>
            <w:vAlign w:val="center"/>
          </w:tcPr>
          <w:p>
            <w:pPr>
              <w:pStyle w:val="0"/>
              <w:jc w:val="both"/>
            </w:pPr>
            <w:r>
              <w:rPr>
                <w:sz w:val="20"/>
              </w:rPr>
              <w:t xml:space="preserve">44</w:t>
            </w:r>
          </w:p>
        </w:tc>
        <w:tc>
          <w:tcPr>
            <w:tcW w:w="5832" w:type="dxa"/>
            <w:vAlign w:val="center"/>
          </w:tcPr>
          <w:p>
            <w:pPr>
              <w:pStyle w:val="0"/>
              <w:jc w:val="both"/>
            </w:pPr>
            <w:r>
              <w:rPr>
                <w:sz w:val="20"/>
              </w:rPr>
              <w:t xml:space="preserve">Цифровое государственное управление</w:t>
            </w:r>
          </w:p>
        </w:tc>
        <w:tc>
          <w:tcPr>
            <w:tcW w:w="2665" w:type="dxa"/>
            <w:vAlign w:val="center"/>
          </w:tcPr>
          <w:p>
            <w:pPr>
              <w:pStyle w:val="0"/>
              <w:jc w:val="center"/>
            </w:pPr>
            <w:r>
              <w:rPr>
                <w:sz w:val="20"/>
              </w:rPr>
              <w:t xml:space="preserve">16.08.2019 - 31.12.2024</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"Международная кооперация и экспорт"</w:t>
            </w:r>
          </w:p>
        </w:tc>
        <w:tc>
          <w:tcPr>
            <w:tcW w:w="2665" w:type="dxa"/>
            <w:vAlign w:val="center"/>
          </w:tcPr>
          <w:p>
            <w:pPr>
              <w:pStyle w:val="0"/>
            </w:pPr>
            <w:r>
              <w:rPr>
                <w:sz w:val="20"/>
              </w:rPr>
            </w:r>
          </w:p>
        </w:tc>
      </w:tr>
      <w:tr>
        <w:tc>
          <w:tcPr>
            <w:tcW w:w="513" w:type="dxa"/>
            <w:vAlign w:val="center"/>
          </w:tcPr>
          <w:p>
            <w:pPr>
              <w:pStyle w:val="0"/>
              <w:jc w:val="both"/>
            </w:pPr>
            <w:r>
              <w:rPr>
                <w:sz w:val="20"/>
              </w:rPr>
              <w:t xml:space="preserve">45</w:t>
            </w:r>
          </w:p>
        </w:tc>
        <w:tc>
          <w:tcPr>
            <w:tcW w:w="5832" w:type="dxa"/>
            <w:vAlign w:val="center"/>
          </w:tcPr>
          <w:p>
            <w:pPr>
              <w:pStyle w:val="0"/>
              <w:jc w:val="both"/>
            </w:pPr>
            <w:r>
              <w:rPr>
                <w:sz w:val="20"/>
              </w:rPr>
              <w:t xml:space="preserve">Развитие экспорта продукции АПК Курской области</w:t>
            </w:r>
          </w:p>
        </w:tc>
        <w:tc>
          <w:tcPr>
            <w:tcW w:w="2665" w:type="dxa"/>
            <w:vAlign w:val="center"/>
          </w:tcPr>
          <w:p>
            <w:pPr>
              <w:pStyle w:val="0"/>
              <w:jc w:val="center"/>
            </w:pPr>
            <w:r>
              <w:rPr>
                <w:sz w:val="20"/>
              </w:rPr>
              <w:t xml:space="preserve">01.01.2019 - 31.12.2024</w:t>
            </w:r>
          </w:p>
        </w:tc>
      </w:tr>
      <w:tr>
        <w:tc>
          <w:tcPr>
            <w:tcW w:w="513" w:type="dxa"/>
            <w:vAlign w:val="center"/>
          </w:tcPr>
          <w:p>
            <w:pPr>
              <w:pStyle w:val="0"/>
              <w:jc w:val="both"/>
            </w:pPr>
            <w:r>
              <w:rPr>
                <w:sz w:val="20"/>
              </w:rPr>
              <w:t xml:space="preserve">46</w:t>
            </w:r>
          </w:p>
        </w:tc>
        <w:tc>
          <w:tcPr>
            <w:tcW w:w="5832" w:type="dxa"/>
            <w:vAlign w:val="center"/>
          </w:tcPr>
          <w:p>
            <w:pPr>
              <w:pStyle w:val="0"/>
              <w:jc w:val="both"/>
            </w:pPr>
            <w:r>
              <w:rPr>
                <w:sz w:val="20"/>
              </w:rPr>
              <w:t xml:space="preserve">Экспорт услуг</w:t>
            </w:r>
          </w:p>
        </w:tc>
        <w:tc>
          <w:tcPr>
            <w:tcW w:w="2665" w:type="dxa"/>
            <w:vAlign w:val="center"/>
          </w:tcPr>
          <w:p>
            <w:pPr>
              <w:pStyle w:val="0"/>
              <w:jc w:val="center"/>
            </w:pPr>
            <w:r>
              <w:rPr>
                <w:sz w:val="20"/>
              </w:rPr>
              <w:t xml:space="preserve">01.01.2020 - 31.12.2024</w:t>
            </w:r>
          </w:p>
        </w:tc>
      </w:tr>
      <w:tr>
        <w:tc>
          <w:tcPr>
            <w:tcW w:w="513" w:type="dxa"/>
            <w:vAlign w:val="center"/>
          </w:tcPr>
          <w:p>
            <w:pPr>
              <w:pStyle w:val="0"/>
              <w:jc w:val="both"/>
            </w:pPr>
            <w:r>
              <w:rPr>
                <w:sz w:val="20"/>
              </w:rPr>
              <w:t xml:space="preserve">47</w:t>
            </w:r>
          </w:p>
        </w:tc>
        <w:tc>
          <w:tcPr>
            <w:tcW w:w="5832" w:type="dxa"/>
            <w:vAlign w:val="center"/>
          </w:tcPr>
          <w:p>
            <w:pPr>
              <w:pStyle w:val="0"/>
              <w:jc w:val="both"/>
            </w:pPr>
            <w:r>
              <w:rPr>
                <w:sz w:val="20"/>
              </w:rPr>
              <w:t xml:space="preserve">Системные меры развития международной кооперации и экспорта</w:t>
            </w:r>
          </w:p>
        </w:tc>
        <w:tc>
          <w:tcPr>
            <w:tcW w:w="2665" w:type="dxa"/>
            <w:vAlign w:val="center"/>
          </w:tcPr>
          <w:p>
            <w:pPr>
              <w:pStyle w:val="0"/>
              <w:jc w:val="center"/>
            </w:pPr>
            <w:r>
              <w:rPr>
                <w:sz w:val="20"/>
              </w:rPr>
              <w:t xml:space="preserve">01.01.2020 - 31.12.2024</w:t>
            </w:r>
          </w:p>
        </w:tc>
      </w:tr>
      <w:tr>
        <w:tc>
          <w:tcPr>
            <w:tcW w:w="513" w:type="dxa"/>
            <w:vAlign w:val="center"/>
          </w:tcPr>
          <w:p>
            <w:pPr>
              <w:pStyle w:val="0"/>
            </w:pPr>
            <w:r>
              <w:rPr>
                <w:sz w:val="20"/>
              </w:rPr>
            </w:r>
          </w:p>
        </w:tc>
        <w:tc>
          <w:tcPr>
            <w:tcW w:w="5832" w:type="dxa"/>
            <w:vAlign w:val="center"/>
          </w:tcPr>
          <w:p>
            <w:pPr>
              <w:pStyle w:val="0"/>
              <w:jc w:val="both"/>
            </w:pPr>
            <w:r>
              <w:rPr>
                <w:sz w:val="20"/>
              </w:rPr>
              <w:t xml:space="preserve">В рамках национального проекта "Производительность труда и поддержка занятости"</w:t>
            </w:r>
          </w:p>
        </w:tc>
        <w:tc>
          <w:tcPr>
            <w:tcW w:w="2665" w:type="dxa"/>
            <w:vAlign w:val="center"/>
          </w:tcPr>
          <w:p>
            <w:pPr>
              <w:pStyle w:val="0"/>
            </w:pPr>
            <w:r>
              <w:rPr>
                <w:sz w:val="20"/>
              </w:rPr>
            </w:r>
          </w:p>
        </w:tc>
      </w:tr>
      <w:tr>
        <w:tc>
          <w:tcPr>
            <w:tcW w:w="513" w:type="dxa"/>
            <w:vAlign w:val="center"/>
          </w:tcPr>
          <w:p>
            <w:pPr>
              <w:pStyle w:val="0"/>
              <w:jc w:val="both"/>
            </w:pPr>
            <w:r>
              <w:rPr>
                <w:sz w:val="20"/>
              </w:rPr>
              <w:t xml:space="preserve">48</w:t>
            </w:r>
          </w:p>
        </w:tc>
        <w:tc>
          <w:tcPr>
            <w:tcW w:w="5832" w:type="dxa"/>
            <w:vAlign w:val="center"/>
          </w:tcPr>
          <w:p>
            <w:pPr>
              <w:pStyle w:val="0"/>
              <w:jc w:val="both"/>
            </w:pPr>
            <w:r>
              <w:rPr>
                <w:sz w:val="20"/>
              </w:rPr>
              <w:t xml:space="preserve">Адресная поддержка повышения производительности труда на предприятиях</w:t>
            </w:r>
          </w:p>
        </w:tc>
        <w:tc>
          <w:tcPr>
            <w:tcW w:w="2665" w:type="dxa"/>
            <w:vAlign w:val="center"/>
          </w:tcPr>
          <w:p>
            <w:pPr>
              <w:pStyle w:val="0"/>
              <w:jc w:val="center"/>
            </w:pPr>
            <w:r>
              <w:rPr>
                <w:sz w:val="20"/>
              </w:rPr>
              <w:t xml:space="preserve">01.01.2020 - 31.12.2024</w:t>
            </w:r>
          </w:p>
        </w:tc>
      </w:tr>
      <w:tr>
        <w:tc>
          <w:tcPr>
            <w:tcW w:w="513" w:type="dxa"/>
            <w:vAlign w:val="center"/>
          </w:tcPr>
          <w:p>
            <w:pPr>
              <w:pStyle w:val="0"/>
              <w:jc w:val="both"/>
            </w:pPr>
            <w:r>
              <w:rPr>
                <w:sz w:val="20"/>
              </w:rPr>
              <w:t xml:space="preserve">49</w:t>
            </w:r>
          </w:p>
        </w:tc>
        <w:tc>
          <w:tcPr>
            <w:tcW w:w="5832" w:type="dxa"/>
            <w:vAlign w:val="center"/>
          </w:tcPr>
          <w:p>
            <w:pPr>
              <w:pStyle w:val="0"/>
              <w:jc w:val="both"/>
            </w:pPr>
            <w:r>
              <w:rPr>
                <w:sz w:val="20"/>
              </w:rPr>
              <w:t xml:space="preserve">Поддержка занятости и повышение эффективности рынка труда для обеспечения роста производительности труда</w:t>
            </w:r>
          </w:p>
        </w:tc>
        <w:tc>
          <w:tcPr>
            <w:tcW w:w="2665" w:type="dxa"/>
            <w:vAlign w:val="center"/>
          </w:tcPr>
          <w:p>
            <w:pPr>
              <w:pStyle w:val="0"/>
              <w:jc w:val="center"/>
            </w:pPr>
            <w:r>
              <w:rPr>
                <w:sz w:val="20"/>
              </w:rPr>
              <w:t xml:space="preserve">01.01.2020 - 31.12.2024</w:t>
            </w:r>
          </w:p>
        </w:tc>
      </w:tr>
      <w:tr>
        <w:tc>
          <w:tcPr>
            <w:tcW w:w="513" w:type="dxa"/>
            <w:vAlign w:val="center"/>
          </w:tcPr>
          <w:p>
            <w:pPr>
              <w:pStyle w:val="0"/>
              <w:jc w:val="both"/>
            </w:pPr>
            <w:r>
              <w:rPr>
                <w:sz w:val="20"/>
              </w:rPr>
              <w:t xml:space="preserve">50</w:t>
            </w:r>
          </w:p>
        </w:tc>
        <w:tc>
          <w:tcPr>
            <w:tcW w:w="5832" w:type="dxa"/>
            <w:vAlign w:val="center"/>
          </w:tcPr>
          <w:p>
            <w:pPr>
              <w:pStyle w:val="0"/>
              <w:jc w:val="both"/>
            </w:pPr>
            <w:r>
              <w:rPr>
                <w:sz w:val="20"/>
              </w:rPr>
              <w:t xml:space="preserve">Системные меры по повышению производительности труда</w:t>
            </w:r>
          </w:p>
        </w:tc>
        <w:tc>
          <w:tcPr>
            <w:tcW w:w="2665" w:type="dxa"/>
            <w:vAlign w:val="center"/>
          </w:tcPr>
          <w:p>
            <w:pPr>
              <w:pStyle w:val="0"/>
              <w:jc w:val="center"/>
            </w:pPr>
            <w:r>
              <w:rPr>
                <w:sz w:val="20"/>
              </w:rPr>
              <w:t xml:space="preserve">01.01.2019 - 31.12.2024</w:t>
            </w:r>
          </w:p>
        </w:tc>
      </w:tr>
    </w:tbl>
    <w:p>
      <w:pPr>
        <w:pStyle w:val="0"/>
        <w:jc w:val="both"/>
      </w:pPr>
      <w:r>
        <w:rPr>
          <w:sz w:val="20"/>
        </w:rPr>
      </w:r>
    </w:p>
    <w:p>
      <w:pPr>
        <w:pStyle w:val="2"/>
        <w:outlineLvl w:val="2"/>
        <w:ind w:firstLine="540"/>
        <w:jc w:val="both"/>
      </w:pPr>
      <w:r>
        <w:rPr>
          <w:sz w:val="20"/>
        </w:rPr>
        <w:t xml:space="preserve">4.5. Флагманские проекты</w:t>
      </w:r>
    </w:p>
    <w:p>
      <w:pPr>
        <w:pStyle w:val="0"/>
        <w:jc w:val="both"/>
      </w:pPr>
      <w:r>
        <w:rPr>
          <w:sz w:val="20"/>
        </w:rPr>
      </w:r>
    </w:p>
    <w:p>
      <w:pPr>
        <w:pStyle w:val="0"/>
        <w:ind w:firstLine="540"/>
        <w:jc w:val="both"/>
      </w:pPr>
      <w:r>
        <w:rPr>
          <w:sz w:val="20"/>
        </w:rPr>
        <w:t xml:space="preserve">По каждому из приоритетных направлений в дополнение к региональным проектам, действующим до 2024 года, в Стратегии выделяются флагманские проекты до 2030 года.</w:t>
      </w:r>
    </w:p>
    <w:p>
      <w:pPr>
        <w:pStyle w:val="0"/>
        <w:jc w:val="both"/>
      </w:pPr>
      <w:r>
        <w:rPr>
          <w:sz w:val="20"/>
        </w:rPr>
      </w:r>
    </w:p>
    <w:p>
      <w:pPr>
        <w:pStyle w:val="0"/>
        <w:outlineLvl w:val="3"/>
        <w:jc w:val="right"/>
      </w:pPr>
      <w:r>
        <w:rPr>
          <w:sz w:val="20"/>
        </w:rPr>
        <w:t xml:space="preserve">Таблица N 5</w:t>
      </w:r>
    </w:p>
    <w:p>
      <w:pPr>
        <w:pStyle w:val="0"/>
        <w:jc w:val="both"/>
      </w:pPr>
      <w:r>
        <w:rPr>
          <w:sz w:val="20"/>
        </w:rPr>
      </w:r>
    </w:p>
    <w:p>
      <w:pPr>
        <w:pStyle w:val="2"/>
        <w:jc w:val="center"/>
      </w:pPr>
      <w:r>
        <w:rPr>
          <w:sz w:val="20"/>
        </w:rPr>
        <w:t xml:space="preserve">Перечень флагманских проектов Стратегии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09"/>
      </w:tblGrid>
      <w:tr>
        <w:tc>
          <w:tcPr>
            <w:tcW w:w="3005" w:type="dxa"/>
            <w:vAlign w:val="center"/>
          </w:tcPr>
          <w:p>
            <w:pPr>
              <w:pStyle w:val="0"/>
              <w:jc w:val="center"/>
            </w:pPr>
            <w:r>
              <w:rPr>
                <w:sz w:val="20"/>
              </w:rPr>
              <w:t xml:space="preserve">Флагманский проект</w:t>
            </w:r>
          </w:p>
        </w:tc>
        <w:tc>
          <w:tcPr>
            <w:tcW w:w="6009" w:type="dxa"/>
            <w:vAlign w:val="center"/>
          </w:tcPr>
          <w:p>
            <w:pPr>
              <w:pStyle w:val="0"/>
              <w:jc w:val="center"/>
            </w:pPr>
            <w:r>
              <w:rPr>
                <w:sz w:val="20"/>
              </w:rPr>
              <w:t xml:space="preserve">Основные характеристики (в рамках целевого сценария)</w:t>
            </w:r>
          </w:p>
        </w:tc>
      </w:tr>
      <w:tr>
        <w:tc>
          <w:tcPr>
            <w:tcW w:w="3005" w:type="dxa"/>
            <w:vAlign w:val="center"/>
          </w:tcPr>
          <w:p>
            <w:pPr>
              <w:pStyle w:val="0"/>
              <w:jc w:val="both"/>
            </w:pPr>
            <w:r>
              <w:rPr>
                <w:sz w:val="20"/>
              </w:rPr>
              <w:t xml:space="preserve">Борьба с онкозаболеваниями и их профилактика</w:t>
            </w:r>
          </w:p>
        </w:tc>
        <w:tc>
          <w:tcPr>
            <w:tcW w:w="6009" w:type="dxa"/>
            <w:vAlign w:val="center"/>
          </w:tcPr>
          <w:p>
            <w:pPr>
              <w:pStyle w:val="0"/>
              <w:ind w:firstLine="176"/>
              <w:jc w:val="both"/>
            </w:pPr>
            <w:r>
              <w:rPr>
                <w:sz w:val="20"/>
              </w:rPr>
              <w:t xml:space="preserve">Высокотехнологичное оснащение, обучение сотрудников отделения онкологического диспансера в г. Железногорск - межрайонный центр амбулаторной онкологии.</w:t>
            </w:r>
          </w:p>
          <w:p>
            <w:pPr>
              <w:pStyle w:val="0"/>
              <w:ind w:firstLine="176"/>
              <w:jc w:val="both"/>
            </w:pPr>
            <w:r>
              <w:rPr>
                <w:sz w:val="20"/>
              </w:rPr>
              <w:t xml:space="preserve">В 2023 году на базе ОБУЗ "Горшеченская ЦРБ" (п. Горшечное) и ОБУЗ "Рыльская ЦРБ" (г. Рыльск) будут созданы центры амбулаторной онкологической помощи: проведение "онкопоиска", проведение химиотерапевтического лечения, мониторинг лечения.</w:t>
            </w:r>
          </w:p>
          <w:p>
            <w:pPr>
              <w:pStyle w:val="0"/>
              <w:ind w:firstLine="176"/>
              <w:jc w:val="both"/>
            </w:pPr>
            <w:r>
              <w:rPr>
                <w:sz w:val="20"/>
              </w:rPr>
              <w:t xml:space="preserve">К 2023 году с помощью телевидения, радио и Интернета 70% граждан старше 18 лет будет охвачено информационной кампанией, направленной на стимулирование раннего выявления онкологических заболеваний и повышение мотивации к лечению</w:t>
            </w:r>
          </w:p>
        </w:tc>
      </w:tr>
      <w:tr>
        <w:tc>
          <w:tcPr>
            <w:tcW w:w="3005" w:type="dxa"/>
            <w:vAlign w:val="center"/>
          </w:tcPr>
          <w:p>
            <w:pPr>
              <w:pStyle w:val="0"/>
              <w:jc w:val="both"/>
            </w:pPr>
            <w:r>
              <w:rPr>
                <w:sz w:val="20"/>
              </w:rPr>
              <w:t xml:space="preserve">Формирование единого научно-образовательного пространства вузов Курска (технологическая долина)</w:t>
            </w:r>
          </w:p>
        </w:tc>
        <w:tc>
          <w:tcPr>
            <w:tcW w:w="6009" w:type="dxa"/>
            <w:vAlign w:val="center"/>
          </w:tcPr>
          <w:p>
            <w:pPr>
              <w:pStyle w:val="0"/>
              <w:ind w:firstLine="176"/>
              <w:jc w:val="both"/>
            </w:pPr>
            <w:r>
              <w:rPr>
                <w:sz w:val="20"/>
              </w:rPr>
              <w:t xml:space="preserve">Расширение и модернизация кампусов ведущих вузов Курска, формирование единого пространства;</w:t>
            </w:r>
          </w:p>
          <w:p>
            <w:pPr>
              <w:pStyle w:val="0"/>
              <w:ind w:firstLine="176"/>
              <w:jc w:val="both"/>
            </w:pPr>
            <w:r>
              <w:rPr>
                <w:sz w:val="20"/>
              </w:rPr>
              <w:t xml:space="preserve">расширение площади и повышение уровня оснащенности учебно-лабораторных помещений;</w:t>
            </w:r>
          </w:p>
          <w:p>
            <w:pPr>
              <w:pStyle w:val="0"/>
              <w:ind w:firstLine="176"/>
              <w:jc w:val="both"/>
            </w:pPr>
            <w:r>
              <w:rPr>
                <w:sz w:val="20"/>
              </w:rPr>
              <w:t xml:space="preserve">формирование единого научно-образовательного пространства с возможностью посещения учебных занятий, лабораторий и объектов инновационной инфраструктуры в других вузах;</w:t>
            </w:r>
          </w:p>
          <w:p>
            <w:pPr>
              <w:pStyle w:val="0"/>
              <w:ind w:firstLine="176"/>
              <w:jc w:val="both"/>
            </w:pPr>
            <w:r>
              <w:rPr>
                <w:sz w:val="20"/>
              </w:rPr>
              <w:t xml:space="preserve">разработка специальных инструментов поддержки технологических стартапов, в т.ч. применение механизма инновационных ваучеров;</w:t>
            </w:r>
          </w:p>
          <w:p>
            <w:pPr>
              <w:pStyle w:val="0"/>
              <w:ind w:firstLine="176"/>
              <w:jc w:val="both"/>
            </w:pPr>
            <w:r>
              <w:rPr>
                <w:sz w:val="20"/>
              </w:rPr>
              <w:t xml:space="preserve">расширение практики совместного сотрудничества при реализации контрактов с крупными компаниями</w:t>
            </w:r>
          </w:p>
        </w:tc>
      </w:tr>
      <w:tr>
        <w:tc>
          <w:tcPr>
            <w:tcW w:w="3005" w:type="dxa"/>
            <w:vAlign w:val="center"/>
          </w:tcPr>
          <w:p>
            <w:pPr>
              <w:pStyle w:val="0"/>
              <w:jc w:val="both"/>
            </w:pPr>
            <w:r>
              <w:rPr>
                <w:sz w:val="20"/>
              </w:rPr>
              <w:t xml:space="preserve">Упрощение условий ведения бизнеса</w:t>
            </w:r>
          </w:p>
        </w:tc>
        <w:tc>
          <w:tcPr>
            <w:tcW w:w="6009" w:type="dxa"/>
            <w:vAlign w:val="center"/>
          </w:tcPr>
          <w:p>
            <w:pPr>
              <w:pStyle w:val="0"/>
              <w:ind w:firstLine="176"/>
              <w:jc w:val="both"/>
            </w:pPr>
            <w:r>
              <w:rPr>
                <w:sz w:val="20"/>
              </w:rPr>
              <w:t xml:space="preserve">Упрощение процедуры получения разрешений на строительство;</w:t>
            </w:r>
          </w:p>
          <w:p>
            <w:pPr>
              <w:pStyle w:val="0"/>
              <w:ind w:firstLine="176"/>
              <w:jc w:val="both"/>
            </w:pPr>
            <w:r>
              <w:rPr>
                <w:sz w:val="20"/>
              </w:rPr>
              <w:t xml:space="preserve">упрощение процедур регистрации прав собственности на земельные участки и объекты недвижимого имущества;</w:t>
            </w:r>
          </w:p>
          <w:p>
            <w:pPr>
              <w:pStyle w:val="0"/>
              <w:ind w:firstLine="176"/>
              <w:jc w:val="both"/>
            </w:pPr>
            <w:r>
              <w:rPr>
                <w:sz w:val="20"/>
              </w:rPr>
              <w:t xml:space="preserve">упрощение подключения (технологического присоединения);</w:t>
            </w:r>
          </w:p>
          <w:p>
            <w:pPr>
              <w:pStyle w:val="0"/>
              <w:ind w:firstLine="176"/>
              <w:jc w:val="both"/>
            </w:pPr>
            <w:r>
              <w:rPr>
                <w:sz w:val="20"/>
              </w:rPr>
              <w:t xml:space="preserve">создание сети индустриальных парков;</w:t>
            </w:r>
          </w:p>
          <w:p>
            <w:pPr>
              <w:pStyle w:val="0"/>
              <w:ind w:firstLine="176"/>
              <w:jc w:val="both"/>
            </w:pPr>
            <w:r>
              <w:rPr>
                <w:sz w:val="20"/>
              </w:rPr>
              <w:t xml:space="preserve">полномасштабное внедрение Стандарта развития конкуренции;</w:t>
            </w:r>
          </w:p>
          <w:p>
            <w:pPr>
              <w:pStyle w:val="0"/>
              <w:ind w:firstLine="176"/>
              <w:jc w:val="both"/>
            </w:pPr>
            <w:r>
              <w:rPr>
                <w:sz w:val="20"/>
              </w:rPr>
              <w:t xml:space="preserve">внедрение целевых моделей АСИ</w:t>
            </w:r>
          </w:p>
        </w:tc>
      </w:tr>
      <w:tr>
        <w:tc>
          <w:tcPr>
            <w:tcW w:w="3005" w:type="dxa"/>
            <w:vAlign w:val="center"/>
          </w:tcPr>
          <w:p>
            <w:pPr>
              <w:pStyle w:val="0"/>
              <w:jc w:val="both"/>
            </w:pPr>
            <w:r>
              <w:rPr>
                <w:sz w:val="20"/>
              </w:rPr>
              <w:t xml:space="preserve">Внедрение цифровых технологий в управлении хозяйством региона</w:t>
            </w:r>
          </w:p>
        </w:tc>
        <w:tc>
          <w:tcPr>
            <w:tcW w:w="6009" w:type="dxa"/>
            <w:vAlign w:val="center"/>
          </w:tcPr>
          <w:p>
            <w:pPr>
              <w:pStyle w:val="0"/>
              <w:ind w:firstLine="176"/>
              <w:jc w:val="both"/>
            </w:pPr>
            <w:r>
              <w:rPr>
                <w:sz w:val="20"/>
              </w:rPr>
              <w:t xml:space="preserve">Умная энергетика: внедрение энергоэффективных систем ЖКХ;</w:t>
            </w:r>
          </w:p>
          <w:p>
            <w:pPr>
              <w:pStyle w:val="0"/>
              <w:ind w:firstLine="176"/>
              <w:jc w:val="both"/>
            </w:pPr>
            <w:r>
              <w:rPr>
                <w:sz w:val="20"/>
              </w:rPr>
              <w:t xml:space="preserve">умный транспорт: автоматизация систем дорожного движения; подключение общественного транспорта к ГЛОНАСС;</w:t>
            </w:r>
          </w:p>
          <w:p>
            <w:pPr>
              <w:pStyle w:val="0"/>
              <w:ind w:firstLine="176"/>
              <w:jc w:val="both"/>
            </w:pPr>
            <w:r>
              <w:rPr>
                <w:sz w:val="20"/>
              </w:rPr>
              <w:t xml:space="preserve">умные технологии: внедрение Интернета вещей - анализ больших данных;</w:t>
            </w:r>
          </w:p>
          <w:p>
            <w:pPr>
              <w:pStyle w:val="0"/>
              <w:ind w:firstLine="176"/>
              <w:jc w:val="both"/>
            </w:pPr>
            <w:r>
              <w:rPr>
                <w:sz w:val="20"/>
              </w:rPr>
              <w:t xml:space="preserve">умное здравоохранение: электронная запись к врачам, электронные медицинские книжки;</w:t>
            </w:r>
          </w:p>
          <w:p>
            <w:pPr>
              <w:pStyle w:val="0"/>
              <w:ind w:firstLine="176"/>
              <w:jc w:val="both"/>
            </w:pPr>
            <w:r>
              <w:rPr>
                <w:sz w:val="20"/>
              </w:rPr>
              <w:t xml:space="preserve">создание проектного офиса "умный регион" и разработка нормативно-правовой базы;</w:t>
            </w:r>
          </w:p>
          <w:p>
            <w:pPr>
              <w:pStyle w:val="0"/>
              <w:ind w:firstLine="176"/>
              <w:jc w:val="both"/>
            </w:pPr>
            <w:r>
              <w:rPr>
                <w:sz w:val="20"/>
              </w:rPr>
              <w:t xml:space="preserve">создание единого регионального дата-центра</w:t>
            </w:r>
          </w:p>
        </w:tc>
      </w:tr>
      <w:tr>
        <w:tc>
          <w:tcPr>
            <w:tcW w:w="3005" w:type="dxa"/>
            <w:vAlign w:val="center"/>
          </w:tcPr>
          <w:p>
            <w:pPr>
              <w:pStyle w:val="0"/>
              <w:jc w:val="both"/>
            </w:pPr>
            <w:r>
              <w:rPr>
                <w:sz w:val="20"/>
              </w:rPr>
              <w:t xml:space="preserve">Развитие Цифровой платформы обработки сообщений граждан, онлайн-голосований и сбора предложений и идей по вопросам развития территорий</w:t>
            </w:r>
          </w:p>
        </w:tc>
        <w:tc>
          <w:tcPr>
            <w:tcW w:w="6009" w:type="dxa"/>
          </w:tcPr>
          <w:p>
            <w:pPr>
              <w:pStyle w:val="0"/>
              <w:ind w:firstLine="176"/>
              <w:jc w:val="both"/>
            </w:pPr>
            <w:r>
              <w:rPr>
                <w:sz w:val="20"/>
              </w:rPr>
              <w:t xml:space="preserve">Расширение функционала Цифровой платформы обработки сообщений граждан, онлайн-голосований и сбора предложений и идей по вопросам развития территорий;</w:t>
            </w:r>
          </w:p>
          <w:p>
            <w:pPr>
              <w:pStyle w:val="0"/>
              <w:ind w:firstLine="176"/>
              <w:jc w:val="both"/>
            </w:pPr>
            <w:r>
              <w:rPr>
                <w:sz w:val="20"/>
              </w:rPr>
              <w:t xml:space="preserve">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т.д.</w:t>
            </w:r>
          </w:p>
        </w:tc>
      </w:tr>
      <w:tr>
        <w:tc>
          <w:tcPr>
            <w:tcW w:w="3005" w:type="dxa"/>
            <w:vAlign w:val="center"/>
          </w:tcPr>
          <w:p>
            <w:pPr>
              <w:pStyle w:val="0"/>
              <w:jc w:val="both"/>
            </w:pPr>
            <w:r>
              <w:rPr>
                <w:sz w:val="20"/>
              </w:rPr>
              <w:t xml:space="preserve">Реализация в Курской агломерации системы скоростного экологически чистого общественного транспорта</w:t>
            </w:r>
          </w:p>
        </w:tc>
        <w:tc>
          <w:tcPr>
            <w:tcW w:w="6009" w:type="dxa"/>
            <w:vAlign w:val="center"/>
          </w:tcPr>
          <w:p>
            <w:pPr>
              <w:pStyle w:val="0"/>
              <w:ind w:firstLine="176"/>
              <w:jc w:val="both"/>
            </w:pPr>
            <w:r>
              <w:rPr>
                <w:sz w:val="20"/>
              </w:rPr>
              <w:t xml:space="preserve">Увеличение числа скоростных маршрутов с Москвой и Санкт-Петербургом, запуск скоростных поездов Москва - Курск - Воронеж;</w:t>
            </w:r>
          </w:p>
          <w:p>
            <w:pPr>
              <w:pStyle w:val="0"/>
              <w:ind w:firstLine="176"/>
              <w:jc w:val="both"/>
            </w:pPr>
            <w:r>
              <w:rPr>
                <w:sz w:val="20"/>
              </w:rPr>
              <w:t xml:space="preserve">развитие скоростного железнодорожного сообщения (городской трамвай, электричка) между основными ядрами Курской агломерации, обновление подвижного состава;</w:t>
            </w:r>
          </w:p>
          <w:p>
            <w:pPr>
              <w:pStyle w:val="0"/>
              <w:ind w:firstLine="176"/>
              <w:jc w:val="both"/>
            </w:pPr>
            <w:r>
              <w:rPr>
                <w:sz w:val="20"/>
              </w:rPr>
              <w:t xml:space="preserve">создание выделенных полос / обособленных путевых конструкций для общественного транспорта;</w:t>
            </w:r>
          </w:p>
          <w:p>
            <w:pPr>
              <w:pStyle w:val="0"/>
              <w:ind w:firstLine="176"/>
              <w:jc w:val="both"/>
            </w:pPr>
            <w:r>
              <w:rPr>
                <w:sz w:val="20"/>
              </w:rPr>
              <w:t xml:space="preserve">создание четырехполосных автомагистралей по направлению Курск - Курчатов, расширение автодороги "Крым" в Курском районе и автодороги Е38;</w:t>
            </w:r>
          </w:p>
          <w:p>
            <w:pPr>
              <w:pStyle w:val="0"/>
              <w:ind w:firstLine="176"/>
              <w:jc w:val="both"/>
            </w:pPr>
            <w:r>
              <w:rPr>
                <w:sz w:val="20"/>
              </w:rPr>
              <w:t xml:space="preserve">приоритетное развитие скоростного экологически чистого транспорта - скоростного трамвая, троллейбуса в городе Курске;</w:t>
            </w:r>
          </w:p>
          <w:p>
            <w:pPr>
              <w:pStyle w:val="0"/>
              <w:ind w:firstLine="176"/>
              <w:jc w:val="both"/>
            </w:pPr>
            <w:r>
              <w:rPr>
                <w:sz w:val="20"/>
              </w:rPr>
              <w:t xml:space="preserve">реализация подхода транзитно-ориентированного развития</w:t>
            </w:r>
          </w:p>
        </w:tc>
      </w:tr>
      <w:tr>
        <w:tc>
          <w:tcPr>
            <w:tcW w:w="3005" w:type="dxa"/>
            <w:vAlign w:val="center"/>
          </w:tcPr>
          <w:p>
            <w:pPr>
              <w:pStyle w:val="0"/>
              <w:jc w:val="both"/>
            </w:pPr>
            <w:r>
              <w:rPr>
                <w:sz w:val="20"/>
              </w:rPr>
              <w:t xml:space="preserve">Завершение газификации Курской области</w:t>
            </w:r>
          </w:p>
        </w:tc>
        <w:tc>
          <w:tcPr>
            <w:tcW w:w="6009" w:type="dxa"/>
            <w:vAlign w:val="center"/>
          </w:tcPr>
          <w:p>
            <w:pPr>
              <w:pStyle w:val="0"/>
              <w:ind w:firstLine="176"/>
              <w:jc w:val="both"/>
            </w:pPr>
            <w:r>
              <w:rPr>
                <w:sz w:val="20"/>
              </w:rPr>
              <w:t xml:space="preserve">Завершение газификации Курской области при реализации Региональной программы газификации жилищно-коммунального хозяйства, промышленных и иных организаций Курской области на 2017 - 2021 годы;</w:t>
            </w:r>
          </w:p>
          <w:p>
            <w:pPr>
              <w:pStyle w:val="0"/>
              <w:ind w:firstLine="176"/>
              <w:jc w:val="both"/>
            </w:pPr>
            <w:r>
              <w:rPr>
                <w:sz w:val="20"/>
              </w:rPr>
              <w:t xml:space="preserve">строительство межпоселковых газопроводов и перевод котельных объектов социально-культурного назначения на газообразное топливо;</w:t>
            </w:r>
          </w:p>
          <w:p>
            <w:pPr>
              <w:pStyle w:val="0"/>
              <w:ind w:firstLine="176"/>
              <w:jc w:val="both"/>
            </w:pPr>
            <w:r>
              <w:rPr>
                <w:sz w:val="20"/>
              </w:rPr>
              <w:t xml:space="preserve">создание сети станций для заправки автотранспорта природным газом: для потребностей транспорта Курской области необходимо создать 19 автомобильных газонаполнительных компрессорных станций (АГНКС)</w:t>
            </w:r>
          </w:p>
        </w:tc>
      </w:tr>
      <w:tr>
        <w:tc>
          <w:tcPr>
            <w:tcW w:w="3005" w:type="dxa"/>
            <w:vAlign w:val="center"/>
          </w:tcPr>
          <w:p>
            <w:pPr>
              <w:pStyle w:val="0"/>
              <w:jc w:val="both"/>
            </w:pPr>
            <w:r>
              <w:rPr>
                <w:sz w:val="20"/>
              </w:rPr>
              <w:t xml:space="preserve">1000-летие города Курска</w:t>
            </w:r>
          </w:p>
        </w:tc>
        <w:tc>
          <w:tcPr>
            <w:tcW w:w="6009" w:type="dxa"/>
            <w:vAlign w:val="center"/>
          </w:tcPr>
          <w:p>
            <w:pPr>
              <w:pStyle w:val="0"/>
              <w:ind w:firstLine="176"/>
              <w:jc w:val="both"/>
            </w:pPr>
            <w:r>
              <w:rPr>
                <w:sz w:val="20"/>
              </w:rPr>
              <w:t xml:space="preserve">Воссоздание исторического облика древнего Курска, в том числе создание комплекса "древний Курск";</w:t>
            </w:r>
          </w:p>
          <w:p>
            <w:pPr>
              <w:pStyle w:val="0"/>
              <w:ind w:firstLine="176"/>
              <w:jc w:val="both"/>
            </w:pPr>
            <w:r>
              <w:rPr>
                <w:sz w:val="20"/>
              </w:rPr>
              <w:t xml:space="preserve">восстановление Курского детинца;</w:t>
            </w:r>
          </w:p>
          <w:p>
            <w:pPr>
              <w:pStyle w:val="0"/>
              <w:ind w:firstLine="176"/>
              <w:jc w:val="both"/>
            </w:pPr>
            <w:r>
              <w:rPr>
                <w:sz w:val="20"/>
              </w:rPr>
              <w:t xml:space="preserve">благоустройство, реконструкция и содержание парков, скверов, мемориалов памяти, других памятных мест и зон отдыха;</w:t>
            </w:r>
          </w:p>
          <w:p>
            <w:pPr>
              <w:pStyle w:val="0"/>
              <w:ind w:firstLine="176"/>
              <w:jc w:val="both"/>
            </w:pPr>
            <w:r>
              <w:rPr>
                <w:sz w:val="20"/>
              </w:rPr>
              <w:t xml:space="preserve">благоустройство набережной реки Тускарь;</w:t>
            </w:r>
          </w:p>
          <w:p>
            <w:pPr>
              <w:pStyle w:val="0"/>
              <w:ind w:firstLine="176"/>
              <w:jc w:val="both"/>
            </w:pPr>
            <w:r>
              <w:rPr>
                <w:sz w:val="20"/>
              </w:rPr>
              <w:t xml:space="preserve">создание музеев известных земляков;</w:t>
            </w:r>
          </w:p>
          <w:p>
            <w:pPr>
              <w:pStyle w:val="0"/>
              <w:ind w:firstLine="176"/>
              <w:jc w:val="both"/>
            </w:pPr>
            <w:r>
              <w:rPr>
                <w:sz w:val="20"/>
              </w:rPr>
              <w:t xml:space="preserve">строительство новых зданий картинной галереи и кукольного театра;</w:t>
            </w:r>
          </w:p>
          <w:p>
            <w:pPr>
              <w:pStyle w:val="0"/>
              <w:ind w:firstLine="176"/>
              <w:jc w:val="both"/>
            </w:pPr>
            <w:r>
              <w:rPr>
                <w:sz w:val="20"/>
              </w:rPr>
              <w:t xml:space="preserve">строительство концертного зала в Северо-Западном районе города;</w:t>
            </w:r>
          </w:p>
          <w:p>
            <w:pPr>
              <w:pStyle w:val="0"/>
              <w:ind w:firstLine="176"/>
              <w:jc w:val="both"/>
            </w:pPr>
            <w:r>
              <w:rPr>
                <w:sz w:val="20"/>
              </w:rPr>
              <w:t xml:space="preserve">строительство Дворца семейных торжеств;</w:t>
            </w:r>
          </w:p>
          <w:p>
            <w:pPr>
              <w:pStyle w:val="0"/>
              <w:ind w:firstLine="176"/>
              <w:jc w:val="both"/>
            </w:pPr>
            <w:r>
              <w:rPr>
                <w:sz w:val="20"/>
              </w:rPr>
              <w:t xml:space="preserve">разработка брендбуков городов Курской области;</w:t>
            </w:r>
          </w:p>
          <w:p>
            <w:pPr>
              <w:pStyle w:val="0"/>
              <w:ind w:firstLine="176"/>
              <w:jc w:val="both"/>
            </w:pPr>
            <w:r>
              <w:rPr>
                <w:sz w:val="20"/>
              </w:rPr>
              <w:t xml:space="preserve">реставрация (реконструкция) объектов культурного наследия;</w:t>
            </w:r>
          </w:p>
          <w:p>
            <w:pPr>
              <w:pStyle w:val="0"/>
              <w:ind w:firstLine="176"/>
              <w:jc w:val="both"/>
            </w:pPr>
            <w:r>
              <w:rPr>
                <w:sz w:val="20"/>
              </w:rPr>
              <w:t xml:space="preserve">реализация концепции города-парка</w:t>
            </w:r>
          </w:p>
        </w:tc>
      </w:tr>
      <w:tr>
        <w:tc>
          <w:tcPr>
            <w:tcW w:w="3005" w:type="dxa"/>
            <w:vAlign w:val="center"/>
          </w:tcPr>
          <w:p>
            <w:pPr>
              <w:pStyle w:val="0"/>
              <w:jc w:val="both"/>
            </w:pPr>
            <w:r>
              <w:rPr>
                <w:sz w:val="20"/>
              </w:rPr>
              <w:t xml:space="preserve">Благоустройство 100 общественных пространств</w:t>
            </w:r>
          </w:p>
        </w:tc>
        <w:tc>
          <w:tcPr>
            <w:tcW w:w="6009" w:type="dxa"/>
            <w:vAlign w:val="center"/>
          </w:tcPr>
          <w:p>
            <w:pPr>
              <w:pStyle w:val="0"/>
              <w:ind w:firstLine="176"/>
              <w:jc w:val="both"/>
            </w:pPr>
            <w:r>
              <w:rPr>
                <w:sz w:val="20"/>
              </w:rPr>
              <w:t xml:space="preserve">Создание "центров притяжения" в каждом микрорайоне (спортивные площадки, зоны для прогулок);</w:t>
            </w:r>
          </w:p>
          <w:p>
            <w:pPr>
              <w:pStyle w:val="0"/>
              <w:ind w:firstLine="176"/>
              <w:jc w:val="both"/>
            </w:pPr>
            <w:r>
              <w:rPr>
                <w:sz w:val="20"/>
              </w:rPr>
              <w:t xml:space="preserve">создание креативных пространств с мастерскими, зонами коворкинга, помещениями для выставок и фестивалей;</w:t>
            </w:r>
          </w:p>
          <w:p>
            <w:pPr>
              <w:pStyle w:val="0"/>
              <w:ind w:firstLine="176"/>
              <w:jc w:val="both"/>
            </w:pPr>
            <w:r>
              <w:rPr>
                <w:sz w:val="20"/>
              </w:rPr>
              <w:t xml:space="preserve">обеспечение участия лучших архитекторов и горожан в разработке проектов новых общественных пространств;</w:t>
            </w:r>
          </w:p>
          <w:p>
            <w:pPr>
              <w:pStyle w:val="0"/>
              <w:ind w:firstLine="176"/>
              <w:jc w:val="both"/>
            </w:pPr>
            <w:r>
              <w:rPr>
                <w:sz w:val="20"/>
              </w:rPr>
              <w:t xml:space="preserve">создание безбарьерной городской среды;</w:t>
            </w:r>
          </w:p>
          <w:p>
            <w:pPr>
              <w:pStyle w:val="0"/>
              <w:ind w:firstLine="176"/>
              <w:jc w:val="both"/>
            </w:pPr>
            <w:r>
              <w:rPr>
                <w:sz w:val="20"/>
              </w:rPr>
              <w:t xml:space="preserve">создание типовой зоны для семейного отдыха и досуга на территории лесного массива микрорайона;</w:t>
            </w:r>
          </w:p>
          <w:p>
            <w:pPr>
              <w:pStyle w:val="0"/>
              <w:ind w:firstLine="176"/>
              <w:jc w:val="both"/>
            </w:pPr>
            <w:r>
              <w:rPr>
                <w:sz w:val="20"/>
              </w:rPr>
              <w:t xml:space="preserve">строительство объектов спортивной инфраструктуры;</w:t>
            </w:r>
          </w:p>
          <w:p>
            <w:pPr>
              <w:pStyle w:val="0"/>
              <w:ind w:firstLine="176"/>
              <w:jc w:val="both"/>
            </w:pPr>
            <w:r>
              <w:rPr>
                <w:sz w:val="20"/>
              </w:rPr>
              <w:t xml:space="preserve">обеспечение сохранности зеленых территорий;</w:t>
            </w:r>
          </w:p>
          <w:p>
            <w:pPr>
              <w:pStyle w:val="0"/>
              <w:ind w:firstLine="176"/>
              <w:jc w:val="both"/>
            </w:pPr>
            <w:r>
              <w:rPr>
                <w:sz w:val="20"/>
              </w:rPr>
              <w:t xml:space="preserve">стрит-арт</w:t>
            </w:r>
          </w:p>
        </w:tc>
      </w:tr>
      <w:tr>
        <w:tc>
          <w:tcPr>
            <w:tcW w:w="3005" w:type="dxa"/>
            <w:vAlign w:val="center"/>
          </w:tcPr>
          <w:p>
            <w:pPr>
              <w:pStyle w:val="0"/>
              <w:jc w:val="both"/>
            </w:pPr>
            <w:r>
              <w:rPr>
                <w:sz w:val="20"/>
              </w:rPr>
              <w:t xml:space="preserve">Создание комфортной городской среды</w:t>
            </w:r>
          </w:p>
        </w:tc>
        <w:tc>
          <w:tcPr>
            <w:tcW w:w="6009" w:type="dxa"/>
            <w:vAlign w:val="center"/>
          </w:tcPr>
          <w:p>
            <w:pPr>
              <w:pStyle w:val="0"/>
              <w:ind w:firstLine="176"/>
              <w:jc w:val="both"/>
            </w:pPr>
            <w:r>
              <w:rPr>
                <w:sz w:val="20"/>
              </w:rPr>
              <w:t xml:space="preserve">Снижение высотности нового строительства и развитие квартальной застройки, ликвидация проектов точечной и хаотичной застройки;</w:t>
            </w:r>
          </w:p>
          <w:p>
            <w:pPr>
              <w:pStyle w:val="0"/>
              <w:ind w:firstLine="176"/>
              <w:jc w:val="both"/>
            </w:pPr>
            <w:r>
              <w:rPr>
                <w:sz w:val="20"/>
              </w:rPr>
              <w:t xml:space="preserve">разработка пилотных проектов реновации и рекультивации промышленных зон;</w:t>
            </w:r>
          </w:p>
          <w:p>
            <w:pPr>
              <w:pStyle w:val="0"/>
              <w:ind w:firstLine="176"/>
              <w:jc w:val="both"/>
            </w:pPr>
            <w:r>
              <w:rPr>
                <w:sz w:val="20"/>
              </w:rPr>
              <w:t xml:space="preserve">поддержка строительства мало- и среднеэтажных зданий;</w:t>
            </w:r>
          </w:p>
          <w:p>
            <w:pPr>
              <w:pStyle w:val="0"/>
              <w:ind w:firstLine="176"/>
              <w:jc w:val="both"/>
            </w:pPr>
            <w:r>
              <w:rPr>
                <w:sz w:val="20"/>
              </w:rPr>
              <w:t xml:space="preserve">переход к концепции "здоровых улиц";</w:t>
            </w:r>
          </w:p>
          <w:p>
            <w:pPr>
              <w:pStyle w:val="0"/>
              <w:ind w:firstLine="176"/>
              <w:jc w:val="both"/>
            </w:pPr>
            <w:r>
              <w:rPr>
                <w:sz w:val="20"/>
              </w:rPr>
              <w:t xml:space="preserve">разработка и внедрение дизайн-кодов городов;</w:t>
            </w:r>
          </w:p>
          <w:p>
            <w:pPr>
              <w:pStyle w:val="0"/>
              <w:ind w:firstLine="176"/>
              <w:jc w:val="both"/>
            </w:pPr>
            <w:r>
              <w:rPr>
                <w:sz w:val="20"/>
              </w:rPr>
              <w:t xml:space="preserve">создание развитой сети пешеходных дорожек</w:t>
            </w:r>
          </w:p>
          <w:p>
            <w:pPr>
              <w:pStyle w:val="0"/>
              <w:ind w:firstLine="176"/>
              <w:jc w:val="both"/>
            </w:pPr>
            <w:r>
              <w:rPr>
                <w:sz w:val="20"/>
              </w:rPr>
              <w:t xml:space="preserve">и велодорожек;</w:t>
            </w:r>
          </w:p>
          <w:p>
            <w:pPr>
              <w:pStyle w:val="0"/>
              <w:ind w:firstLine="176"/>
              <w:jc w:val="both"/>
            </w:pPr>
            <w:r>
              <w:rPr>
                <w:sz w:val="20"/>
              </w:rPr>
              <w:t xml:space="preserve">создание многофункциональных территорий, совмещающих жилье и рабочие места, в пешеходной доступности от пересадочных узлов скоростного общественного транспорта</w:t>
            </w:r>
          </w:p>
        </w:tc>
      </w:tr>
      <w:tr>
        <w:tc>
          <w:tcPr>
            <w:tcW w:w="3005" w:type="dxa"/>
            <w:vAlign w:val="center"/>
          </w:tcPr>
          <w:p>
            <w:pPr>
              <w:pStyle w:val="0"/>
              <w:jc w:val="both"/>
            </w:pPr>
            <w:r>
              <w:rPr>
                <w:sz w:val="20"/>
              </w:rPr>
              <w:t xml:space="preserve">Реализация принципов нулевой терпимости к ДТП</w:t>
            </w:r>
          </w:p>
        </w:tc>
        <w:tc>
          <w:tcPr>
            <w:tcW w:w="6009" w:type="dxa"/>
            <w:vAlign w:val="center"/>
          </w:tcPr>
          <w:p>
            <w:pPr>
              <w:pStyle w:val="0"/>
              <w:ind w:firstLine="176"/>
              <w:jc w:val="both"/>
            </w:pPr>
            <w:r>
              <w:rPr>
                <w:sz w:val="20"/>
              </w:rPr>
              <w:t xml:space="preserve">Благоустройство пешеходных переходов, отказ от использования подземных и надземных переходов;</w:t>
            </w:r>
          </w:p>
          <w:p>
            <w:pPr>
              <w:pStyle w:val="0"/>
              <w:ind w:firstLine="176"/>
              <w:jc w:val="both"/>
            </w:pPr>
            <w:r>
              <w:rPr>
                <w:sz w:val="20"/>
              </w:rPr>
              <w:t xml:space="preserve">строительство на автодорогах пунктов вызова экстренной помощи, мест для отдыха, туалетов;</w:t>
            </w:r>
          </w:p>
          <w:p>
            <w:pPr>
              <w:pStyle w:val="0"/>
              <w:ind w:firstLine="176"/>
              <w:jc w:val="both"/>
            </w:pPr>
            <w:r>
              <w:rPr>
                <w:sz w:val="20"/>
              </w:rPr>
              <w:t xml:space="preserve">увеличение автоматических комплексов фото- и видеофиксации нарушений ПДД;</w:t>
            </w:r>
          </w:p>
          <w:p>
            <w:pPr>
              <w:pStyle w:val="0"/>
              <w:ind w:firstLine="176"/>
              <w:jc w:val="both"/>
            </w:pPr>
            <w:r>
              <w:rPr>
                <w:sz w:val="20"/>
              </w:rPr>
              <w:t xml:space="preserve">строительство "островков безопасности" на пешеходных переходах; создание искусственных неровностей, зон успокоения движения в плотной городской застройке</w:t>
            </w:r>
          </w:p>
        </w:tc>
      </w:tr>
      <w:tr>
        <w:tc>
          <w:tcPr>
            <w:tcW w:w="3005" w:type="dxa"/>
            <w:vAlign w:val="center"/>
          </w:tcPr>
          <w:p>
            <w:pPr>
              <w:pStyle w:val="0"/>
              <w:jc w:val="both"/>
            </w:pPr>
            <w:r>
              <w:rPr>
                <w:sz w:val="20"/>
              </w:rPr>
              <w:t xml:space="preserve">Аутентичный облик города: дизайн-код для бизнеса</w:t>
            </w:r>
          </w:p>
        </w:tc>
        <w:tc>
          <w:tcPr>
            <w:tcW w:w="6009" w:type="dxa"/>
            <w:vAlign w:val="center"/>
          </w:tcPr>
          <w:p>
            <w:pPr>
              <w:pStyle w:val="0"/>
              <w:ind w:firstLine="176"/>
              <w:jc w:val="both"/>
            </w:pPr>
            <w:r>
              <w:rPr>
                <w:sz w:val="20"/>
              </w:rPr>
              <w:t xml:space="preserve">Количество, тип, форма, внешний вид и расположение рекламных вывесок;</w:t>
            </w:r>
          </w:p>
          <w:p>
            <w:pPr>
              <w:pStyle w:val="0"/>
              <w:ind w:firstLine="176"/>
              <w:jc w:val="both"/>
            </w:pPr>
            <w:r>
              <w:rPr>
                <w:sz w:val="20"/>
              </w:rPr>
              <w:t xml:space="preserve">цветовая гамма и внешний вид зданий;</w:t>
            </w:r>
          </w:p>
          <w:p>
            <w:pPr>
              <w:pStyle w:val="0"/>
              <w:ind w:firstLine="176"/>
              <w:jc w:val="both"/>
            </w:pPr>
            <w:r>
              <w:rPr>
                <w:sz w:val="20"/>
              </w:rPr>
              <w:t xml:space="preserve">фонари, газоны, малые архитектурные формы;</w:t>
            </w:r>
          </w:p>
          <w:p>
            <w:pPr>
              <w:pStyle w:val="0"/>
              <w:ind w:firstLine="176"/>
              <w:jc w:val="both"/>
            </w:pPr>
            <w:r>
              <w:rPr>
                <w:sz w:val="20"/>
              </w:rPr>
              <w:t xml:space="preserve">сохранение облика исторических зданий;</w:t>
            </w:r>
          </w:p>
          <w:p>
            <w:pPr>
              <w:pStyle w:val="0"/>
              <w:ind w:firstLine="176"/>
              <w:jc w:val="both"/>
            </w:pPr>
            <w:r>
              <w:rPr>
                <w:sz w:val="20"/>
              </w:rPr>
              <w:t xml:space="preserve">требования к новой застройке</w:t>
            </w:r>
          </w:p>
        </w:tc>
      </w:tr>
      <w:tr>
        <w:tc>
          <w:tcPr>
            <w:tcW w:w="3005" w:type="dxa"/>
            <w:vAlign w:val="center"/>
          </w:tcPr>
          <w:p>
            <w:pPr>
              <w:pStyle w:val="0"/>
              <w:jc w:val="both"/>
            </w:pPr>
            <w:r>
              <w:rPr>
                <w:sz w:val="20"/>
              </w:rPr>
              <w:t xml:space="preserve">Экологизация ЖКХ и управление отходами</w:t>
            </w:r>
          </w:p>
        </w:tc>
        <w:tc>
          <w:tcPr>
            <w:tcW w:w="6009" w:type="dxa"/>
            <w:vAlign w:val="center"/>
          </w:tcPr>
          <w:p>
            <w:pPr>
              <w:pStyle w:val="0"/>
              <w:ind w:firstLine="176"/>
              <w:jc w:val="both"/>
            </w:pPr>
            <w:r>
              <w:rPr>
                <w:sz w:val="20"/>
              </w:rPr>
              <w:t xml:space="preserve">Ограничение использования пластика к 2030 году, переход на бумажные и биоразлагаемые аналоги, многоразовую упаковку;</w:t>
            </w:r>
          </w:p>
          <w:p>
            <w:pPr>
              <w:pStyle w:val="0"/>
              <w:ind w:firstLine="176"/>
              <w:jc w:val="both"/>
            </w:pPr>
            <w:r>
              <w:rPr>
                <w:sz w:val="20"/>
              </w:rPr>
              <w:t xml:space="preserve">поэтапный переход на использование бытовых моющих средств не на основе фосфатов;</w:t>
            </w:r>
          </w:p>
          <w:p>
            <w:pPr>
              <w:pStyle w:val="0"/>
              <w:ind w:firstLine="176"/>
              <w:jc w:val="both"/>
            </w:pPr>
            <w:r>
              <w:rPr>
                <w:sz w:val="20"/>
              </w:rPr>
              <w:t xml:space="preserve">установка автоматов по сбору пластиковых бутылок, алюминиевых банок;</w:t>
            </w:r>
          </w:p>
          <w:p>
            <w:pPr>
              <w:pStyle w:val="0"/>
              <w:ind w:firstLine="176"/>
              <w:jc w:val="both"/>
            </w:pPr>
            <w:r>
              <w:rPr>
                <w:sz w:val="20"/>
              </w:rPr>
              <w:t xml:space="preserve">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p>
            <w:pPr>
              <w:pStyle w:val="0"/>
              <w:ind w:firstLine="176"/>
              <w:jc w:val="both"/>
            </w:pPr>
            <w:r>
              <w:rPr>
                <w:sz w:val="20"/>
              </w:rPr>
              <w:t xml:space="preserve">развитие сети предприятий по переработке и сортировке твердых коммунальных отходов;</w:t>
            </w:r>
          </w:p>
          <w:p>
            <w:pPr>
              <w:pStyle w:val="0"/>
              <w:ind w:firstLine="176"/>
              <w:jc w:val="both"/>
            </w:pPr>
            <w:r>
              <w:rPr>
                <w:sz w:val="20"/>
              </w:rPr>
              <w:t xml:space="preserve">создание комплексов по обработке, утилизации и обезвреживанию отходов;</w:t>
            </w:r>
          </w:p>
          <w:p>
            <w:pPr>
              <w:pStyle w:val="0"/>
              <w:ind w:firstLine="176"/>
              <w:jc w:val="both"/>
            </w:pPr>
            <w:r>
              <w:rPr>
                <w:sz w:val="20"/>
              </w:rPr>
              <w:t xml:space="preserve">создание экономических стимулов к сбору пластика, пластмасс и резины</w:t>
            </w:r>
          </w:p>
        </w:tc>
      </w:tr>
    </w:tbl>
    <w:p>
      <w:pPr>
        <w:pStyle w:val="0"/>
        <w:jc w:val="both"/>
      </w:pPr>
      <w:r>
        <w:rPr>
          <w:sz w:val="20"/>
        </w:rPr>
      </w:r>
    </w:p>
    <w:p>
      <w:pPr>
        <w:pStyle w:val="2"/>
        <w:outlineLvl w:val="2"/>
        <w:ind w:firstLine="540"/>
        <w:jc w:val="both"/>
      </w:pPr>
      <w:r>
        <w:rPr>
          <w:sz w:val="20"/>
        </w:rPr>
        <w:t xml:space="preserve">4.6. Основные результаты реализации Стратегии</w:t>
      </w:r>
    </w:p>
    <w:p>
      <w:pPr>
        <w:pStyle w:val="0"/>
        <w:jc w:val="both"/>
      </w:pPr>
      <w:r>
        <w:rPr>
          <w:sz w:val="20"/>
        </w:rPr>
      </w:r>
    </w:p>
    <w:p>
      <w:pPr>
        <w:pStyle w:val="0"/>
        <w:ind w:firstLine="540"/>
        <w:jc w:val="both"/>
      </w:pPr>
      <w:r>
        <w:rPr>
          <w:sz w:val="20"/>
        </w:rPr>
        <w:t xml:space="preserve">Реализация настоящей Стратегии позволит создать условия для самореализации личности, благополучной и комфортной жизни текущих и будущих поколений жителей Курской области.</w:t>
      </w:r>
    </w:p>
    <w:p>
      <w:pPr>
        <w:pStyle w:val="0"/>
        <w:spacing w:before="200" w:line-rule="auto"/>
        <w:ind w:firstLine="540"/>
        <w:jc w:val="both"/>
      </w:pPr>
      <w:r>
        <w:rPr>
          <w:sz w:val="20"/>
        </w:rPr>
        <w:t xml:space="preserve">Стратегия нацелена на обеспечение воспроизводства здорового, образованного и реализовавшего свой потенциал населения, рост уровня и качества жизни, предоставления расширенного доступа к социальным и культурным благам за счет создания равных возможностей для всех и каждого.</w:t>
      </w:r>
    </w:p>
    <w:p>
      <w:pPr>
        <w:pStyle w:val="0"/>
        <w:spacing w:before="200" w:line-rule="auto"/>
        <w:ind w:firstLine="540"/>
        <w:jc w:val="both"/>
      </w:pPr>
      <w:r>
        <w:rPr>
          <w:sz w:val="20"/>
        </w:rPr>
        <w:t xml:space="preserve">Реализация Стратегии направлена на обновление существующего промышленного потенциала, перевооружение промышленности на основе новых технологий и внедрения инноваций, развитие человеческого потенциала, формирование "зеленых" производств, реализацию концепции "умной специализации", восстановление, сохранение и преумножение имеющегося историко-культурного, природного и иного потенциала Курской области, повышение качества институтов предпринимательства и управления.</w:t>
      </w:r>
    </w:p>
    <w:p>
      <w:pPr>
        <w:pStyle w:val="0"/>
        <w:spacing w:before="200" w:line-rule="auto"/>
        <w:ind w:firstLine="540"/>
        <w:jc w:val="both"/>
      </w:pPr>
      <w:r>
        <w:rPr>
          <w:sz w:val="20"/>
        </w:rPr>
        <w:t xml:space="preserve">К 2030 году Курская область осуществит последовательный переход от традиционной модели экономического роста (за счет наращивания использования природных ресурсов) к модели устойчивого развития, при которой сбалансированы экономический, социальный и природный компоненты, опережающими темпами растут вложения в человеческий капитал и научно-технологическое развитие, осуществляется диверсификация экономики, а также созданы эффективные управленческие инструменты и механизмы, способствующие развитию предпринимательства.</w:t>
      </w:r>
    </w:p>
    <w:p>
      <w:pPr>
        <w:pStyle w:val="0"/>
        <w:spacing w:before="200" w:line-rule="auto"/>
        <w:ind w:firstLine="540"/>
        <w:jc w:val="both"/>
      </w:pPr>
      <w:r>
        <w:rPr>
          <w:sz w:val="20"/>
        </w:rPr>
        <w:t xml:space="preserve">Тем самым реализация Стратегии нацелена на формирование ответа на взаимосвязанные вызовы долгосрочного развития региона: демографический (снижение численности жителей, отток молодежи), пространственный (высокая пространственная неравномерность экономического развития, необходимость диверсификации) и экологический (сохранение экологических рисков). В связи с повышением мобильности населения люди выбирают для жизни те регионы, где они могут реализовать свой потенциал, в том числе в рамках высокотехнологичных рабочих мест, где качество экологии, городской среды и возможности досуга более развиты. Сохранение инерционного сценария может привести к усилению оттока населения в поисках возможностей для реализации своего потенциала в других регионах России и других странах мира. Поэтому политика, нацеленная на сохранение и преумножение человеческого капитала в регионе, а также переход к модели устойчивого развития рассматриваются как основа процветания Курской области.</w:t>
      </w:r>
    </w:p>
    <w:p>
      <w:pPr>
        <w:pStyle w:val="0"/>
        <w:spacing w:before="200" w:line-rule="auto"/>
        <w:ind w:firstLine="540"/>
        <w:jc w:val="both"/>
      </w:pPr>
      <w:r>
        <w:rPr>
          <w:sz w:val="20"/>
        </w:rPr>
        <w:t xml:space="preserve">Ключевой результат реализации Стратегии: рост подлинного благополучия (субъективного ощущения счастья, удовлетворенности качеством жизни) жителей Курской области, повышение их удовлетворенности домом, работой и отдыхом. Это означает:</w:t>
      </w:r>
    </w:p>
    <w:p>
      <w:pPr>
        <w:pStyle w:val="0"/>
        <w:spacing w:before="200" w:line-rule="auto"/>
        <w:ind w:firstLine="540"/>
        <w:jc w:val="both"/>
      </w:pPr>
      <w:r>
        <w:rPr>
          <w:sz w:val="20"/>
        </w:rPr>
        <w:t xml:space="preserve">здоровые жители, активное долголетие, доступное современное образование;</w:t>
      </w:r>
    </w:p>
    <w:p>
      <w:pPr>
        <w:pStyle w:val="0"/>
        <w:spacing w:before="200" w:line-rule="auto"/>
        <w:ind w:firstLine="540"/>
        <w:jc w:val="both"/>
      </w:pPr>
      <w:r>
        <w:rPr>
          <w:sz w:val="20"/>
        </w:rPr>
        <w:t xml:space="preserve">обновленная экономика: новые рабочие места, "Индустрия 4.0", цифровые технологии;</w:t>
      </w:r>
    </w:p>
    <w:p>
      <w:pPr>
        <w:pStyle w:val="0"/>
        <w:spacing w:before="200" w:line-rule="auto"/>
        <w:ind w:firstLine="540"/>
        <w:jc w:val="both"/>
      </w:pPr>
      <w:r>
        <w:rPr>
          <w:sz w:val="20"/>
        </w:rPr>
        <w:t xml:space="preserve">улучшение условий ведения бизнеса, рост предпринимательской активности и доверия к власти;</w:t>
      </w:r>
    </w:p>
    <w:p>
      <w:pPr>
        <w:pStyle w:val="0"/>
        <w:spacing w:before="200" w:line-rule="auto"/>
        <w:ind w:firstLine="540"/>
        <w:jc w:val="both"/>
      </w:pPr>
      <w:r>
        <w:rPr>
          <w:sz w:val="20"/>
        </w:rPr>
        <w:t xml:space="preserve">высокая связанность территории, сохранение и развитие малых поселений;</w:t>
      </w:r>
    </w:p>
    <w:p>
      <w:pPr>
        <w:pStyle w:val="0"/>
        <w:spacing w:before="200" w:line-rule="auto"/>
        <w:ind w:firstLine="540"/>
        <w:jc w:val="both"/>
      </w:pPr>
      <w:r>
        <w:rPr>
          <w:sz w:val="20"/>
        </w:rPr>
        <w:t xml:space="preserve">снижение негативного воздействия недр, почвы, поверхностных и подземных вод, атмосферного воздуха;</w:t>
      </w:r>
    </w:p>
    <w:p>
      <w:pPr>
        <w:pStyle w:val="0"/>
        <w:spacing w:before="200" w:line-rule="auto"/>
        <w:ind w:firstLine="540"/>
        <w:jc w:val="both"/>
      </w:pPr>
      <w:r>
        <w:rPr>
          <w:sz w:val="20"/>
        </w:rPr>
        <w:t xml:space="preserve">сохранение и преумножение туристско-рекреационного потенциала, комфортная среда, разнообразие отдыха.</w:t>
      </w:r>
    </w:p>
    <w:p>
      <w:pPr>
        <w:pStyle w:val="0"/>
        <w:spacing w:before="200" w:line-rule="auto"/>
        <w:ind w:firstLine="540"/>
        <w:jc w:val="both"/>
      </w:pPr>
      <w:r>
        <w:rPr>
          <w:sz w:val="20"/>
        </w:rPr>
        <w:t xml:space="preserve">Курская область в 2030 году ("долгосрочное видение региона") - это:</w:t>
      </w:r>
    </w:p>
    <w:p>
      <w:pPr>
        <w:pStyle w:val="0"/>
        <w:spacing w:before="200" w:line-rule="auto"/>
        <w:ind w:firstLine="540"/>
        <w:jc w:val="both"/>
      </w:pPr>
      <w:r>
        <w:rPr>
          <w:sz w:val="20"/>
        </w:rPr>
        <w:t xml:space="preserve">регион-лидер (топ-10 регионов России) в области устойчивого развития, обеспечивающего высокое качество жизни жителей;</w:t>
      </w:r>
    </w:p>
    <w:p>
      <w:pPr>
        <w:pStyle w:val="0"/>
        <w:spacing w:before="200" w:line-rule="auto"/>
        <w:ind w:firstLine="540"/>
        <w:jc w:val="both"/>
      </w:pPr>
      <w:r>
        <w:rPr>
          <w:sz w:val="20"/>
        </w:rPr>
        <w:t xml:space="preserve">диверсифицированный экологически чистый регион, один из лидирующих регионов Центрального Федерального округа;</w:t>
      </w:r>
    </w:p>
    <w:p>
      <w:pPr>
        <w:pStyle w:val="0"/>
        <w:spacing w:before="200" w:line-rule="auto"/>
        <w:ind w:firstLine="540"/>
        <w:jc w:val="both"/>
      </w:pPr>
      <w:r>
        <w:rPr>
          <w:sz w:val="20"/>
        </w:rPr>
        <w:t xml:space="preserve">центр науки и образования и инновационных производств, магнит для высококвалифицированных кадров из других регионов России;</w:t>
      </w:r>
    </w:p>
    <w:p>
      <w:pPr>
        <w:pStyle w:val="0"/>
        <w:spacing w:before="200" w:line-rule="auto"/>
        <w:ind w:firstLine="540"/>
        <w:jc w:val="both"/>
      </w:pPr>
      <w:r>
        <w:rPr>
          <w:sz w:val="20"/>
        </w:rPr>
        <w:t xml:space="preserve">один из самых экологически чистых регионов Центрального Федерального округа, с активно внедряющимися "зелеными" технологиями в промышленности и сельском хозяйстве, постоянно ведущейся работой по рекультивации почв;</w:t>
      </w:r>
    </w:p>
    <w:p>
      <w:pPr>
        <w:pStyle w:val="0"/>
        <w:spacing w:before="200" w:line-rule="auto"/>
        <w:ind w:firstLine="540"/>
        <w:jc w:val="both"/>
      </w:pPr>
      <w:r>
        <w:rPr>
          <w:sz w:val="20"/>
        </w:rPr>
        <w:t xml:space="preserve">один из лидирующих агропромышленных регионов России, поставщик экологически чистых и органических продуктов питания на мировые рынки;</w:t>
      </w:r>
    </w:p>
    <w:p>
      <w:pPr>
        <w:pStyle w:val="0"/>
        <w:spacing w:before="200" w:line-rule="auto"/>
        <w:ind w:firstLine="540"/>
        <w:jc w:val="both"/>
      </w:pPr>
      <w:r>
        <w:rPr>
          <w:sz w:val="20"/>
        </w:rPr>
        <w:t xml:space="preserve">важнейшая приграничная геостратегическая территория, обеспечивающая защиту национальных интересов Российской Федерации;</w:t>
      </w:r>
    </w:p>
    <w:p>
      <w:pPr>
        <w:pStyle w:val="0"/>
        <w:spacing w:before="200" w:line-rule="auto"/>
        <w:ind w:firstLine="540"/>
        <w:jc w:val="both"/>
      </w:pPr>
      <w:r>
        <w:rPr>
          <w:sz w:val="20"/>
        </w:rPr>
        <w:t xml:space="preserve">транзитный регион, центр межгосударственного сотрудничества между Российской Федерацией и Украиной, территория сотрудничества и взаимодействия (Курская Коренская ярмарка - одно из древнейших и значимых выставочно-ярмарочных мероприятий);</w:t>
      </w:r>
    </w:p>
    <w:p>
      <w:pPr>
        <w:pStyle w:val="0"/>
        <w:spacing w:before="200" w:line-rule="auto"/>
        <w:ind w:firstLine="540"/>
        <w:jc w:val="both"/>
      </w:pPr>
      <w:r>
        <w:rPr>
          <w:sz w:val="20"/>
        </w:rPr>
        <w:t xml:space="preserve">территория с активно развивающимися промышленными комплексами и кластерами, один из лидирующих экспортных регионов в отдельных товарных группах;</w:t>
      </w:r>
    </w:p>
    <w:p>
      <w:pPr>
        <w:pStyle w:val="0"/>
        <w:spacing w:before="200" w:line-rule="auto"/>
        <w:ind w:firstLine="540"/>
        <w:jc w:val="both"/>
      </w:pPr>
      <w:r>
        <w:rPr>
          <w:sz w:val="20"/>
        </w:rPr>
        <w:t xml:space="preserve">территория возрождения села, малых и средних городов;</w:t>
      </w:r>
    </w:p>
    <w:p>
      <w:pPr>
        <w:pStyle w:val="0"/>
        <w:spacing w:before="200" w:line-rule="auto"/>
        <w:ind w:firstLine="540"/>
        <w:jc w:val="both"/>
      </w:pPr>
      <w:r>
        <w:rPr>
          <w:sz w:val="20"/>
        </w:rPr>
        <w:t xml:space="preserve">всероссийский центр историко-культурного и военно-патриотического туризма, один из древнейших регионов России.</w:t>
      </w:r>
    </w:p>
    <w:p>
      <w:pPr>
        <w:pStyle w:val="0"/>
        <w:spacing w:before="200" w:line-rule="auto"/>
        <w:ind w:firstLine="540"/>
        <w:jc w:val="both"/>
      </w:pPr>
      <w:r>
        <w:rPr>
          <w:sz w:val="20"/>
        </w:rPr>
        <w:t xml:space="preserve">В таблицах N 6 и N 7 представлены количественные результаты Стратегии по каждому направлению в увязке с основными флагманскими проектами и национальными целями развития Российской Федерации по каждому из блоков "дом", "работа" и "досуг".</w:t>
      </w:r>
    </w:p>
    <w:p>
      <w:pPr>
        <w:pStyle w:val="0"/>
        <w:jc w:val="both"/>
      </w:pPr>
      <w:r>
        <w:rPr>
          <w:sz w:val="20"/>
        </w:rPr>
      </w:r>
    </w:p>
    <w:p>
      <w:pPr>
        <w:pStyle w:val="0"/>
        <w:outlineLvl w:val="3"/>
        <w:jc w:val="right"/>
      </w:pPr>
      <w:r>
        <w:rPr>
          <w:sz w:val="20"/>
        </w:rPr>
        <w:t xml:space="preserve">Таблица N 6</w:t>
      </w:r>
    </w:p>
    <w:p>
      <w:pPr>
        <w:pStyle w:val="0"/>
        <w:jc w:val="both"/>
      </w:pPr>
      <w:r>
        <w:rPr>
          <w:sz w:val="20"/>
        </w:rPr>
      </w:r>
    </w:p>
    <w:p>
      <w:pPr>
        <w:pStyle w:val="2"/>
        <w:jc w:val="center"/>
      </w:pPr>
      <w:r>
        <w:rPr>
          <w:sz w:val="20"/>
        </w:rPr>
        <w:t xml:space="preserve">Ключевые результаты Стратегии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8"/>
        <w:gridCol w:w="2041"/>
        <w:gridCol w:w="2211"/>
        <w:gridCol w:w="3855"/>
      </w:tblGrid>
      <w:tr>
        <w:tc>
          <w:tcPr>
            <w:tcW w:w="908" w:type="dxa"/>
          </w:tcPr>
          <w:p>
            <w:pPr>
              <w:pStyle w:val="0"/>
            </w:pPr>
            <w:r>
              <w:rPr>
                <w:sz w:val="20"/>
              </w:rPr>
            </w:r>
          </w:p>
        </w:tc>
        <w:tc>
          <w:tcPr>
            <w:tcW w:w="2041" w:type="dxa"/>
            <w:vAlign w:val="center"/>
          </w:tcPr>
          <w:p>
            <w:pPr>
              <w:pStyle w:val="0"/>
              <w:jc w:val="center"/>
            </w:pPr>
            <w:r>
              <w:rPr>
                <w:sz w:val="20"/>
              </w:rPr>
              <w:t xml:space="preserve">Направления</w:t>
            </w:r>
          </w:p>
        </w:tc>
        <w:tc>
          <w:tcPr>
            <w:tcW w:w="2211" w:type="dxa"/>
            <w:vAlign w:val="center"/>
          </w:tcPr>
          <w:p>
            <w:pPr>
              <w:pStyle w:val="0"/>
              <w:jc w:val="center"/>
            </w:pPr>
            <w:r>
              <w:rPr>
                <w:sz w:val="20"/>
              </w:rPr>
              <w:t xml:space="preserve">Флагманские проекты</w:t>
            </w:r>
          </w:p>
        </w:tc>
        <w:tc>
          <w:tcPr>
            <w:tcW w:w="3855" w:type="dxa"/>
            <w:vAlign w:val="center"/>
          </w:tcPr>
          <w:p>
            <w:pPr>
              <w:pStyle w:val="0"/>
              <w:jc w:val="center"/>
            </w:pPr>
            <w:r>
              <w:rPr>
                <w:sz w:val="20"/>
              </w:rPr>
              <w:t xml:space="preserve">Основные показатели до 2030 года</w:t>
            </w:r>
          </w:p>
        </w:tc>
      </w:tr>
      <w:tr>
        <w:tc>
          <w:tcPr>
            <w:tcW w:w="908" w:type="dxa"/>
          </w:tcPr>
          <w:p>
            <w:pPr>
              <w:pStyle w:val="0"/>
              <w:jc w:val="center"/>
            </w:pPr>
            <w:r>
              <w:rPr>
                <w:sz w:val="20"/>
              </w:rPr>
              <w:t xml:space="preserve">Дом</w:t>
            </w:r>
          </w:p>
        </w:tc>
        <w:tc>
          <w:tcPr>
            <w:tcW w:w="2041" w:type="dxa"/>
          </w:tcPr>
          <w:p>
            <w:pPr>
              <w:pStyle w:val="0"/>
              <w:jc w:val="both"/>
            </w:pPr>
            <w:r>
              <w:rPr>
                <w:sz w:val="20"/>
              </w:rPr>
              <w:t xml:space="preserve">Здоровье, здравоохранение и социальная сфера.</w:t>
            </w:r>
          </w:p>
          <w:p>
            <w:pPr>
              <w:pStyle w:val="0"/>
            </w:pPr>
            <w:r>
              <w:rPr>
                <w:sz w:val="20"/>
              </w:rPr>
            </w:r>
          </w:p>
          <w:p>
            <w:pPr>
              <w:pStyle w:val="0"/>
              <w:jc w:val="both"/>
            </w:pPr>
            <w:r>
              <w:rPr>
                <w:sz w:val="20"/>
              </w:rPr>
              <w:t xml:space="preserve">Образование.</w:t>
            </w:r>
          </w:p>
          <w:p>
            <w:pPr>
              <w:pStyle w:val="0"/>
            </w:pPr>
            <w:r>
              <w:rPr>
                <w:sz w:val="20"/>
              </w:rPr>
            </w:r>
          </w:p>
          <w:p>
            <w:pPr>
              <w:pStyle w:val="0"/>
              <w:jc w:val="both"/>
            </w:pPr>
            <w:r>
              <w:rPr>
                <w:sz w:val="20"/>
              </w:rPr>
              <w:t xml:space="preserve">Пространственное развитие</w:t>
            </w:r>
          </w:p>
        </w:tc>
        <w:tc>
          <w:tcPr>
            <w:tcW w:w="2211" w:type="dxa"/>
          </w:tcPr>
          <w:p>
            <w:pPr>
              <w:pStyle w:val="0"/>
              <w:jc w:val="both"/>
            </w:pPr>
            <w:r>
              <w:rPr>
                <w:sz w:val="20"/>
              </w:rPr>
              <w:t xml:space="preserve">Профилактика онкозаболеваний.</w:t>
            </w:r>
          </w:p>
          <w:p>
            <w:pPr>
              <w:pStyle w:val="0"/>
            </w:pPr>
            <w:r>
              <w:rPr>
                <w:sz w:val="20"/>
              </w:rPr>
            </w:r>
          </w:p>
          <w:p>
            <w:pPr>
              <w:pStyle w:val="0"/>
              <w:jc w:val="both"/>
            </w:pPr>
            <w:r>
              <w:rPr>
                <w:sz w:val="20"/>
              </w:rPr>
              <w:t xml:space="preserve">Курская агломерация.</w:t>
            </w:r>
          </w:p>
          <w:p>
            <w:pPr>
              <w:pStyle w:val="0"/>
            </w:pPr>
            <w:r>
              <w:rPr>
                <w:sz w:val="20"/>
              </w:rPr>
            </w:r>
          </w:p>
          <w:p>
            <w:pPr>
              <w:pStyle w:val="0"/>
              <w:jc w:val="both"/>
            </w:pPr>
            <w:r>
              <w:rPr>
                <w:sz w:val="20"/>
              </w:rPr>
              <w:t xml:space="preserve">Скоростной общественный транспорт.</w:t>
            </w:r>
          </w:p>
          <w:p>
            <w:pPr>
              <w:pStyle w:val="0"/>
            </w:pPr>
            <w:r>
              <w:rPr>
                <w:sz w:val="20"/>
              </w:rPr>
            </w:r>
          </w:p>
          <w:p>
            <w:pPr>
              <w:pStyle w:val="0"/>
              <w:jc w:val="both"/>
            </w:pPr>
            <w:r>
              <w:rPr>
                <w:sz w:val="20"/>
              </w:rPr>
              <w:t xml:space="preserve">"Курск-2032"</w:t>
            </w:r>
          </w:p>
        </w:tc>
        <w:tc>
          <w:tcPr>
            <w:tcW w:w="3855" w:type="dxa"/>
          </w:tcPr>
          <w:p>
            <w:pPr>
              <w:pStyle w:val="0"/>
              <w:jc w:val="both"/>
            </w:pPr>
            <w:r>
              <w:rPr>
                <w:sz w:val="20"/>
              </w:rPr>
              <w:t xml:space="preserve">Рост ожидаемой продолжительности жизни до 78 лет;</w:t>
            </w:r>
          </w:p>
          <w:p>
            <w:pPr>
              <w:pStyle w:val="0"/>
              <w:jc w:val="both"/>
            </w:pPr>
            <w:r>
              <w:rPr>
                <w:sz w:val="20"/>
              </w:rPr>
              <w:t xml:space="preserve">повышение суммарного коэффициента рождаемости до 1,7;</w:t>
            </w:r>
          </w:p>
          <w:p>
            <w:pPr>
              <w:pStyle w:val="0"/>
              <w:jc w:val="both"/>
            </w:pPr>
            <w:r>
              <w:rPr>
                <w:sz w:val="20"/>
              </w:rPr>
              <w:t xml:space="preserve">снижение уровня естественной убыли населения;</w:t>
            </w:r>
          </w:p>
          <w:p>
            <w:pPr>
              <w:pStyle w:val="0"/>
              <w:jc w:val="both"/>
            </w:pPr>
            <w:r>
              <w:rPr>
                <w:sz w:val="20"/>
              </w:rPr>
              <w:t xml:space="preserve">рост обеспеченности населения врачами;</w:t>
            </w:r>
          </w:p>
          <w:p>
            <w:pPr>
              <w:pStyle w:val="0"/>
              <w:jc w:val="both"/>
            </w:pPr>
            <w:r>
              <w:rPr>
                <w:sz w:val="20"/>
              </w:rPr>
              <w:t xml:space="preserve">рост удовлетворенности качеством образования;</w:t>
            </w:r>
          </w:p>
          <w:p>
            <w:pPr>
              <w:pStyle w:val="0"/>
              <w:jc w:val="both"/>
            </w:pPr>
            <w:r>
              <w:rPr>
                <w:sz w:val="20"/>
              </w:rPr>
              <w:t xml:space="preserve">ежегодный ввод в действие жилых домов площадью более 800 тыс. кв. м</w:t>
            </w:r>
          </w:p>
        </w:tc>
      </w:tr>
      <w:tr>
        <w:tc>
          <w:tcPr>
            <w:tcW w:w="908" w:type="dxa"/>
          </w:tcPr>
          <w:p>
            <w:pPr>
              <w:pStyle w:val="0"/>
              <w:jc w:val="center"/>
            </w:pPr>
            <w:r>
              <w:rPr>
                <w:sz w:val="20"/>
              </w:rPr>
              <w:t xml:space="preserve">Работа</w:t>
            </w:r>
          </w:p>
        </w:tc>
        <w:tc>
          <w:tcPr>
            <w:tcW w:w="2041" w:type="dxa"/>
          </w:tcPr>
          <w:p>
            <w:pPr>
              <w:pStyle w:val="0"/>
              <w:jc w:val="both"/>
            </w:pPr>
            <w:r>
              <w:rPr>
                <w:sz w:val="20"/>
              </w:rPr>
              <w:t xml:space="preserve">Диверсифицированная экономика.</w:t>
            </w:r>
          </w:p>
          <w:p>
            <w:pPr>
              <w:pStyle w:val="0"/>
            </w:pPr>
            <w:r>
              <w:rPr>
                <w:sz w:val="20"/>
              </w:rPr>
            </w:r>
          </w:p>
          <w:p>
            <w:pPr>
              <w:pStyle w:val="0"/>
              <w:jc w:val="both"/>
            </w:pPr>
            <w:r>
              <w:rPr>
                <w:sz w:val="20"/>
              </w:rPr>
              <w:t xml:space="preserve">Управление развитием.</w:t>
            </w:r>
          </w:p>
          <w:p>
            <w:pPr>
              <w:pStyle w:val="0"/>
            </w:pPr>
            <w:r>
              <w:rPr>
                <w:sz w:val="20"/>
              </w:rPr>
            </w:r>
          </w:p>
          <w:p>
            <w:pPr>
              <w:pStyle w:val="0"/>
              <w:jc w:val="both"/>
            </w:pPr>
            <w:r>
              <w:rPr>
                <w:sz w:val="20"/>
              </w:rPr>
              <w:t xml:space="preserve">Наука и инновации.</w:t>
            </w:r>
          </w:p>
          <w:p>
            <w:pPr>
              <w:pStyle w:val="0"/>
            </w:pPr>
            <w:r>
              <w:rPr>
                <w:sz w:val="20"/>
              </w:rPr>
            </w:r>
          </w:p>
          <w:p>
            <w:pPr>
              <w:pStyle w:val="0"/>
              <w:jc w:val="both"/>
            </w:pPr>
            <w:r>
              <w:rPr>
                <w:sz w:val="20"/>
              </w:rPr>
              <w:t xml:space="preserve">Инфраструктура</w:t>
            </w:r>
          </w:p>
        </w:tc>
        <w:tc>
          <w:tcPr>
            <w:tcW w:w="2211" w:type="dxa"/>
          </w:tcPr>
          <w:p>
            <w:pPr>
              <w:pStyle w:val="0"/>
              <w:jc w:val="both"/>
            </w:pPr>
            <w:r>
              <w:rPr>
                <w:sz w:val="20"/>
              </w:rPr>
              <w:t xml:space="preserve">Цифровое управление.</w:t>
            </w:r>
          </w:p>
          <w:p>
            <w:pPr>
              <w:pStyle w:val="0"/>
            </w:pPr>
            <w:r>
              <w:rPr>
                <w:sz w:val="20"/>
              </w:rPr>
            </w:r>
          </w:p>
          <w:p>
            <w:pPr>
              <w:pStyle w:val="0"/>
              <w:jc w:val="both"/>
            </w:pPr>
            <w:r>
              <w:rPr>
                <w:sz w:val="20"/>
              </w:rPr>
              <w:t xml:space="preserve">Условия для инвесторов, индустриальные парки.</w:t>
            </w:r>
          </w:p>
          <w:p>
            <w:pPr>
              <w:pStyle w:val="0"/>
            </w:pPr>
            <w:r>
              <w:rPr>
                <w:sz w:val="20"/>
              </w:rPr>
            </w:r>
          </w:p>
          <w:p>
            <w:pPr>
              <w:pStyle w:val="0"/>
              <w:jc w:val="both"/>
            </w:pPr>
            <w:r>
              <w:rPr>
                <w:sz w:val="20"/>
              </w:rPr>
              <w:t xml:space="preserve">Технологическая долина.</w:t>
            </w:r>
          </w:p>
          <w:p>
            <w:pPr>
              <w:pStyle w:val="0"/>
            </w:pPr>
            <w:r>
              <w:rPr>
                <w:sz w:val="20"/>
              </w:rPr>
            </w:r>
          </w:p>
          <w:p>
            <w:pPr>
              <w:pStyle w:val="0"/>
              <w:jc w:val="both"/>
            </w:pPr>
            <w:r>
              <w:rPr>
                <w:sz w:val="20"/>
              </w:rPr>
              <w:t xml:space="preserve">Завершение газификации</w:t>
            </w:r>
          </w:p>
        </w:tc>
        <w:tc>
          <w:tcPr>
            <w:tcW w:w="3855" w:type="dxa"/>
          </w:tcPr>
          <w:p>
            <w:pPr>
              <w:pStyle w:val="0"/>
              <w:jc w:val="both"/>
            </w:pPr>
            <w:r>
              <w:rPr>
                <w:sz w:val="20"/>
              </w:rPr>
              <w:t xml:space="preserve">Рост валового регионального продукта в текущих ценах до 770 млрд. рублей;</w:t>
            </w:r>
          </w:p>
          <w:p>
            <w:pPr>
              <w:pStyle w:val="0"/>
              <w:jc w:val="both"/>
            </w:pPr>
            <w:r>
              <w:rPr>
                <w:sz w:val="20"/>
              </w:rPr>
              <w:t xml:space="preserve">рост инвестиций в основной капитал в 1,7 раза в сопоставимых ценах к уровню 2017 года;</w:t>
            </w:r>
          </w:p>
          <w:p>
            <w:pPr>
              <w:pStyle w:val="0"/>
              <w:jc w:val="both"/>
            </w:pPr>
            <w:r>
              <w:rPr>
                <w:sz w:val="20"/>
              </w:rPr>
              <w:t xml:space="preserve">увеличение числа занятых в сфере малого и среднего предпринимательства;</w:t>
            </w:r>
          </w:p>
          <w:p>
            <w:pPr>
              <w:pStyle w:val="0"/>
              <w:jc w:val="both"/>
            </w:pPr>
            <w:r>
              <w:rPr>
                <w:sz w:val="20"/>
              </w:rPr>
              <w:t xml:space="preserve">увеличение в 2 раза объема экспорта;</w:t>
            </w:r>
          </w:p>
          <w:p>
            <w:pPr>
              <w:pStyle w:val="0"/>
              <w:jc w:val="both"/>
            </w:pPr>
            <w:r>
              <w:rPr>
                <w:sz w:val="20"/>
              </w:rPr>
              <w:t xml:space="preserve">рост доли высокотехнологичного сектора в ВРП с 17,4% (в 2017 году) до 30,0%;</w:t>
            </w:r>
          </w:p>
          <w:p>
            <w:pPr>
              <w:pStyle w:val="0"/>
              <w:jc w:val="both"/>
            </w:pPr>
            <w:r>
              <w:rPr>
                <w:sz w:val="20"/>
              </w:rPr>
              <w:t xml:space="preserve">увеличение затрат на НИОКР в валовом региональном продукте в 1,6 раза;</w:t>
            </w:r>
          </w:p>
          <w:p>
            <w:pPr>
              <w:pStyle w:val="0"/>
              <w:jc w:val="both"/>
            </w:pPr>
            <w:r>
              <w:rPr>
                <w:sz w:val="20"/>
              </w:rPr>
              <w:t xml:space="preserve">рост количества автомобильных дорог в нормативном состоянии</w:t>
            </w:r>
          </w:p>
        </w:tc>
      </w:tr>
      <w:tr>
        <w:tc>
          <w:tcPr>
            <w:tcW w:w="908" w:type="dxa"/>
          </w:tcPr>
          <w:p>
            <w:pPr>
              <w:pStyle w:val="0"/>
              <w:jc w:val="center"/>
            </w:pPr>
            <w:r>
              <w:rPr>
                <w:sz w:val="20"/>
              </w:rPr>
              <w:t xml:space="preserve">Досуг</w:t>
            </w:r>
          </w:p>
        </w:tc>
        <w:tc>
          <w:tcPr>
            <w:tcW w:w="2041" w:type="dxa"/>
          </w:tcPr>
          <w:p>
            <w:pPr>
              <w:pStyle w:val="0"/>
              <w:jc w:val="both"/>
            </w:pPr>
            <w:r>
              <w:rPr>
                <w:sz w:val="20"/>
              </w:rPr>
              <w:t xml:space="preserve">Комфортная городская среда.</w:t>
            </w:r>
          </w:p>
          <w:p>
            <w:pPr>
              <w:pStyle w:val="0"/>
            </w:pPr>
            <w:r>
              <w:rPr>
                <w:sz w:val="20"/>
              </w:rPr>
            </w:r>
          </w:p>
          <w:p>
            <w:pPr>
              <w:pStyle w:val="0"/>
              <w:jc w:val="both"/>
            </w:pPr>
            <w:r>
              <w:rPr>
                <w:sz w:val="20"/>
              </w:rPr>
              <w:t xml:space="preserve">"Зеленый" и безопасный регион</w:t>
            </w:r>
          </w:p>
        </w:tc>
        <w:tc>
          <w:tcPr>
            <w:tcW w:w="2211" w:type="dxa"/>
          </w:tcPr>
          <w:p>
            <w:pPr>
              <w:pStyle w:val="0"/>
              <w:jc w:val="both"/>
            </w:pPr>
            <w:r>
              <w:rPr>
                <w:sz w:val="20"/>
              </w:rPr>
              <w:t xml:space="preserve">Дизайн-код.</w:t>
            </w:r>
          </w:p>
          <w:p>
            <w:pPr>
              <w:pStyle w:val="0"/>
            </w:pPr>
            <w:r>
              <w:rPr>
                <w:sz w:val="20"/>
              </w:rPr>
            </w:r>
          </w:p>
          <w:p>
            <w:pPr>
              <w:pStyle w:val="0"/>
              <w:jc w:val="both"/>
            </w:pPr>
            <w:r>
              <w:rPr>
                <w:sz w:val="20"/>
              </w:rPr>
              <w:t xml:space="preserve">100 общественных пространств.</w:t>
            </w:r>
          </w:p>
          <w:p>
            <w:pPr>
              <w:pStyle w:val="0"/>
            </w:pPr>
            <w:r>
              <w:rPr>
                <w:sz w:val="20"/>
              </w:rPr>
            </w:r>
          </w:p>
          <w:p>
            <w:pPr>
              <w:pStyle w:val="0"/>
              <w:jc w:val="both"/>
            </w:pPr>
            <w:r>
              <w:rPr>
                <w:sz w:val="20"/>
              </w:rPr>
              <w:t xml:space="preserve">Управление отходами.</w:t>
            </w:r>
          </w:p>
          <w:p>
            <w:pPr>
              <w:pStyle w:val="0"/>
            </w:pPr>
            <w:r>
              <w:rPr>
                <w:sz w:val="20"/>
              </w:rPr>
            </w:r>
          </w:p>
          <w:p>
            <w:pPr>
              <w:pStyle w:val="0"/>
              <w:jc w:val="both"/>
            </w:pPr>
            <w:r>
              <w:rPr>
                <w:sz w:val="20"/>
              </w:rPr>
              <w:t xml:space="preserve">Комфортная среда.</w:t>
            </w:r>
          </w:p>
          <w:p>
            <w:pPr>
              <w:pStyle w:val="0"/>
            </w:pPr>
            <w:r>
              <w:rPr>
                <w:sz w:val="20"/>
              </w:rPr>
            </w:r>
          </w:p>
          <w:p>
            <w:pPr>
              <w:pStyle w:val="0"/>
              <w:jc w:val="both"/>
            </w:pPr>
            <w:r>
              <w:rPr>
                <w:sz w:val="20"/>
              </w:rPr>
              <w:t xml:space="preserve">Нетерпимость к ДТП</w:t>
            </w:r>
          </w:p>
        </w:tc>
        <w:tc>
          <w:tcPr>
            <w:tcW w:w="3855" w:type="dxa"/>
          </w:tcPr>
          <w:p>
            <w:pPr>
              <w:pStyle w:val="0"/>
              <w:jc w:val="both"/>
            </w:pPr>
            <w:r>
              <w:rPr>
                <w:sz w:val="20"/>
              </w:rPr>
              <w:t xml:space="preserve">Снижение смертности на дорогах в 3,5 раза;</w:t>
            </w:r>
          </w:p>
          <w:p>
            <w:pPr>
              <w:pStyle w:val="0"/>
              <w:jc w:val="both"/>
            </w:pPr>
            <w:r>
              <w:rPr>
                <w:sz w:val="20"/>
              </w:rPr>
              <w:t xml:space="preserve">создание городской среды, удовлетворяющей более 50% населения;</w:t>
            </w:r>
          </w:p>
          <w:p>
            <w:pPr>
              <w:pStyle w:val="0"/>
              <w:jc w:val="both"/>
            </w:pPr>
            <w:r>
              <w:rPr>
                <w:sz w:val="20"/>
              </w:rPr>
              <w:t xml:space="preserve">снижение выбросов в атмосферный воздух в 2 раза;</w:t>
            </w:r>
          </w:p>
          <w:p>
            <w:pPr>
              <w:pStyle w:val="0"/>
              <w:jc w:val="both"/>
            </w:pPr>
            <w:r>
              <w:rPr>
                <w:sz w:val="20"/>
              </w:rPr>
              <w:t xml:space="preserve">увеличение площади особо охраняемых природных территорий (ООПТ);</w:t>
            </w:r>
          </w:p>
          <w:p>
            <w:pPr>
              <w:pStyle w:val="0"/>
              <w:jc w:val="both"/>
            </w:pPr>
            <w:r>
              <w:rPr>
                <w:sz w:val="20"/>
              </w:rPr>
              <w:t xml:space="preserve">существенное увеличение доли очищенных сточных вод</w:t>
            </w:r>
          </w:p>
        </w:tc>
      </w:tr>
    </w:tbl>
    <w:p>
      <w:pPr>
        <w:pStyle w:val="0"/>
        <w:jc w:val="both"/>
      </w:pPr>
      <w:r>
        <w:rPr>
          <w:sz w:val="20"/>
        </w:rPr>
      </w:r>
    </w:p>
    <w:p>
      <w:pPr>
        <w:pStyle w:val="0"/>
        <w:outlineLvl w:val="3"/>
        <w:jc w:val="right"/>
      </w:pPr>
      <w:r>
        <w:rPr>
          <w:sz w:val="20"/>
        </w:rPr>
        <w:t xml:space="preserve">Таблица N 7</w:t>
      </w:r>
    </w:p>
    <w:p>
      <w:pPr>
        <w:pStyle w:val="0"/>
        <w:jc w:val="both"/>
      </w:pPr>
      <w:r>
        <w:rPr>
          <w:sz w:val="20"/>
        </w:rPr>
      </w:r>
    </w:p>
    <w:p>
      <w:pPr>
        <w:pStyle w:val="2"/>
        <w:jc w:val="center"/>
      </w:pPr>
      <w:r>
        <w:rPr>
          <w:sz w:val="20"/>
        </w:rPr>
        <w:t xml:space="preserve">Национальные цели Российской Федерации</w:t>
      </w:r>
    </w:p>
    <w:p>
      <w:pPr>
        <w:pStyle w:val="2"/>
        <w:jc w:val="center"/>
      </w:pPr>
      <w:r>
        <w:rPr>
          <w:sz w:val="20"/>
        </w:rPr>
        <w:t xml:space="preserve">и результаты Стратегии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71"/>
        <w:gridCol w:w="4501"/>
      </w:tblGrid>
      <w:tr>
        <w:tc>
          <w:tcPr>
            <w:tcW w:w="4571" w:type="dxa"/>
            <w:vAlign w:val="center"/>
          </w:tcPr>
          <w:p>
            <w:pPr>
              <w:pStyle w:val="0"/>
              <w:jc w:val="center"/>
            </w:pPr>
            <w:r>
              <w:rPr>
                <w:sz w:val="20"/>
              </w:rPr>
              <w:t xml:space="preserve">Национальные цели и стратегические задачи России на период до 2030 года</w:t>
            </w:r>
          </w:p>
        </w:tc>
        <w:tc>
          <w:tcPr>
            <w:tcW w:w="4501" w:type="dxa"/>
            <w:vAlign w:val="center"/>
          </w:tcPr>
          <w:p>
            <w:pPr>
              <w:pStyle w:val="0"/>
              <w:jc w:val="center"/>
            </w:pPr>
            <w:r>
              <w:rPr>
                <w:sz w:val="20"/>
              </w:rPr>
              <w:t xml:space="preserve">Стратегия Курской области - 2030</w:t>
            </w:r>
          </w:p>
        </w:tc>
      </w:tr>
      <w:tr>
        <w:tc>
          <w:tcPr>
            <w:tcW w:w="4571" w:type="dxa"/>
          </w:tcPr>
          <w:p>
            <w:pPr>
              <w:pStyle w:val="0"/>
            </w:pPr>
            <w:r>
              <w:rPr>
                <w:sz w:val="20"/>
              </w:rPr>
              <w:t xml:space="preserve">Работа</w:t>
            </w:r>
          </w:p>
        </w:tc>
        <w:tc>
          <w:tcPr>
            <w:tcW w:w="4501" w:type="dxa"/>
          </w:tcPr>
          <w:p>
            <w:pPr>
              <w:pStyle w:val="0"/>
            </w:pPr>
            <w:r>
              <w:rPr>
                <w:sz w:val="20"/>
              </w:rPr>
            </w:r>
          </w:p>
        </w:tc>
      </w:tr>
      <w:tr>
        <w:tc>
          <w:tcPr>
            <w:tcW w:w="4571" w:type="dxa"/>
          </w:tcPr>
          <w:p>
            <w:pPr>
              <w:pStyle w:val="0"/>
              <w:jc w:val="both"/>
            </w:pPr>
            <w:r>
              <w:rPr>
                <w:sz w:val="20"/>
              </w:rPr>
              <w:t xml:space="preserve">Вхождение России в число 10 крупнейших экономик мира</w:t>
            </w:r>
          </w:p>
        </w:tc>
        <w:tc>
          <w:tcPr>
            <w:tcW w:w="4501" w:type="dxa"/>
          </w:tcPr>
          <w:p>
            <w:pPr>
              <w:pStyle w:val="0"/>
              <w:jc w:val="both"/>
            </w:pPr>
            <w:r>
              <w:rPr>
                <w:sz w:val="20"/>
              </w:rPr>
              <w:t xml:space="preserve">Один из ведущих регионов ЦФО по динамике развития экономики</w:t>
            </w:r>
          </w:p>
        </w:tc>
      </w:tr>
      <w:tr>
        <w:tc>
          <w:tcPr>
            <w:tcW w:w="4571" w:type="dxa"/>
          </w:tcPr>
          <w:p>
            <w:pPr>
              <w:pStyle w:val="0"/>
              <w:jc w:val="both"/>
            </w:pPr>
            <w:r>
              <w:rPr>
                <w:sz w:val="20"/>
              </w:rPr>
              <w:t xml:space="preserve">Обеспечение темпа роста валового внутреннего продукта страны выше среднемирового при сохранении макроэкономической стабильности</w:t>
            </w:r>
          </w:p>
        </w:tc>
        <w:tc>
          <w:tcPr>
            <w:tcW w:w="4501" w:type="dxa"/>
          </w:tcPr>
          <w:p>
            <w:pPr>
              <w:pStyle w:val="0"/>
              <w:jc w:val="both"/>
            </w:pPr>
            <w:r>
              <w:rPr>
                <w:sz w:val="20"/>
              </w:rPr>
              <w:t xml:space="preserve">Рост валового регионального продукта в текущих ценах до 770 млрд. рублей</w:t>
            </w:r>
          </w:p>
        </w:tc>
      </w:tr>
      <w:tr>
        <w:tc>
          <w:tcPr>
            <w:tcW w:w="4571" w:type="dxa"/>
          </w:tcPr>
          <w:p>
            <w:pPr>
              <w:pStyle w:val="0"/>
              <w:jc w:val="both"/>
            </w:pPr>
            <w:r>
              <w:rPr>
                <w:sz w:val="20"/>
              </w:rPr>
              <w:t xml:space="preserve">Реальный рост инвестиций в основной капитал не менее 70% по сравнению с показателем 2020 года</w:t>
            </w:r>
          </w:p>
        </w:tc>
        <w:tc>
          <w:tcPr>
            <w:tcW w:w="4501" w:type="dxa"/>
          </w:tcPr>
          <w:p>
            <w:pPr>
              <w:pStyle w:val="0"/>
              <w:jc w:val="both"/>
            </w:pPr>
            <w:r>
              <w:rPr>
                <w:sz w:val="20"/>
              </w:rPr>
              <w:t xml:space="preserve">Рост инвестиций в основной капитал в 1,7 раза в сопоставимых ценах к уровню 2017 года</w:t>
            </w:r>
          </w:p>
        </w:tc>
      </w:tr>
      <w:tr>
        <w:tc>
          <w:tcPr>
            <w:tcW w:w="4571" w:type="dxa"/>
          </w:tcPr>
          <w:p>
            <w:pPr>
              <w:pStyle w:val="0"/>
              <w:jc w:val="both"/>
            </w:pPr>
            <w:r>
              <w:rPr>
                <w:sz w:val="20"/>
              </w:rPr>
              <w:t xml:space="preserve">Обеспечение присутствия Российской Федерации в числе 10 ведущих стран мира по объему научных исследований и разработок</w:t>
            </w:r>
          </w:p>
        </w:tc>
        <w:tc>
          <w:tcPr>
            <w:tcW w:w="4501" w:type="dxa"/>
          </w:tcPr>
          <w:p>
            <w:pPr>
              <w:pStyle w:val="0"/>
              <w:jc w:val="both"/>
            </w:pPr>
            <w:r>
              <w:rPr>
                <w:sz w:val="20"/>
              </w:rPr>
              <w:t xml:space="preserve">Рост доли высокотехнологичных отраслей в валовом региональном продукте с 17,4% в 2017 году до 30,0%.</w:t>
            </w:r>
          </w:p>
          <w:p>
            <w:pPr>
              <w:pStyle w:val="0"/>
              <w:jc w:val="both"/>
            </w:pPr>
            <w:r>
              <w:rPr>
                <w:sz w:val="20"/>
              </w:rPr>
              <w:t xml:space="preserve">Увеличение затрат на НИОКР в валовом региональном продукте в 1,6 раза к уровню 2017 года</w:t>
            </w:r>
          </w:p>
        </w:tc>
      </w:tr>
      <w:tr>
        <w:tc>
          <w:tcPr>
            <w:tcW w:w="4571" w:type="dxa"/>
          </w:tcPr>
          <w:p>
            <w:pPr>
              <w:pStyle w:val="0"/>
              <w:jc w:val="both"/>
            </w:pPr>
            <w:r>
              <w:rPr>
                <w:sz w:val="20"/>
              </w:rPr>
              <w:t xml:space="preserve">Увеличение численности занятых в сфере малого и среднего предпринимательства, включая индивидуальных предпринимателей и самозанятых, до 25 млн. человек</w:t>
            </w:r>
          </w:p>
        </w:tc>
        <w:tc>
          <w:tcPr>
            <w:tcW w:w="4501" w:type="dxa"/>
          </w:tcPr>
          <w:p>
            <w:pPr>
              <w:pStyle w:val="0"/>
              <w:jc w:val="both"/>
            </w:pPr>
            <w:r>
              <w:rPr>
                <w:sz w:val="20"/>
              </w:rPr>
              <w:t xml:space="preserve">Увеличение числа занятых в сфере малого и среднего предпринимательства</w:t>
            </w:r>
          </w:p>
        </w:tc>
      </w:tr>
      <w:tr>
        <w:tc>
          <w:tcPr>
            <w:tcW w:w="4571" w:type="dxa"/>
          </w:tcPr>
          <w:p>
            <w:pPr>
              <w:pStyle w:val="0"/>
              <w:jc w:val="both"/>
            </w:pPr>
            <w:r>
              <w:rPr>
                <w:sz w:val="20"/>
              </w:rPr>
              <w:t xml:space="preserve">Реальный рост экспорта несырьевых неэнергетических товаров не менее 70% по сравнению с показателем 2020 года</w:t>
            </w:r>
          </w:p>
        </w:tc>
        <w:tc>
          <w:tcPr>
            <w:tcW w:w="4501" w:type="dxa"/>
          </w:tcPr>
          <w:p>
            <w:pPr>
              <w:pStyle w:val="0"/>
              <w:jc w:val="both"/>
            </w:pPr>
            <w:r>
              <w:rPr>
                <w:sz w:val="20"/>
              </w:rPr>
              <w:t xml:space="preserve">Увеличение в 2 раза объема экспорта</w:t>
            </w:r>
          </w:p>
        </w:tc>
      </w:tr>
      <w:tr>
        <w:tc>
          <w:tcPr>
            <w:tcW w:w="4571" w:type="dxa"/>
          </w:tcPr>
          <w:p>
            <w:pPr>
              <w:pStyle w:val="0"/>
              <w:jc w:val="both"/>
            </w:pPr>
            <w:r>
              <w:rPr>
                <w:sz w:val="20"/>
              </w:rPr>
              <w:t xml:space="preserve">Дом</w:t>
            </w:r>
          </w:p>
        </w:tc>
        <w:tc>
          <w:tcPr>
            <w:tcW w:w="4501" w:type="dxa"/>
          </w:tcPr>
          <w:p>
            <w:pPr>
              <w:pStyle w:val="0"/>
            </w:pPr>
            <w:r>
              <w:rPr>
                <w:sz w:val="20"/>
              </w:rPr>
            </w:r>
          </w:p>
        </w:tc>
      </w:tr>
      <w:tr>
        <w:tc>
          <w:tcPr>
            <w:tcW w:w="4571" w:type="dxa"/>
          </w:tcPr>
          <w:p>
            <w:pPr>
              <w:pStyle w:val="0"/>
              <w:jc w:val="both"/>
            </w:pPr>
            <w:r>
              <w:rPr>
                <w:sz w:val="20"/>
              </w:rPr>
              <w:t xml:space="preserve">Повышение ожидаемой продолжительности жизни до 78 лет</w:t>
            </w:r>
          </w:p>
        </w:tc>
        <w:tc>
          <w:tcPr>
            <w:tcW w:w="4501" w:type="dxa"/>
          </w:tcPr>
          <w:p>
            <w:pPr>
              <w:pStyle w:val="0"/>
              <w:jc w:val="both"/>
            </w:pPr>
            <w:r>
              <w:rPr>
                <w:sz w:val="20"/>
              </w:rPr>
              <w:t xml:space="preserve">Рост ожидаемой продолжительности жизни до 78 лет</w:t>
            </w:r>
          </w:p>
        </w:tc>
      </w:tr>
      <w:tr>
        <w:tc>
          <w:tcPr>
            <w:tcW w:w="4571" w:type="dxa"/>
          </w:tcPr>
          <w:p>
            <w:pPr>
              <w:pStyle w:val="0"/>
              <w:jc w:val="both"/>
            </w:pPr>
            <w:r>
              <w:rPr>
                <w:sz w:val="20"/>
              </w:rPr>
              <w:t xml:space="preserve">Рост численности населения</w:t>
            </w:r>
          </w:p>
        </w:tc>
        <w:tc>
          <w:tcPr>
            <w:tcW w:w="4501" w:type="dxa"/>
          </w:tcPr>
          <w:p>
            <w:pPr>
              <w:pStyle w:val="0"/>
              <w:jc w:val="both"/>
            </w:pPr>
            <w:r>
              <w:rPr>
                <w:sz w:val="20"/>
              </w:rPr>
              <w:t xml:space="preserve">Повышение суммарного коэффициента рождаемости до 1,7</w:t>
            </w:r>
          </w:p>
        </w:tc>
      </w:tr>
      <w:tr>
        <w:tc>
          <w:tcPr>
            <w:tcW w:w="4571" w:type="dxa"/>
          </w:tcPr>
          <w:p>
            <w:pPr>
              <w:pStyle w:val="0"/>
              <w:jc w:val="both"/>
            </w:pPr>
            <w:r>
              <w:rPr>
                <w:sz w:val="20"/>
              </w:rPr>
              <w:t xml:space="preserve">Снижение уровня бедности в два раза по сравнению с показателем 2017 года</w:t>
            </w:r>
          </w:p>
        </w:tc>
        <w:tc>
          <w:tcPr>
            <w:tcW w:w="4501" w:type="dxa"/>
          </w:tcPr>
          <w:p>
            <w:pPr>
              <w:pStyle w:val="0"/>
              <w:jc w:val="both"/>
            </w:pPr>
            <w:r>
              <w:rPr>
                <w:sz w:val="20"/>
              </w:rPr>
              <w:t xml:space="preserve">Увеличение уровня реальной среднемесячной заработной платы в 1,42 раза к уровню 2017 года.</w:t>
            </w:r>
          </w:p>
          <w:p>
            <w:pPr>
              <w:pStyle w:val="0"/>
              <w:jc w:val="both"/>
            </w:pPr>
            <w:r>
              <w:rPr>
                <w:sz w:val="20"/>
              </w:rPr>
              <w:t xml:space="preserve">Снижение уровня бедности до 5,7%</w:t>
            </w:r>
          </w:p>
        </w:tc>
      </w:tr>
      <w:tr>
        <w:tc>
          <w:tcPr>
            <w:tcW w:w="4571" w:type="dxa"/>
          </w:tcPr>
          <w:p>
            <w:pPr>
              <w:pStyle w:val="0"/>
              <w:jc w:val="both"/>
            </w:pPr>
            <w:r>
              <w:rPr>
                <w:sz w:val="20"/>
              </w:rPr>
              <w:t xml:space="preserve">Увеличение доли граждан, систематически занимающихся физической культурой и спортом, до 70%</w:t>
            </w:r>
          </w:p>
        </w:tc>
        <w:tc>
          <w:tcPr>
            <w:tcW w:w="4501" w:type="dxa"/>
          </w:tcPr>
          <w:p>
            <w:pPr>
              <w:pStyle w:val="0"/>
              <w:jc w:val="both"/>
            </w:pPr>
            <w:r>
              <w:rPr>
                <w:sz w:val="20"/>
              </w:rPr>
              <w:t xml:space="preserve">Увеличение до 70% доли населения, систематически занимающихся физической культурой и спортом</w:t>
            </w:r>
          </w:p>
        </w:tc>
      </w:tr>
      <w:tr>
        <w:tc>
          <w:tcPr>
            <w:tcW w:w="4571" w:type="dxa"/>
          </w:tcPr>
          <w:p>
            <w:pPr>
              <w:pStyle w:val="0"/>
              <w:jc w:val="both"/>
            </w:pPr>
            <w:r>
              <w:rPr>
                <w:sz w:val="20"/>
              </w:rPr>
              <w:t xml:space="preserve">Улучшение жилищных условий не менее 5 млн. семей ежегодно</w:t>
            </w:r>
          </w:p>
        </w:tc>
        <w:tc>
          <w:tcPr>
            <w:tcW w:w="4501" w:type="dxa"/>
          </w:tcPr>
          <w:p>
            <w:pPr>
              <w:pStyle w:val="0"/>
              <w:jc w:val="both"/>
            </w:pPr>
            <w:r>
              <w:rPr>
                <w:sz w:val="20"/>
              </w:rPr>
              <w:t xml:space="preserve">Ежегодный ввод в действие жилых домов площадью более 800 тыс. кв. метров</w:t>
            </w:r>
          </w:p>
        </w:tc>
      </w:tr>
      <w:tr>
        <w:tc>
          <w:tcPr>
            <w:tcW w:w="4571" w:type="dxa"/>
          </w:tcPr>
          <w:p>
            <w:pPr>
              <w:pStyle w:val="0"/>
              <w:jc w:val="both"/>
            </w:pPr>
            <w:r>
              <w:rPr>
                <w:sz w:val="20"/>
              </w:rPr>
              <w:t xml:space="preserve">Досуг (отдых)</w:t>
            </w:r>
          </w:p>
        </w:tc>
        <w:tc>
          <w:tcPr>
            <w:tcW w:w="4501" w:type="dxa"/>
          </w:tcPr>
          <w:p>
            <w:pPr>
              <w:pStyle w:val="0"/>
            </w:pPr>
            <w:r>
              <w:rPr>
                <w:sz w:val="20"/>
              </w:rPr>
            </w:r>
          </w:p>
        </w:tc>
      </w:tr>
      <w:tr>
        <w:tc>
          <w:tcPr>
            <w:tcW w:w="4571" w:type="dxa"/>
          </w:tcPr>
          <w:p>
            <w:pPr>
              <w:pStyle w:val="0"/>
              <w:jc w:val="both"/>
            </w:pPr>
            <w:r>
              <w:rPr>
                <w:sz w:val="20"/>
              </w:rPr>
              <w:t xml:space="preserve">Улучшение качества городской среды в 1,5 раза</w:t>
            </w:r>
          </w:p>
        </w:tc>
        <w:tc>
          <w:tcPr>
            <w:tcW w:w="4501" w:type="dxa"/>
          </w:tcPr>
          <w:p>
            <w:pPr>
              <w:pStyle w:val="0"/>
              <w:jc w:val="both"/>
            </w:pPr>
            <w:r>
              <w:rPr>
                <w:sz w:val="20"/>
              </w:rPr>
              <w:t xml:space="preserve">Создание городской среды, удовлетворяющей более 50% населения</w:t>
            </w:r>
          </w:p>
        </w:tc>
      </w:tr>
      <w:tr>
        <w:tc>
          <w:tcPr>
            <w:tcW w:w="4571" w:type="dxa"/>
          </w:tcPr>
          <w:p>
            <w:pPr>
              <w:pStyle w:val="0"/>
              <w:jc w:val="both"/>
            </w:pPr>
            <w:r>
              <w:rPr>
                <w:sz w:val="20"/>
              </w:rPr>
              <w:t xml:space="preserve">Снижение выбросов опасных загрязняющих веществ, оказывающих наибольшее негативное воздействие на окружающую среду и здоровье человека, в 2 раза</w:t>
            </w:r>
          </w:p>
        </w:tc>
        <w:tc>
          <w:tcPr>
            <w:tcW w:w="4501" w:type="dxa"/>
          </w:tcPr>
          <w:p>
            <w:pPr>
              <w:pStyle w:val="0"/>
              <w:jc w:val="both"/>
            </w:pPr>
            <w:r>
              <w:rPr>
                <w:sz w:val="20"/>
              </w:rPr>
              <w:t xml:space="preserve">Снижение выбросов в атмосферный воздух загрязняющих веществ в 2 раза</w:t>
            </w:r>
          </w:p>
        </w:tc>
      </w:tr>
    </w:tbl>
    <w:p>
      <w:pPr>
        <w:pStyle w:val="0"/>
        <w:jc w:val="both"/>
      </w:pPr>
      <w:r>
        <w:rPr>
          <w:sz w:val="20"/>
        </w:rPr>
      </w:r>
    </w:p>
    <w:p>
      <w:pPr>
        <w:pStyle w:val="2"/>
        <w:outlineLvl w:val="3"/>
        <w:jc w:val="center"/>
      </w:pPr>
      <w:r>
        <w:rPr>
          <w:sz w:val="20"/>
        </w:rPr>
        <w:t xml:space="preserve">Преемственность документов стратегического планирования</w:t>
      </w:r>
    </w:p>
    <w:p>
      <w:pPr>
        <w:pStyle w:val="0"/>
        <w:jc w:val="both"/>
      </w:pPr>
      <w:r>
        <w:rPr>
          <w:sz w:val="20"/>
        </w:rPr>
      </w:r>
    </w:p>
    <w:p>
      <w:pPr>
        <w:pStyle w:val="0"/>
        <w:ind w:firstLine="540"/>
        <w:jc w:val="both"/>
      </w:pPr>
      <w:r>
        <w:rPr>
          <w:sz w:val="20"/>
        </w:rPr>
        <w:t xml:space="preserve">Согласно </w:t>
      </w:r>
      <w:hyperlink w:history="0" r:id="rId72" w:tooltip="Постановление Курской областной Думы от 24.05.2007 N 381-IV ОД &quot;Об одобрении Стратегии социально-экономического развития Курской области на период до 2020 года&quot; {КонсультантПлюс}">
        <w:r>
          <w:rPr>
            <w:sz w:val="20"/>
            <w:color w:val="0000ff"/>
          </w:rPr>
          <w:t xml:space="preserve">Стратегии</w:t>
        </w:r>
      </w:hyperlink>
      <w:r>
        <w:rPr>
          <w:sz w:val="20"/>
        </w:rPr>
        <w:t xml:space="preserve"> социально-экономического развития Курской области на период до 2020 года (постановление Курской областной Думы от 24.05.2007 N 381-IV ОД "Об одобрении Стратегии социально-экономического развития Курской области на период до 2020 года") (далее - Стратегия-2020): "Курская область должна стать опорным регионом, где гармонично сочетаются региональные, межрегиональные, общероссийские и международные интересы при решении российских стратегических задач социально-экономического и территориального развития".</w:t>
      </w:r>
    </w:p>
    <w:p>
      <w:pPr>
        <w:pStyle w:val="0"/>
        <w:jc w:val="both"/>
      </w:pPr>
      <w:r>
        <w:rPr>
          <w:sz w:val="20"/>
        </w:rPr>
      </w:r>
    </w:p>
    <w:p>
      <w:pPr>
        <w:pStyle w:val="0"/>
        <w:outlineLvl w:val="4"/>
        <w:jc w:val="right"/>
      </w:pPr>
      <w:r>
        <w:rPr>
          <w:sz w:val="20"/>
        </w:rPr>
        <w:t xml:space="preserve">Таблица N 8</w:t>
      </w:r>
    </w:p>
    <w:p>
      <w:pPr>
        <w:pStyle w:val="0"/>
        <w:jc w:val="both"/>
      </w:pPr>
      <w:r>
        <w:rPr>
          <w:sz w:val="20"/>
        </w:rPr>
      </w:r>
    </w:p>
    <w:p>
      <w:pPr>
        <w:pStyle w:val="2"/>
        <w:jc w:val="center"/>
      </w:pPr>
      <w:r>
        <w:rPr>
          <w:sz w:val="20"/>
        </w:rPr>
        <w:t xml:space="preserve">Видение будущего Курской области в 2020 году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8617"/>
      </w:tblGrid>
      <w:tr>
        <w:tc>
          <w:tcPr>
            <w:tcW w:w="454" w:type="dxa"/>
          </w:tcPr>
          <w:p>
            <w:pPr>
              <w:pStyle w:val="0"/>
            </w:pPr>
            <w:r>
              <w:rPr>
                <w:sz w:val="20"/>
              </w:rPr>
            </w:r>
          </w:p>
        </w:tc>
        <w:tc>
          <w:tcPr>
            <w:tcW w:w="8617" w:type="dxa"/>
          </w:tcPr>
          <w:p>
            <w:pPr>
              <w:pStyle w:val="0"/>
              <w:jc w:val="center"/>
            </w:pPr>
            <w:r>
              <w:rPr>
                <w:sz w:val="20"/>
              </w:rPr>
              <w:t xml:space="preserve">Видение будущего Курской области в 2020 году</w:t>
            </w:r>
          </w:p>
        </w:tc>
      </w:tr>
      <w:tr>
        <w:tc>
          <w:tcPr>
            <w:tcW w:w="454" w:type="dxa"/>
          </w:tcPr>
          <w:p>
            <w:pPr>
              <w:pStyle w:val="0"/>
              <w:jc w:val="both"/>
            </w:pPr>
            <w:r>
              <w:rPr>
                <w:sz w:val="20"/>
              </w:rPr>
              <w:t xml:space="preserve">1</w:t>
            </w:r>
          </w:p>
        </w:tc>
        <w:tc>
          <w:tcPr>
            <w:tcW w:w="8617" w:type="dxa"/>
          </w:tcPr>
          <w:p>
            <w:pPr>
              <w:pStyle w:val="0"/>
              <w:jc w:val="both"/>
            </w:pPr>
            <w:r>
              <w:rPr>
                <w:sz w:val="20"/>
              </w:rPr>
              <w:t xml:space="preserve">Территория с максимально благоприятными условиями (политическими, экономическими, технологическими, социальными, экологическими) для проживания населения</w:t>
            </w:r>
          </w:p>
        </w:tc>
      </w:tr>
      <w:tr>
        <w:tc>
          <w:tcPr>
            <w:tcW w:w="454" w:type="dxa"/>
          </w:tcPr>
          <w:p>
            <w:pPr>
              <w:pStyle w:val="0"/>
              <w:jc w:val="both"/>
            </w:pPr>
            <w:r>
              <w:rPr>
                <w:sz w:val="20"/>
              </w:rPr>
              <w:t xml:space="preserve">2</w:t>
            </w:r>
          </w:p>
        </w:tc>
        <w:tc>
          <w:tcPr>
            <w:tcW w:w="8617" w:type="dxa"/>
          </w:tcPr>
          <w:p>
            <w:pPr>
              <w:pStyle w:val="0"/>
              <w:jc w:val="both"/>
            </w:pPr>
            <w:r>
              <w:rPr>
                <w:sz w:val="20"/>
              </w:rPr>
              <w:t xml:space="preserve">Устойчиво развивающийся регион, активно влияющий и занимающий достойное место в общероссийской экономике и в пространственном развитии Российской Федерации, обеспечивающий рациональное использование природно-ресурсного, человеческого и экономического потенциалов</w:t>
            </w:r>
          </w:p>
        </w:tc>
      </w:tr>
      <w:tr>
        <w:tc>
          <w:tcPr>
            <w:tcW w:w="454" w:type="dxa"/>
          </w:tcPr>
          <w:p>
            <w:pPr>
              <w:pStyle w:val="0"/>
              <w:jc w:val="both"/>
            </w:pPr>
            <w:r>
              <w:rPr>
                <w:sz w:val="20"/>
              </w:rPr>
              <w:t xml:space="preserve">3</w:t>
            </w:r>
          </w:p>
        </w:tc>
        <w:tc>
          <w:tcPr>
            <w:tcW w:w="8617" w:type="dxa"/>
          </w:tcPr>
          <w:p>
            <w:pPr>
              <w:pStyle w:val="0"/>
              <w:jc w:val="both"/>
            </w:pPr>
            <w:r>
              <w:rPr>
                <w:sz w:val="20"/>
              </w:rPr>
              <w:t xml:space="preserve">Центр инновационно-технологического развития для обеспечения новой инновационной экономики</w:t>
            </w:r>
          </w:p>
        </w:tc>
      </w:tr>
      <w:tr>
        <w:tc>
          <w:tcPr>
            <w:tcW w:w="454" w:type="dxa"/>
          </w:tcPr>
          <w:p>
            <w:pPr>
              <w:pStyle w:val="0"/>
              <w:jc w:val="both"/>
            </w:pPr>
            <w:r>
              <w:rPr>
                <w:sz w:val="20"/>
              </w:rPr>
              <w:t xml:space="preserve">4</w:t>
            </w:r>
          </w:p>
        </w:tc>
        <w:tc>
          <w:tcPr>
            <w:tcW w:w="8617" w:type="dxa"/>
          </w:tcPr>
          <w:p>
            <w:pPr>
              <w:pStyle w:val="0"/>
              <w:jc w:val="both"/>
            </w:pPr>
            <w:r>
              <w:rPr>
                <w:sz w:val="20"/>
              </w:rPr>
              <w:t xml:space="preserve">Регион регионального сотрудничества в организации международных экономических, политических и культурных связей</w:t>
            </w:r>
          </w:p>
        </w:tc>
      </w:tr>
      <w:tr>
        <w:tc>
          <w:tcPr>
            <w:tcW w:w="454" w:type="dxa"/>
          </w:tcPr>
          <w:p>
            <w:pPr>
              <w:pStyle w:val="0"/>
              <w:jc w:val="both"/>
            </w:pPr>
            <w:r>
              <w:rPr>
                <w:sz w:val="20"/>
              </w:rPr>
              <w:t xml:space="preserve">5</w:t>
            </w:r>
          </w:p>
        </w:tc>
        <w:tc>
          <w:tcPr>
            <w:tcW w:w="8617" w:type="dxa"/>
          </w:tcPr>
          <w:p>
            <w:pPr>
              <w:pStyle w:val="0"/>
              <w:jc w:val="both"/>
            </w:pPr>
            <w:r>
              <w:rPr>
                <w:sz w:val="20"/>
              </w:rPr>
              <w:t xml:space="preserve">Контактный регион России со странами СНГ (Украиной, Белоруссией, Молдовой), на территории которого отрабатываются механизмы процессов интеграции и взаимодействия стран СНГ</w:t>
            </w:r>
          </w:p>
        </w:tc>
      </w:tr>
      <w:tr>
        <w:tc>
          <w:tcPr>
            <w:tcW w:w="454" w:type="dxa"/>
          </w:tcPr>
          <w:p>
            <w:pPr>
              <w:pStyle w:val="0"/>
              <w:jc w:val="both"/>
            </w:pPr>
            <w:r>
              <w:rPr>
                <w:sz w:val="20"/>
              </w:rPr>
              <w:t xml:space="preserve">6</w:t>
            </w:r>
          </w:p>
        </w:tc>
        <w:tc>
          <w:tcPr>
            <w:tcW w:w="8617" w:type="dxa"/>
          </w:tcPr>
          <w:p>
            <w:pPr>
              <w:pStyle w:val="0"/>
              <w:jc w:val="both"/>
            </w:pPr>
            <w:r>
              <w:rPr>
                <w:sz w:val="20"/>
              </w:rPr>
              <w:t xml:space="preserve">Регион обеспечения военно-стратегических интересов на юго-западных границах Российской Федерации</w:t>
            </w:r>
          </w:p>
        </w:tc>
      </w:tr>
    </w:tbl>
    <w:p>
      <w:pPr>
        <w:pStyle w:val="0"/>
        <w:jc w:val="both"/>
      </w:pPr>
      <w:r>
        <w:rPr>
          <w:sz w:val="20"/>
        </w:rPr>
      </w:r>
    </w:p>
    <w:p>
      <w:pPr>
        <w:pStyle w:val="0"/>
        <w:ind w:firstLine="540"/>
        <w:jc w:val="both"/>
      </w:pPr>
      <w:r>
        <w:rPr>
          <w:sz w:val="20"/>
        </w:rPr>
        <w:t xml:space="preserve">Качественный и количественный анализ результатов реализации Стратегии-2020 показывает, что на достижимость целей и задач стратегии повлияло множество трендов, заданных на федеральном уровне. С одной стороны, такие тренды позволили достичь части целевых показателей в социальной сфере, инвестициях и пр. С другой стороны, федеральная политика, в том числе ухудшение макроэкономических условий в Российской Федерации с 2008 года, ухудшение отношений с Украиной и пр., не позволили добиться ряда целевых показателей. В целом реализацию стратегии можно оценить на высоком уровне.</w:t>
      </w:r>
    </w:p>
    <w:p>
      <w:pPr>
        <w:pStyle w:val="0"/>
        <w:jc w:val="both"/>
      </w:pPr>
      <w:r>
        <w:rPr>
          <w:sz w:val="20"/>
        </w:rPr>
      </w:r>
    </w:p>
    <w:p>
      <w:pPr>
        <w:pStyle w:val="2"/>
        <w:outlineLvl w:val="1"/>
        <w:jc w:val="center"/>
      </w:pPr>
      <w:r>
        <w:rPr>
          <w:sz w:val="20"/>
        </w:rPr>
        <w:t xml:space="preserve">5. Приоритетное направление</w:t>
      </w:r>
    </w:p>
    <w:p>
      <w:pPr>
        <w:pStyle w:val="2"/>
        <w:jc w:val="center"/>
      </w:pPr>
      <w:r>
        <w:rPr>
          <w:sz w:val="20"/>
        </w:rPr>
        <w:t xml:space="preserve">"Диверсифицированная многоукладная экономика"</w:t>
      </w:r>
    </w:p>
    <w:p>
      <w:pPr>
        <w:pStyle w:val="0"/>
        <w:jc w:val="both"/>
      </w:pPr>
      <w:r>
        <w:rPr>
          <w:sz w:val="20"/>
        </w:rPr>
      </w:r>
    </w:p>
    <w:p>
      <w:pPr>
        <w:pStyle w:val="0"/>
        <w:ind w:firstLine="540"/>
        <w:jc w:val="both"/>
      </w:pPr>
      <w:r>
        <w:rPr>
          <w:sz w:val="20"/>
        </w:rPr>
        <w:t xml:space="preserve">Стратегическая цель - создание условий для привлечения инвестиций, реализация проектов диверсификации экономики, развитие внутрирегиональной кооперации между субъектами хозяйственной деятельности, усиление конкурентоспособности существующих предприятий обрабатывающей промышленности, агропромышленного комплекса и добычи полезных ископаемых, создание новых высокотехнологичных производств и конкурентоспособных рабочих мест, вывод и расширение присутствия предприятий Курской области на внутреннем и внешнем рынках.</w:t>
      </w:r>
    </w:p>
    <w:p>
      <w:pPr>
        <w:pStyle w:val="0"/>
        <w:spacing w:before="200" w:line-rule="auto"/>
        <w:ind w:firstLine="540"/>
        <w:jc w:val="both"/>
      </w:pPr>
      <w:r>
        <w:rPr>
          <w:sz w:val="20"/>
        </w:rPr>
        <w:t xml:space="preserve">Основные проблемы и ограничения:</w:t>
      </w:r>
    </w:p>
    <w:p>
      <w:pPr>
        <w:pStyle w:val="0"/>
        <w:spacing w:before="200" w:line-rule="auto"/>
        <w:ind w:firstLine="540"/>
        <w:jc w:val="both"/>
      </w:pPr>
      <w:r>
        <w:rPr>
          <w:sz w:val="20"/>
        </w:rPr>
        <w:t xml:space="preserve">крайне неравномерное развитие муниципальных образований Курской области, в том числе по уровню развития обрабатывающих производств, агропромышленного комплекса, привлечения инвестиций;</w:t>
      </w:r>
    </w:p>
    <w:p>
      <w:pPr>
        <w:pStyle w:val="0"/>
        <w:spacing w:before="200" w:line-rule="auto"/>
        <w:ind w:firstLine="540"/>
        <w:jc w:val="both"/>
      </w:pPr>
      <w:r>
        <w:rPr>
          <w:sz w:val="20"/>
        </w:rPr>
        <w:t xml:space="preserve">высокая степень износа основных фондов в экономике (особенно в инфраструктурных отраслях) относительно средних показателей по ЦФО;</w:t>
      </w:r>
    </w:p>
    <w:p>
      <w:pPr>
        <w:pStyle w:val="0"/>
        <w:spacing w:before="200" w:line-rule="auto"/>
        <w:ind w:firstLine="540"/>
        <w:jc w:val="both"/>
      </w:pPr>
      <w:r>
        <w:rPr>
          <w:sz w:val="20"/>
        </w:rPr>
        <w:t xml:space="preserve">высокая зависимость региональной экономики от функционирования двух важнейших предприятий области - АО "Михайловский ГОК им. А.В. Варичева" и Курской АЭС;</w:t>
      </w:r>
    </w:p>
    <w:p>
      <w:pPr>
        <w:pStyle w:val="0"/>
        <w:spacing w:before="200" w:line-rule="auto"/>
        <w:ind w:firstLine="540"/>
        <w:jc w:val="both"/>
      </w:pPr>
      <w:r>
        <w:rPr>
          <w:sz w:val="20"/>
        </w:rPr>
        <w:t xml:space="preserve">относительно низкий уровень внедрения новых технологий, отсутствие спроса промышленности Курской области на результаты научных исследований и разработок;</w:t>
      </w:r>
    </w:p>
    <w:p>
      <w:pPr>
        <w:pStyle w:val="0"/>
        <w:spacing w:before="200" w:line-rule="auto"/>
        <w:ind w:firstLine="540"/>
        <w:jc w:val="both"/>
      </w:pPr>
      <w:r>
        <w:rPr>
          <w:sz w:val="20"/>
        </w:rPr>
        <w:t xml:space="preserve">недостаточные темпы роста инвестиционной активности, отсутствие опережающего тренда обновления основных фондов предприятий;</w:t>
      </w:r>
    </w:p>
    <w:p>
      <w:pPr>
        <w:pStyle w:val="0"/>
        <w:spacing w:before="200" w:line-rule="auto"/>
        <w:ind w:firstLine="540"/>
        <w:jc w:val="both"/>
      </w:pPr>
      <w:r>
        <w:rPr>
          <w:sz w:val="20"/>
        </w:rPr>
        <w:t xml:space="preserve">высокая конкуренция со стороны соседних регионов за инвестиционные ресурсы при схожих конкурентных преимуществах регионов;</w:t>
      </w:r>
    </w:p>
    <w:p>
      <w:pPr>
        <w:pStyle w:val="0"/>
        <w:spacing w:before="200" w:line-rule="auto"/>
        <w:ind w:firstLine="540"/>
        <w:jc w:val="both"/>
      </w:pPr>
      <w:r>
        <w:rPr>
          <w:sz w:val="20"/>
        </w:rPr>
        <w:t xml:space="preserve">снижающаяся диверсифицированность сельского хозяйства, преимущественное развитие свиноводства, особенно крупных форм организации;</w:t>
      </w:r>
    </w:p>
    <w:p>
      <w:pPr>
        <w:pStyle w:val="0"/>
        <w:spacing w:before="200" w:line-rule="auto"/>
        <w:ind w:firstLine="540"/>
        <w:jc w:val="both"/>
      </w:pPr>
      <w:r>
        <w:rPr>
          <w:sz w:val="20"/>
        </w:rPr>
        <w:t xml:space="preserve">несоразмерно наличию экспортного потенциала низкая экспортная активность предприятий Курской области;</w:t>
      </w:r>
    </w:p>
    <w:p>
      <w:pPr>
        <w:pStyle w:val="0"/>
        <w:spacing w:before="200" w:line-rule="auto"/>
        <w:ind w:firstLine="540"/>
        <w:jc w:val="both"/>
      </w:pPr>
      <w:r>
        <w:rPr>
          <w:sz w:val="20"/>
        </w:rPr>
        <w:t xml:space="preserve">постепенное увеличение дефицита высококвалифицированных кадров на рынке труда;</w:t>
      </w:r>
    </w:p>
    <w:p>
      <w:pPr>
        <w:pStyle w:val="0"/>
        <w:spacing w:before="200" w:line-rule="auto"/>
        <w:ind w:firstLine="540"/>
        <w:jc w:val="both"/>
      </w:pPr>
      <w:r>
        <w:rPr>
          <w:sz w:val="20"/>
        </w:rPr>
        <w:t xml:space="preserve">несоответствие уровня подготовки кадров запросам экономики;</w:t>
      </w:r>
    </w:p>
    <w:p>
      <w:pPr>
        <w:pStyle w:val="0"/>
        <w:spacing w:before="200" w:line-rule="auto"/>
        <w:ind w:firstLine="540"/>
        <w:jc w:val="both"/>
      </w:pPr>
      <w:r>
        <w:rPr>
          <w:sz w:val="20"/>
        </w:rPr>
        <w:t xml:space="preserve">противоречие в системе целеполагания - разобщенность целей и задач, которые ставят перед собой хозяйствующие субъекты;</w:t>
      </w:r>
    </w:p>
    <w:p>
      <w:pPr>
        <w:pStyle w:val="0"/>
        <w:spacing w:before="200" w:line-rule="auto"/>
        <w:ind w:firstLine="540"/>
        <w:jc w:val="both"/>
      </w:pPr>
      <w:r>
        <w:rPr>
          <w:sz w:val="20"/>
        </w:rPr>
        <w:t xml:space="preserve">недоступность кредитных средств при создании бизнеса с нуля.</w:t>
      </w:r>
    </w:p>
    <w:p>
      <w:pPr>
        <w:pStyle w:val="0"/>
        <w:spacing w:before="200" w:line-rule="auto"/>
        <w:ind w:firstLine="540"/>
        <w:jc w:val="both"/>
      </w:pPr>
      <w:r>
        <w:rPr>
          <w:sz w:val="20"/>
        </w:rPr>
        <w:t xml:space="preserve">Общемировые тренды и лучшие практики:</w:t>
      </w:r>
    </w:p>
    <w:p>
      <w:pPr>
        <w:pStyle w:val="0"/>
        <w:spacing w:before="200" w:line-rule="auto"/>
        <w:ind w:firstLine="540"/>
        <w:jc w:val="both"/>
      </w:pPr>
      <w:r>
        <w:rPr>
          <w:sz w:val="20"/>
        </w:rPr>
        <w:t xml:space="preserve">"умная" специализация (сочетание промышленной, инновационной и образовательной политики, направленной на стимулирование притока инвестиций в приоритетные отрасли специализации, имеющие конкурентные преимущества для данного населенного пункта);</w:t>
      </w:r>
    </w:p>
    <w:p>
      <w:pPr>
        <w:pStyle w:val="0"/>
        <w:spacing w:before="200" w:line-rule="auto"/>
        <w:ind w:firstLine="540"/>
        <w:jc w:val="both"/>
      </w:pPr>
      <w:r>
        <w:rPr>
          <w:sz w:val="20"/>
        </w:rPr>
        <w:t xml:space="preserve">проведение кластерной политики, политики промышленной кооперации;</w:t>
      </w:r>
    </w:p>
    <w:p>
      <w:pPr>
        <w:pStyle w:val="0"/>
        <w:spacing w:before="200" w:line-rule="auto"/>
        <w:ind w:firstLine="540"/>
        <w:jc w:val="both"/>
      </w:pPr>
      <w:r>
        <w:rPr>
          <w:sz w:val="20"/>
        </w:rPr>
        <w:t xml:space="preserve">автоматизация и роботизация производств, сокращение потребности в низкоквалифицированной рабочей силе;</w:t>
      </w:r>
    </w:p>
    <w:p>
      <w:pPr>
        <w:pStyle w:val="0"/>
        <w:spacing w:before="200" w:line-rule="auto"/>
        <w:ind w:firstLine="540"/>
        <w:jc w:val="both"/>
      </w:pPr>
      <w:r>
        <w:rPr>
          <w:sz w:val="20"/>
        </w:rPr>
        <w:t xml:space="preserve">цифровизация производств, внедрение технологий искусственного интеллекта в промышленности и сельском хозяйстве;</w:t>
      </w:r>
    </w:p>
    <w:p>
      <w:pPr>
        <w:pStyle w:val="0"/>
        <w:spacing w:before="200" w:line-rule="auto"/>
        <w:ind w:firstLine="540"/>
        <w:jc w:val="both"/>
      </w:pPr>
      <w:r>
        <w:rPr>
          <w:sz w:val="20"/>
        </w:rPr>
        <w:t xml:space="preserve">использование новых энергоэффективных материалов, повышение требований по энергоэффективности продукции;</w:t>
      </w:r>
    </w:p>
    <w:p>
      <w:pPr>
        <w:pStyle w:val="0"/>
        <w:spacing w:before="200" w:line-rule="auto"/>
        <w:ind w:firstLine="540"/>
        <w:jc w:val="both"/>
      </w:pPr>
      <w:r>
        <w:rPr>
          <w:sz w:val="20"/>
        </w:rPr>
        <w:t xml:space="preserve">развитие "зеленой" энергетики, переход на возобновляемые источники энергии;</w:t>
      </w:r>
    </w:p>
    <w:p>
      <w:pPr>
        <w:pStyle w:val="0"/>
        <w:spacing w:before="200" w:line-rule="auto"/>
        <w:ind w:firstLine="540"/>
        <w:jc w:val="both"/>
      </w:pPr>
      <w:r>
        <w:rPr>
          <w:sz w:val="20"/>
        </w:rPr>
        <w:t xml:space="preserve">рост спроса на интеллектуальные системы;</w:t>
      </w:r>
    </w:p>
    <w:p>
      <w:pPr>
        <w:pStyle w:val="0"/>
        <w:spacing w:before="200" w:line-rule="auto"/>
        <w:ind w:firstLine="540"/>
        <w:jc w:val="both"/>
      </w:pPr>
      <w:r>
        <w:rPr>
          <w:sz w:val="20"/>
        </w:rPr>
        <w:t xml:space="preserve">развитие компаний, ориентированных на новые технологические рынки (дроны, электромобили, автомобили на водородном топливе и т.д.);</w:t>
      </w:r>
    </w:p>
    <w:p>
      <w:pPr>
        <w:pStyle w:val="0"/>
        <w:spacing w:before="200" w:line-rule="auto"/>
        <w:ind w:firstLine="540"/>
        <w:jc w:val="both"/>
      </w:pPr>
      <w:r>
        <w:rPr>
          <w:sz w:val="20"/>
        </w:rPr>
        <w:t xml:space="preserve">рост контрактного производства;</w:t>
      </w:r>
    </w:p>
    <w:p>
      <w:pPr>
        <w:pStyle w:val="0"/>
        <w:spacing w:before="200" w:line-rule="auto"/>
        <w:ind w:firstLine="540"/>
        <w:jc w:val="both"/>
      </w:pPr>
      <w:r>
        <w:rPr>
          <w:sz w:val="20"/>
        </w:rPr>
        <w:t xml:space="preserve">развитие точной медицины, персонализированной медицины (подбор лекарственной терапии в соответствии с индивидуальными характеристиками пациентов); развитие фармацевтической промышленности по пациентоориентированной модели; активное развитие рынка биотехнологических препаратов (биопрепаратов).</w:t>
      </w:r>
    </w:p>
    <w:p>
      <w:pPr>
        <w:pStyle w:val="0"/>
        <w:spacing w:before="200" w:line-rule="auto"/>
        <w:ind w:firstLine="540"/>
        <w:jc w:val="both"/>
      </w:pPr>
      <w:r>
        <w:rPr>
          <w:sz w:val="20"/>
        </w:rPr>
        <w:t xml:space="preserve">Результаты "Мастерских проектов" "Народной стратегии" Курской области.</w:t>
      </w:r>
    </w:p>
    <w:p>
      <w:pPr>
        <w:pStyle w:val="0"/>
        <w:spacing w:before="200" w:line-rule="auto"/>
        <w:ind w:firstLine="540"/>
        <w:jc w:val="both"/>
      </w:pPr>
      <w:r>
        <w:rPr>
          <w:sz w:val="20"/>
        </w:rPr>
        <w:t xml:space="preserve">В рамках проектной мастерской "Конкурентоспособная и диверсифицированная экономика" были разработаны следующие проекты:</w:t>
      </w:r>
    </w:p>
    <w:p>
      <w:pPr>
        <w:pStyle w:val="0"/>
        <w:spacing w:before="200" w:line-rule="auto"/>
        <w:ind w:firstLine="540"/>
        <w:jc w:val="both"/>
      </w:pPr>
      <w:r>
        <w:rPr>
          <w:sz w:val="20"/>
        </w:rPr>
        <w:t xml:space="preserve">"Создание единого центра управления в предпринимательстве";</w:t>
      </w:r>
    </w:p>
    <w:p>
      <w:pPr>
        <w:pStyle w:val="0"/>
        <w:spacing w:before="200" w:line-rule="auto"/>
        <w:ind w:firstLine="540"/>
        <w:jc w:val="both"/>
      </w:pPr>
      <w:r>
        <w:rPr>
          <w:sz w:val="20"/>
        </w:rPr>
        <w:t xml:space="preserve">"Создание распределительных центров, кооперативных магазинов, ярмарок выходного дня".</w:t>
      </w:r>
    </w:p>
    <w:p>
      <w:pPr>
        <w:pStyle w:val="0"/>
        <w:spacing w:before="200" w:line-rule="auto"/>
        <w:ind w:firstLine="540"/>
        <w:jc w:val="both"/>
      </w:pPr>
      <w:r>
        <w:rPr>
          <w:sz w:val="20"/>
        </w:rPr>
        <w:t xml:space="preserve">Ключевые результаты:</w:t>
      </w:r>
    </w:p>
    <w:p>
      <w:pPr>
        <w:pStyle w:val="0"/>
        <w:spacing w:before="200" w:line-rule="auto"/>
        <w:ind w:firstLine="540"/>
        <w:jc w:val="both"/>
      </w:pPr>
      <w:r>
        <w:rPr>
          <w:sz w:val="20"/>
        </w:rPr>
        <w:t xml:space="preserve">рост валового регионального продукта в текущих ценах до 770,0 млрд. рублей;</w:t>
      </w:r>
    </w:p>
    <w:p>
      <w:pPr>
        <w:pStyle w:val="0"/>
        <w:spacing w:before="200" w:line-rule="auto"/>
        <w:ind w:firstLine="540"/>
        <w:jc w:val="both"/>
      </w:pPr>
      <w:r>
        <w:rPr>
          <w:sz w:val="20"/>
        </w:rPr>
        <w:t xml:space="preserve">рост в 1,7 раза физического объема инвестиций в основной капитал по отношению к 2017 году;</w:t>
      </w:r>
    </w:p>
    <w:p>
      <w:pPr>
        <w:pStyle w:val="0"/>
        <w:spacing w:before="200" w:line-rule="auto"/>
        <w:ind w:firstLine="540"/>
        <w:jc w:val="both"/>
      </w:pPr>
      <w:r>
        <w:rPr>
          <w:sz w:val="20"/>
        </w:rPr>
        <w:t xml:space="preserve">рост производительности труда в 1,25 раза по отношению к 2017 году;</w:t>
      </w:r>
    </w:p>
    <w:p>
      <w:pPr>
        <w:pStyle w:val="0"/>
        <w:spacing w:before="200" w:line-rule="auto"/>
        <w:ind w:firstLine="540"/>
        <w:jc w:val="both"/>
      </w:pPr>
      <w:r>
        <w:rPr>
          <w:sz w:val="20"/>
        </w:rPr>
        <w:t xml:space="preserve">увеличение объема экспорта до 1,25 млрд. долл. США (в 2017 году - 620,9 млн. долл. США);</w:t>
      </w:r>
    </w:p>
    <w:p>
      <w:pPr>
        <w:pStyle w:val="0"/>
        <w:spacing w:before="200" w:line-rule="auto"/>
        <w:ind w:firstLine="540"/>
        <w:jc w:val="both"/>
      </w:pPr>
      <w:r>
        <w:rPr>
          <w:sz w:val="20"/>
        </w:rPr>
        <w:t xml:space="preserve">увеличение доли снабженческо-сбытовых кооперативов в товарообороте Курской области с 1% в 2018 году до 10% к 2025 году, с поддержкой достигнутого уровня с 2026 года;</w:t>
      </w:r>
    </w:p>
    <w:p>
      <w:pPr>
        <w:pStyle w:val="0"/>
        <w:spacing w:before="200" w:line-rule="auto"/>
        <w:ind w:firstLine="540"/>
        <w:jc w:val="both"/>
      </w:pPr>
      <w:r>
        <w:rPr>
          <w:sz w:val="20"/>
        </w:rPr>
        <w:t xml:space="preserve">увеличение производства сельскохозяйственной продукции, в том числе:</w:t>
      </w:r>
    </w:p>
    <w:p>
      <w:pPr>
        <w:pStyle w:val="0"/>
        <w:spacing w:before="200" w:line-rule="auto"/>
        <w:ind w:firstLine="540"/>
        <w:jc w:val="both"/>
      </w:pPr>
      <w:r>
        <w:rPr>
          <w:sz w:val="20"/>
        </w:rPr>
        <w:t xml:space="preserve">- зерна - до 6,0 млн. тонн к 2030 году (в 2017 году - 5,0 млн. тонн);</w:t>
      </w:r>
    </w:p>
    <w:p>
      <w:pPr>
        <w:pStyle w:val="0"/>
        <w:spacing w:before="200" w:line-rule="auto"/>
        <w:ind w:firstLine="540"/>
        <w:jc w:val="both"/>
      </w:pPr>
      <w:r>
        <w:rPr>
          <w:sz w:val="20"/>
        </w:rPr>
        <w:t xml:space="preserve">- сахарной свеклы до стабильного значения 5,0 млн. тонн к 2030 году (в 2017 году - 5,5 млн. тонн);</w:t>
      </w:r>
    </w:p>
    <w:p>
      <w:pPr>
        <w:pStyle w:val="0"/>
        <w:spacing w:before="200" w:line-rule="auto"/>
        <w:ind w:firstLine="540"/>
        <w:jc w:val="both"/>
      </w:pPr>
      <w:r>
        <w:rPr>
          <w:sz w:val="20"/>
        </w:rPr>
        <w:t xml:space="preserve">- скота и птицы - до 650 тыс. тонн к 2030 году (в 2017 году - 527,4 тыс. тонн);</w:t>
      </w:r>
    </w:p>
    <w:p>
      <w:pPr>
        <w:pStyle w:val="0"/>
        <w:spacing w:before="200" w:line-rule="auto"/>
        <w:ind w:firstLine="540"/>
        <w:jc w:val="both"/>
      </w:pPr>
      <w:r>
        <w:rPr>
          <w:sz w:val="20"/>
        </w:rPr>
        <w:t xml:space="preserve">- молока до 352 тыс. тонн к 2030 году (в 2017 году - 276,5 тыс. тонн);</w:t>
      </w:r>
    </w:p>
    <w:p>
      <w:pPr>
        <w:pStyle w:val="0"/>
        <w:spacing w:before="200" w:line-rule="auto"/>
        <w:ind w:firstLine="540"/>
        <w:jc w:val="both"/>
      </w:pPr>
      <w:r>
        <w:rPr>
          <w:sz w:val="20"/>
        </w:rPr>
        <w:t xml:space="preserve">увеличение доли продукции высокотехнологичных и наукоемких отраслей в валовом региональном продукте до 30,0% (в 2017 году - 17,4%);</w:t>
      </w:r>
    </w:p>
    <w:p>
      <w:pPr>
        <w:pStyle w:val="0"/>
        <w:spacing w:before="200" w:line-rule="auto"/>
        <w:ind w:firstLine="540"/>
        <w:jc w:val="both"/>
      </w:pPr>
      <w:r>
        <w:rPr>
          <w:sz w:val="20"/>
        </w:rPr>
        <w:t xml:space="preserve">увеличение затрат на НИОКР в валовом региональном продукте Курской области до 2,5% (в 2017 году - 1,53%).</w:t>
      </w:r>
    </w:p>
    <w:p>
      <w:pPr>
        <w:pStyle w:val="0"/>
        <w:spacing w:before="200" w:line-rule="auto"/>
        <w:ind w:firstLine="540"/>
        <w:jc w:val="both"/>
      </w:pPr>
      <w:r>
        <w:rPr>
          <w:sz w:val="20"/>
        </w:rPr>
        <w:t xml:space="preserve">Ключевые результаты "Мастерских проектов":</w:t>
      </w:r>
    </w:p>
    <w:p>
      <w:pPr>
        <w:pStyle w:val="0"/>
        <w:spacing w:before="200" w:line-rule="auto"/>
        <w:ind w:firstLine="540"/>
        <w:jc w:val="both"/>
      </w:pPr>
      <w:r>
        <w:rPr>
          <w:sz w:val="20"/>
        </w:rPr>
        <w:t xml:space="preserve">формирование бюджета развития Курской области в объеме 5%;</w:t>
      </w:r>
    </w:p>
    <w:p>
      <w:pPr>
        <w:pStyle w:val="0"/>
        <w:spacing w:before="200" w:line-rule="auto"/>
        <w:ind w:firstLine="540"/>
        <w:jc w:val="both"/>
      </w:pPr>
      <w:r>
        <w:rPr>
          <w:sz w:val="20"/>
        </w:rPr>
        <w:t xml:space="preserve">увеличение доли снабженческих кооперативов с 1% до 10%.</w:t>
      </w:r>
    </w:p>
    <w:p>
      <w:pPr>
        <w:pStyle w:val="0"/>
        <w:jc w:val="both"/>
      </w:pPr>
      <w:r>
        <w:rPr>
          <w:sz w:val="20"/>
        </w:rPr>
      </w:r>
    </w:p>
    <w:p>
      <w:pPr>
        <w:pStyle w:val="2"/>
        <w:outlineLvl w:val="2"/>
        <w:ind w:firstLine="540"/>
        <w:jc w:val="both"/>
      </w:pPr>
      <w:r>
        <w:rPr>
          <w:sz w:val="20"/>
        </w:rPr>
        <w:t xml:space="preserve">5.1. Энергетический сектор</w:t>
      </w:r>
    </w:p>
    <w:p>
      <w:pPr>
        <w:pStyle w:val="0"/>
        <w:jc w:val="both"/>
      </w:pPr>
      <w:r>
        <w:rPr>
          <w:sz w:val="20"/>
        </w:rPr>
      </w:r>
    </w:p>
    <w:p>
      <w:pPr>
        <w:pStyle w:val="0"/>
        <w:ind w:firstLine="540"/>
        <w:jc w:val="both"/>
      </w:pPr>
      <w:r>
        <w:rPr>
          <w:sz w:val="20"/>
        </w:rPr>
        <w:t xml:space="preserve">Курская область является одним из важнейших энергетических центров Российской Федерации, входит в число лидеров по "экспорту" электроэнергии в другие регионы России, обеспечивает 12% энергопотребления регионов ЦФО. Крупнейшими реализуемыми и планируемыми к реализации инвестиционными проектами Курской области в сфере энергетики являются:</w:t>
      </w:r>
    </w:p>
    <w:p>
      <w:pPr>
        <w:pStyle w:val="0"/>
        <w:spacing w:before="200" w:line-rule="auto"/>
        <w:ind w:firstLine="540"/>
        <w:jc w:val="both"/>
      </w:pPr>
      <w:r>
        <w:rPr>
          <w:sz w:val="20"/>
        </w:rPr>
        <w:t xml:space="preserve">строительство Курской АЭС-2 (строительство станции замещения Курской АЭС-2, оснащенной реакторной установкой нового типа - ВВЭР-ТОИ (водоводяной энергореактор типовой, оптимизированный, информатизированный), мощностью каждого энергоблока 1255 МВт), - Филиал АО "Концерн Росэнергоатом" (г. Курчатов, 449,56 млрд. рублей, 2013 - 2027 гг.);</w:t>
      </w:r>
    </w:p>
    <w:p>
      <w:pPr>
        <w:pStyle w:val="0"/>
        <w:spacing w:before="200" w:line-rule="auto"/>
        <w:ind w:firstLine="540"/>
        <w:jc w:val="both"/>
      </w:pPr>
      <w:r>
        <w:rPr>
          <w:sz w:val="20"/>
        </w:rPr>
        <w:t xml:space="preserve">строительство комплекса переработки радиоактивных отходов Курской АЭС - Филиал АО "Концерн Росэнергоатом" "Курская АЭС" (г. Курчатов, 29,69 млрд. рублей, 2016 - 2021 гг.);</w:t>
      </w:r>
    </w:p>
    <w:p>
      <w:pPr>
        <w:pStyle w:val="0"/>
        <w:spacing w:before="200" w:line-rule="auto"/>
        <w:ind w:firstLine="540"/>
        <w:jc w:val="both"/>
      </w:pPr>
      <w:r>
        <w:rPr>
          <w:sz w:val="20"/>
        </w:rPr>
        <w:t xml:space="preserve">реализация долгосрочной инвестиционной программы ПАО "МРСК Центра" - филиал "Курскэнерго" (г. Курск).</w:t>
      </w:r>
    </w:p>
    <w:p>
      <w:pPr>
        <w:pStyle w:val="0"/>
        <w:spacing w:before="200" w:line-rule="auto"/>
        <w:ind w:firstLine="540"/>
        <w:jc w:val="both"/>
      </w:pPr>
      <w:r>
        <w:rPr>
          <w:sz w:val="20"/>
        </w:rPr>
        <w:t xml:space="preserve">Задача - обеспечение производства экологически чистой энергии путем внедрения новых технологий в атомной электроэнергетике.</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Модернизация Курской АЭС согласно нормативам и регламентам, планам развития Государственной корпорации по атомной энергии "Росатом", включая строительство станции замещения - Курской АЭС-2 с использованием нового типа реактора ВВЭР-ТОИ.</w:t>
      </w:r>
    </w:p>
    <w:p>
      <w:pPr>
        <w:pStyle w:val="0"/>
        <w:spacing w:before="200" w:line-rule="auto"/>
        <w:ind w:firstLine="540"/>
        <w:jc w:val="both"/>
      </w:pPr>
      <w:r>
        <w:rPr>
          <w:sz w:val="20"/>
        </w:rPr>
        <w:t xml:space="preserve">2. Обеспечение безопасности и экологичности работы Курской АЭС:</w:t>
      </w:r>
    </w:p>
    <w:p>
      <w:pPr>
        <w:pStyle w:val="0"/>
        <w:spacing w:before="200" w:line-rule="auto"/>
        <w:ind w:firstLine="540"/>
        <w:jc w:val="both"/>
      </w:pPr>
      <w:r>
        <w:rPr>
          <w:sz w:val="20"/>
        </w:rPr>
        <w:t xml:space="preserve">обеспечение экологического надзора, а также мониторинг влияния работы Курской АЭС на окружающую среду, включая забор воды из водных источников, а также сбросы в открытую гидрографическую сеть (вредных химических веществ, радионуклидов) и атмосферный воздух;</w:t>
      </w:r>
    </w:p>
    <w:p>
      <w:pPr>
        <w:pStyle w:val="0"/>
        <w:spacing w:before="200" w:line-rule="auto"/>
        <w:ind w:firstLine="540"/>
        <w:jc w:val="both"/>
      </w:pPr>
      <w:r>
        <w:rPr>
          <w:sz w:val="20"/>
        </w:rPr>
        <w:t xml:space="preserve">проведение тренировок и учений по действию населения в аварийно опасных ситуациях;</w:t>
      </w:r>
    </w:p>
    <w:p>
      <w:pPr>
        <w:pStyle w:val="0"/>
        <w:spacing w:before="200" w:line-rule="auto"/>
        <w:ind w:firstLine="540"/>
        <w:jc w:val="both"/>
      </w:pPr>
      <w:r>
        <w:rPr>
          <w:sz w:val="20"/>
        </w:rPr>
        <w:t xml:space="preserve">совершенствование системы функционирования экологического менеджмента на Курской АЭС;</w:t>
      </w:r>
    </w:p>
    <w:p>
      <w:pPr>
        <w:pStyle w:val="0"/>
        <w:spacing w:before="200" w:line-rule="auto"/>
        <w:ind w:firstLine="540"/>
        <w:jc w:val="both"/>
      </w:pPr>
      <w:r>
        <w:rPr>
          <w:sz w:val="20"/>
        </w:rPr>
        <w:t xml:space="preserve">ужесточение регионального законодательства в сфере защиты окружающей среды;</w:t>
      </w:r>
    </w:p>
    <w:p>
      <w:pPr>
        <w:pStyle w:val="0"/>
        <w:spacing w:before="200" w:line-rule="auto"/>
        <w:ind w:firstLine="540"/>
        <w:jc w:val="both"/>
      </w:pPr>
      <w:r>
        <w:rPr>
          <w:sz w:val="20"/>
        </w:rPr>
        <w:t xml:space="preserve">привлечение общественности к участию в экологических мероприятиях;</w:t>
      </w:r>
    </w:p>
    <w:p>
      <w:pPr>
        <w:pStyle w:val="0"/>
        <w:spacing w:before="200" w:line-rule="auto"/>
        <w:ind w:firstLine="540"/>
        <w:jc w:val="both"/>
      </w:pPr>
      <w:r>
        <w:rPr>
          <w:sz w:val="20"/>
        </w:rPr>
        <w:t xml:space="preserve">проведение конкурса социально значимых проектов фонда "АТР" и открытого конкурса среди некоммерческих организаций по разработке и реализации социально значимых проектов ГК "Росатом";</w:t>
      </w:r>
    </w:p>
    <w:p>
      <w:pPr>
        <w:pStyle w:val="0"/>
        <w:spacing w:before="200" w:line-rule="auto"/>
        <w:ind w:firstLine="540"/>
        <w:jc w:val="both"/>
      </w:pPr>
      <w:r>
        <w:rPr>
          <w:sz w:val="20"/>
        </w:rPr>
        <w:t xml:space="preserve">проведение образовательных и просветительских мероприятий по вопросам экологической привлекательности атомной энергетики.</w:t>
      </w:r>
    </w:p>
    <w:p>
      <w:pPr>
        <w:pStyle w:val="0"/>
        <w:spacing w:before="200" w:line-rule="auto"/>
        <w:ind w:firstLine="540"/>
        <w:jc w:val="both"/>
      </w:pPr>
      <w:r>
        <w:rPr>
          <w:sz w:val="20"/>
        </w:rPr>
        <w:t xml:space="preserve">3. Развитие научно-технического обеспечения деятельности Курской АЭС в регионе, участие курских научно-исследовательских организаций в деятельности Курской АЭС.</w:t>
      </w:r>
    </w:p>
    <w:p>
      <w:pPr>
        <w:pStyle w:val="0"/>
        <w:spacing w:before="200" w:line-rule="auto"/>
        <w:ind w:firstLine="540"/>
        <w:jc w:val="both"/>
      </w:pPr>
      <w:r>
        <w:rPr>
          <w:sz w:val="20"/>
        </w:rPr>
        <w:t xml:space="preserve">Задача - обеспечение условий для модернизации и повышения экологичности работы объектов тепловой электроэнергетики региона в координации с планами вывода из эксплуатации объектов электросетевой инфраструктуры и генерирующих мощностей и реализацией инвестиционных проектов в экономике.</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Строительство новых генерирующих мощностей, подстанций и распределительных линий в соответствии с планируемыми и реализуемыми проектами жилищного строительства.</w:t>
      </w:r>
    </w:p>
    <w:p>
      <w:pPr>
        <w:pStyle w:val="0"/>
        <w:spacing w:before="200" w:line-rule="auto"/>
        <w:ind w:firstLine="540"/>
        <w:jc w:val="both"/>
      </w:pPr>
      <w:r>
        <w:rPr>
          <w:sz w:val="20"/>
        </w:rPr>
        <w:t xml:space="preserve">2. Обеспечение безопасности и экологичности работы действующих генерирующих мощностей и объектов электросетевого хозяйства.</w:t>
      </w:r>
    </w:p>
    <w:p>
      <w:pPr>
        <w:pStyle w:val="0"/>
        <w:spacing w:before="200" w:line-rule="auto"/>
        <w:ind w:firstLine="540"/>
        <w:jc w:val="both"/>
      </w:pPr>
      <w:r>
        <w:rPr>
          <w:sz w:val="20"/>
        </w:rPr>
        <w:t xml:space="preserve">Задача - внедрение энергосберегающих технологий в электроэнергетику и повышение энергетической эффективности систем коммунальной инфраструктуры.</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Строительство тепловых сетей с использованием современных технологий и видов изоляций. Теплоснабжающими организациями проводятся строительство и реконструкция тепловых сетей с применением новых энергосберегающих технологий, при этом используются трубопроводы с пенополиуретановой изоляцией, срок службы которых достигает 50 лет.</w:t>
      </w:r>
    </w:p>
    <w:p>
      <w:pPr>
        <w:pStyle w:val="0"/>
        <w:spacing w:before="200" w:line-rule="auto"/>
        <w:ind w:firstLine="540"/>
        <w:jc w:val="both"/>
      </w:pPr>
      <w:r>
        <w:rPr>
          <w:sz w:val="20"/>
        </w:rPr>
        <w:t xml:space="preserve">2. Реализация программ энергосбережения и повышения энергетической эффективности для организаций коммунального комплекса, включая разработку технико-экономических обоснований на внедрение энергоэффективного оборудования (частотно регулируемых приводов, автоматики регулирования и т.д.).</w:t>
      </w:r>
    </w:p>
    <w:p>
      <w:pPr>
        <w:pStyle w:val="0"/>
        <w:spacing w:before="200" w:line-rule="auto"/>
        <w:ind w:firstLine="540"/>
        <w:jc w:val="both"/>
      </w:pPr>
      <w:r>
        <w:rPr>
          <w:sz w:val="20"/>
        </w:rPr>
        <w:t xml:space="preserve">3. Внедрение энергоэффективных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потребления электроэнергии в городском хозяйстве, системы распределения и управления электроэнергией (Smart и Micro Grid, AMR).</w:t>
      </w:r>
    </w:p>
    <w:p>
      <w:pPr>
        <w:pStyle w:val="0"/>
        <w:spacing w:before="200" w:line-rule="auto"/>
        <w:ind w:firstLine="540"/>
        <w:jc w:val="both"/>
      </w:pPr>
      <w:r>
        <w:rPr>
          <w:sz w:val="20"/>
        </w:rPr>
        <w:t xml:space="preserve">4. Развитие электроэнергетики на базе использования возобновляемых источников энергии и вторичных энергетических ресурсов, предполагающее:</w:t>
      </w:r>
    </w:p>
    <w:p>
      <w:pPr>
        <w:pStyle w:val="0"/>
        <w:spacing w:before="200" w:line-rule="auto"/>
        <w:ind w:firstLine="540"/>
        <w:jc w:val="both"/>
      </w:pPr>
      <w:r>
        <w:rPr>
          <w:sz w:val="20"/>
        </w:rPr>
        <w:t xml:space="preserve">содействие развитию строительства и внедрению солнечных электростанций, особенно в районах нового малоэтажного жилищного строительства;</w:t>
      </w:r>
    </w:p>
    <w:p>
      <w:pPr>
        <w:pStyle w:val="0"/>
        <w:spacing w:before="200" w:line-rule="auto"/>
        <w:ind w:firstLine="540"/>
        <w:jc w:val="both"/>
      </w:pPr>
      <w:r>
        <w:rPr>
          <w:sz w:val="20"/>
        </w:rPr>
        <w:t xml:space="preserve">разработка технико-экономических обоснований и проектов по строительству объектов переработки навоза на товарно-сельскохозяйственных предприятиях и увеличение используемого биотоплива.</w:t>
      </w:r>
    </w:p>
    <w:p>
      <w:pPr>
        <w:pStyle w:val="0"/>
        <w:ind w:firstLine="540"/>
        <w:jc w:val="both"/>
      </w:pPr>
      <w:r>
        <w:rPr>
          <w:sz w:val="20"/>
        </w:rPr>
      </w:r>
    </w:p>
    <w:p>
      <w:pPr>
        <w:pStyle w:val="2"/>
        <w:outlineLvl w:val="2"/>
        <w:ind w:firstLine="540"/>
        <w:jc w:val="both"/>
      </w:pPr>
      <w:r>
        <w:rPr>
          <w:sz w:val="20"/>
        </w:rPr>
        <w:t xml:space="preserve">5.2. Добыча полезных ископаемых</w:t>
      </w:r>
    </w:p>
    <w:p>
      <w:pPr>
        <w:pStyle w:val="0"/>
        <w:ind w:firstLine="540"/>
        <w:jc w:val="both"/>
      </w:pPr>
      <w:r>
        <w:rPr>
          <w:sz w:val="20"/>
        </w:rPr>
      </w:r>
    </w:p>
    <w:p>
      <w:pPr>
        <w:pStyle w:val="0"/>
        <w:ind w:firstLine="540"/>
        <w:jc w:val="both"/>
      </w:pPr>
      <w:r>
        <w:rPr>
          <w:sz w:val="20"/>
        </w:rPr>
        <w:t xml:space="preserve">АО "Михайловский ГОК им. А.В. Варичева" является градообразующим предприятием, расположено в г. Железногорск. На предприятии занято более 11,0 тыс. человек.</w:t>
      </w:r>
    </w:p>
    <w:p>
      <w:pPr>
        <w:pStyle w:val="0"/>
        <w:spacing w:before="200" w:line-rule="auto"/>
        <w:ind w:firstLine="540"/>
        <w:jc w:val="both"/>
      </w:pPr>
      <w:r>
        <w:rPr>
          <w:sz w:val="20"/>
        </w:rPr>
        <w:t xml:space="preserve">Производимая продукция предприятия - руда железная, доменная, аглоруда, железорудный концентрат, окатыши, окисленные кварциты.</w:t>
      </w:r>
    </w:p>
    <w:p>
      <w:pPr>
        <w:pStyle w:val="0"/>
        <w:spacing w:before="200" w:line-rule="auto"/>
        <w:ind w:firstLine="540"/>
        <w:jc w:val="both"/>
      </w:pPr>
      <w:r>
        <w:rPr>
          <w:sz w:val="20"/>
        </w:rPr>
        <w:t xml:space="preserve">Крупнейшими инвестиционными проектами в добыче полезных ископаемых являются:</w:t>
      </w:r>
    </w:p>
    <w:p>
      <w:pPr>
        <w:pStyle w:val="0"/>
        <w:spacing w:before="200" w:line-rule="auto"/>
        <w:ind w:firstLine="540"/>
        <w:jc w:val="both"/>
      </w:pPr>
      <w:r>
        <w:rPr>
          <w:sz w:val="20"/>
        </w:rPr>
        <w:t xml:space="preserve">производство концентратов в объеме 10 млн. тонн в год из окисленных кварцитов - АО "Михайловский ГОК им. А.В. Варичева" (г. Железногорск, 40,2 млрд. рублей, 2010 - 2025 гг.);</w:t>
      </w:r>
    </w:p>
    <w:p>
      <w:pPr>
        <w:pStyle w:val="0"/>
        <w:spacing w:before="200" w:line-rule="auto"/>
        <w:ind w:firstLine="540"/>
        <w:jc w:val="both"/>
      </w:pPr>
      <w:r>
        <w:rPr>
          <w:sz w:val="20"/>
        </w:rPr>
        <w:t xml:space="preserve">строительство дробильно-конвейерного комплекса на северо-восточном и юго-восточном бортах железорудного карьера - АО "Михайловский ГОК им. А.В. Варичева" (г. Железногорск, 11,1 млрд. рублей, 2013 - 2022 гг.);</w:t>
      </w:r>
    </w:p>
    <w:p>
      <w:pPr>
        <w:pStyle w:val="0"/>
        <w:spacing w:before="200" w:line-rule="auto"/>
        <w:ind w:firstLine="540"/>
        <w:jc w:val="both"/>
      </w:pPr>
      <w:r>
        <w:rPr>
          <w:sz w:val="20"/>
        </w:rPr>
        <w:t xml:space="preserve">техническое перевооружение ДОК, модернизация ОМ МО с внедрением тонкого грохочения, строительство комплекса дообогащения - АО "Михайловский ГОК им. А.В. Варичева" (г. Железногорск, 13,6 млн. рублей, 2017 - 2022 гг.).</w:t>
      </w:r>
    </w:p>
    <w:p>
      <w:pPr>
        <w:pStyle w:val="0"/>
        <w:jc w:val="both"/>
      </w:pPr>
      <w:r>
        <w:rPr>
          <w:sz w:val="20"/>
        </w:rPr>
      </w:r>
    </w:p>
    <w:p>
      <w:pPr>
        <w:pStyle w:val="0"/>
        <w:ind w:firstLine="540"/>
        <w:jc w:val="both"/>
      </w:pPr>
      <w:r>
        <w:rPr>
          <w:sz w:val="20"/>
        </w:rPr>
        <w:t xml:space="preserve">Задача - экологизация добычи полезных ископаемых, модернизация основных фондов и увеличение производительности труда.</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экологизация, повышение эффективности производства по добыче и обогащению железных руд;</w:t>
      </w:r>
    </w:p>
    <w:p>
      <w:pPr>
        <w:pStyle w:val="0"/>
        <w:spacing w:before="200" w:line-rule="auto"/>
        <w:ind w:firstLine="540"/>
        <w:jc w:val="both"/>
      </w:pPr>
      <w:r>
        <w:rPr>
          <w:sz w:val="20"/>
        </w:rPr>
        <w:t xml:space="preserve">внедрение новых "зеленых" технологий в добыче полезных ископаемых, внедрение наилучших доступных технологий, снижение выбросов предприятий;</w:t>
      </w:r>
    </w:p>
    <w:p>
      <w:pPr>
        <w:pStyle w:val="0"/>
        <w:spacing w:before="200" w:line-rule="auto"/>
        <w:ind w:firstLine="540"/>
        <w:jc w:val="both"/>
      </w:pPr>
      <w:r>
        <w:rPr>
          <w:sz w:val="20"/>
        </w:rPr>
        <w:t xml:space="preserve">проведение рекультивации нарушенных земель за счет добычи полезных ископаемых открытым способом;</w:t>
      </w:r>
    </w:p>
    <w:p>
      <w:pPr>
        <w:pStyle w:val="0"/>
        <w:spacing w:before="200" w:line-rule="auto"/>
        <w:ind w:firstLine="540"/>
        <w:jc w:val="both"/>
      </w:pPr>
      <w:r>
        <w:rPr>
          <w:sz w:val="20"/>
        </w:rPr>
        <w:t xml:space="preserve">продолжение сотрудничества муниципальных и региональных органов власти с АО "Михайловский ГОК им. А.В. Варичева" и ООО "УК "Металлоинвест" в рамках реализации социальных проектов;</w:t>
      </w:r>
    </w:p>
    <w:p>
      <w:pPr>
        <w:pStyle w:val="0"/>
        <w:spacing w:before="200" w:line-rule="auto"/>
        <w:ind w:firstLine="540"/>
        <w:jc w:val="both"/>
      </w:pPr>
      <w:r>
        <w:rPr>
          <w:sz w:val="20"/>
        </w:rPr>
        <w:t xml:space="preserve">привлечение предприятий к участию на создаваемых площадках субконтрактации в Курской области;</w:t>
      </w:r>
    </w:p>
    <w:p>
      <w:pPr>
        <w:pStyle w:val="0"/>
        <w:spacing w:before="200" w:line-rule="auto"/>
        <w:ind w:firstLine="540"/>
        <w:jc w:val="both"/>
      </w:pPr>
      <w:r>
        <w:rPr>
          <w:sz w:val="20"/>
        </w:rPr>
        <w:t xml:space="preserve">обеспечение взаимодействия предприятий с вузами и ссузами Курской области, в том числе в рамках корректировки существующих и создания новых программ обучения кадров, запуск программ дуального образования.</w:t>
      </w:r>
    </w:p>
    <w:p>
      <w:pPr>
        <w:pStyle w:val="0"/>
        <w:ind w:firstLine="540"/>
        <w:jc w:val="both"/>
      </w:pPr>
      <w:r>
        <w:rPr>
          <w:sz w:val="20"/>
        </w:rPr>
      </w:r>
    </w:p>
    <w:p>
      <w:pPr>
        <w:pStyle w:val="2"/>
        <w:outlineLvl w:val="2"/>
        <w:ind w:firstLine="540"/>
        <w:jc w:val="both"/>
      </w:pPr>
      <w:r>
        <w:rPr>
          <w:sz w:val="20"/>
        </w:rPr>
        <w:t xml:space="preserve">5.3. Машиностроение</w:t>
      </w:r>
    </w:p>
    <w:p>
      <w:pPr>
        <w:pStyle w:val="0"/>
        <w:ind w:firstLine="540"/>
        <w:jc w:val="both"/>
      </w:pPr>
      <w:r>
        <w:rPr>
          <w:sz w:val="20"/>
        </w:rPr>
      </w:r>
    </w:p>
    <w:p>
      <w:pPr>
        <w:pStyle w:val="0"/>
        <w:ind w:firstLine="540"/>
        <w:jc w:val="both"/>
      </w:pPr>
      <w:r>
        <w:rPr>
          <w:sz w:val="20"/>
        </w:rPr>
        <w:t xml:space="preserve">Машиностроительный комплекс в соответствии с общероссийским классификатором видов экономической деятельности (ОКВЭД) включает в следующие виды экономической деятельности:</w:t>
      </w:r>
    </w:p>
    <w:p>
      <w:pPr>
        <w:pStyle w:val="0"/>
        <w:spacing w:before="200" w:line-rule="auto"/>
        <w:ind w:firstLine="540"/>
        <w:jc w:val="both"/>
      </w:pPr>
      <w:r>
        <w:rPr>
          <w:sz w:val="20"/>
        </w:rPr>
        <w:t xml:space="preserve">производство металлургическое;</w:t>
      </w:r>
    </w:p>
    <w:p>
      <w:pPr>
        <w:pStyle w:val="0"/>
        <w:spacing w:before="200" w:line-rule="auto"/>
        <w:ind w:firstLine="540"/>
        <w:jc w:val="both"/>
      </w:pPr>
      <w:r>
        <w:rPr>
          <w:sz w:val="20"/>
        </w:rPr>
        <w:t xml:space="preserve">производство готовых металлических изделий, кроме машин и оборудования;</w:t>
      </w:r>
    </w:p>
    <w:p>
      <w:pPr>
        <w:pStyle w:val="0"/>
        <w:spacing w:before="200" w:line-rule="auto"/>
        <w:ind w:firstLine="540"/>
        <w:jc w:val="both"/>
      </w:pPr>
      <w:r>
        <w:rPr>
          <w:sz w:val="20"/>
        </w:rPr>
        <w:t xml:space="preserve">производство компьютеров, электронных и оптических изделий;</w:t>
      </w:r>
    </w:p>
    <w:p>
      <w:pPr>
        <w:pStyle w:val="0"/>
        <w:spacing w:before="200" w:line-rule="auto"/>
        <w:ind w:firstLine="540"/>
        <w:jc w:val="both"/>
      </w:pPr>
      <w:r>
        <w:rPr>
          <w:sz w:val="20"/>
        </w:rPr>
        <w:t xml:space="preserve">производство электрического оборудования;</w:t>
      </w:r>
    </w:p>
    <w:p>
      <w:pPr>
        <w:pStyle w:val="0"/>
        <w:spacing w:before="200" w:line-rule="auto"/>
        <w:ind w:firstLine="540"/>
        <w:jc w:val="both"/>
      </w:pPr>
      <w:r>
        <w:rPr>
          <w:sz w:val="20"/>
        </w:rPr>
        <w:t xml:space="preserve">производство машин и оборудования, не включенных в другие группировки;</w:t>
      </w:r>
    </w:p>
    <w:p>
      <w:pPr>
        <w:pStyle w:val="0"/>
        <w:spacing w:before="200" w:line-rule="auto"/>
        <w:ind w:firstLine="540"/>
        <w:jc w:val="both"/>
      </w:pPr>
      <w:r>
        <w:rPr>
          <w:sz w:val="20"/>
        </w:rPr>
        <w:t xml:space="preserve">производство автотранспортных средств, прицепов и полуприцепов;</w:t>
      </w:r>
    </w:p>
    <w:p>
      <w:pPr>
        <w:pStyle w:val="0"/>
        <w:spacing w:before="200" w:line-rule="auto"/>
        <w:ind w:firstLine="540"/>
        <w:jc w:val="both"/>
      </w:pPr>
      <w:r>
        <w:rPr>
          <w:sz w:val="20"/>
        </w:rPr>
        <w:t xml:space="preserve">производство прочих транспортных средств и оборудования.</w:t>
      </w:r>
    </w:p>
    <w:p>
      <w:pPr>
        <w:pStyle w:val="0"/>
        <w:spacing w:before="200" w:line-rule="auto"/>
        <w:ind w:firstLine="540"/>
        <w:jc w:val="both"/>
      </w:pPr>
      <w:r>
        <w:rPr>
          <w:sz w:val="20"/>
        </w:rPr>
        <w:t xml:space="preserve">Удельный вес этих видов деятельности в обрабатывающих производствах - 18%; на предприятиях занято около 18 тыс. человек.</w:t>
      </w:r>
    </w:p>
    <w:p>
      <w:pPr>
        <w:pStyle w:val="0"/>
        <w:spacing w:before="200" w:line-rule="auto"/>
        <w:ind w:firstLine="540"/>
        <w:jc w:val="both"/>
      </w:pPr>
      <w:r>
        <w:rPr>
          <w:sz w:val="20"/>
        </w:rPr>
        <w:t xml:space="preserve">Ведущими предприятиями машиностроения являются АО "Авиаавтоматика" им. В.В. Тарасова", АО "Курский электроаппаратный завод", ОАО "Электроагрегат", ООО "Исток+", ООО "Курский аккумуляторный завод", АО "Энерготекс", ООО ПО "Вагонмаш", АО "Кореневский завод низковольтной аппаратуры", АО "Геомаш". Они выпускают широкий спектр высокотехнологичной продукции, в том числе средства передвижной энергетики, генераторы, геологоразведочное и нефтепромысловое оборудование, средства вычислительной техники, низковольтную аппаратуру, оборудование для атомной промышленности, аккумуляторы и т.д.</w:t>
      </w:r>
    </w:p>
    <w:p>
      <w:pPr>
        <w:pStyle w:val="0"/>
        <w:spacing w:before="200" w:line-rule="auto"/>
        <w:ind w:firstLine="540"/>
        <w:jc w:val="both"/>
      </w:pPr>
      <w:r>
        <w:rPr>
          <w:sz w:val="20"/>
        </w:rPr>
        <w:t xml:space="preserve">Крупнейшими реализуемыми инвестиционными проектами в сфере машиностроения являются:</w:t>
      </w:r>
    </w:p>
    <w:p>
      <w:pPr>
        <w:pStyle w:val="0"/>
        <w:spacing w:before="200" w:line-rule="auto"/>
        <w:ind w:firstLine="540"/>
        <w:jc w:val="both"/>
      </w:pPr>
      <w:r>
        <w:rPr>
          <w:sz w:val="20"/>
        </w:rPr>
        <w:t xml:space="preserve">освоение производства промышленных свинцово-кислотных аккумуляторов и батарей - ООО "ИСТОК+" (г. Курск, 889 млн. рублей, 2017 - 2020 гг.);</w:t>
      </w:r>
    </w:p>
    <w:p>
      <w:pPr>
        <w:pStyle w:val="0"/>
        <w:spacing w:before="200" w:line-rule="auto"/>
        <w:ind w:firstLine="540"/>
        <w:jc w:val="both"/>
      </w:pPr>
      <w:r>
        <w:rPr>
          <w:sz w:val="20"/>
        </w:rPr>
        <w:t xml:space="preserve">развитие производства стартерных свинцово-кислотных батарей с применением пластмассовых комплектующих собственного изготовления - ООО "ИСТОК+" (г. Курск, 455 млн. рублей, 2017 - 2022 гг.);</w:t>
      </w:r>
    </w:p>
    <w:p>
      <w:pPr>
        <w:pStyle w:val="0"/>
        <w:spacing w:before="200" w:line-rule="auto"/>
        <w:ind w:firstLine="540"/>
        <w:jc w:val="both"/>
      </w:pPr>
      <w:r>
        <w:rPr>
          <w:sz w:val="20"/>
        </w:rPr>
        <w:t xml:space="preserve">расширение номенклатуры выпускаемой продукции путем создания гибридной дизель-электрической станции с аккумулирующей системой (СГДЭАС) и ее последующего серийного выпуска - ОАО "Электроагрегат" (г. Курск, 171 млн. рублей, 2016 - 2020 гг.);</w:t>
      </w:r>
    </w:p>
    <w:p>
      <w:pPr>
        <w:pStyle w:val="0"/>
        <w:spacing w:before="200" w:line-rule="auto"/>
        <w:ind w:firstLine="540"/>
        <w:jc w:val="both"/>
      </w:pPr>
      <w:r>
        <w:rPr>
          <w:sz w:val="20"/>
        </w:rPr>
        <w:t xml:space="preserve">строительство завода по производству современных радиоэлектронных и микроэлектромеханических компонентов, изделий и аппаратуры, в том числе для систем мониторинга и измерений различного назначения - ООО "Совтест АТЕ" (г. Курск, 600 млн. рублей, 2015 - 2021 гг.);</w:t>
      </w:r>
    </w:p>
    <w:p>
      <w:pPr>
        <w:pStyle w:val="0"/>
        <w:spacing w:before="200" w:line-rule="auto"/>
        <w:ind w:firstLine="540"/>
        <w:jc w:val="both"/>
      </w:pPr>
      <w:r>
        <w:rPr>
          <w:sz w:val="20"/>
        </w:rPr>
        <w:t xml:space="preserve">освоение производства выключателей на токи от 630 до 4000 А с необходимой номенклатурой аксессуаров - АО "Курский электроаппаратный завод" (г. Курск, 190 млн. рублей, 2015 - 2020 гг.);</w:t>
      </w:r>
    </w:p>
    <w:p>
      <w:pPr>
        <w:pStyle w:val="0"/>
        <w:spacing w:before="200" w:line-rule="auto"/>
        <w:ind w:firstLine="540"/>
        <w:jc w:val="both"/>
      </w:pPr>
      <w:r>
        <w:rPr>
          <w:sz w:val="20"/>
        </w:rPr>
        <w:t xml:space="preserve">освоение в производстве автоматических модульных выключателей - АО "Курский электроаппаратный завод" (г. Курск, 147 млн. рублей, 2015 - 2020 гг.);</w:t>
      </w:r>
    </w:p>
    <w:p>
      <w:pPr>
        <w:pStyle w:val="0"/>
        <w:spacing w:before="200" w:line-rule="auto"/>
        <w:ind w:firstLine="540"/>
        <w:jc w:val="both"/>
      </w:pPr>
      <w:r>
        <w:rPr>
          <w:sz w:val="20"/>
        </w:rPr>
        <w:t xml:space="preserve">разработка и постановка на производство параметрического ряда антенн и антенных систем диапазона частот 9 кГц - 110 ГГц - АО "СКАРД - Электроникс" (г. Курск, 22,5 млн. рублей, 2014 - 2024 гг.).</w:t>
      </w:r>
    </w:p>
    <w:p>
      <w:pPr>
        <w:pStyle w:val="0"/>
        <w:spacing w:before="200" w:line-rule="auto"/>
        <w:ind w:firstLine="540"/>
        <w:jc w:val="both"/>
      </w:pPr>
      <w:r>
        <w:rPr>
          <w:sz w:val="20"/>
        </w:rPr>
        <w:t xml:space="preserve">Задача - увеличение конкурентоспособности машиностроительного комплекса Курской области на основе активизации процессов кластеризации отрасли, внедрения новых технологий и реализации проектов в области электротехнической, электронной промышленности.</w:t>
      </w:r>
    </w:p>
    <w:p>
      <w:pPr>
        <w:pStyle w:val="0"/>
        <w:spacing w:before="200" w:line-rule="auto"/>
        <w:ind w:firstLine="540"/>
        <w:jc w:val="both"/>
      </w:pPr>
      <w:r>
        <w:rPr>
          <w:sz w:val="20"/>
        </w:rPr>
        <w:t xml:space="preserve">Увеличение конкурентоспособности, предполагающее создание новых производственных секторов, основанных на широком использовании технологий пятого и шестого технологических укладов, требует не только технического перевооружения предприятий и внедрения новых высокоэффективных технологий. Новый технологический уклад объективно вызывает необходимость формирования новой организационной структуры отрасли и широкого внедрения в практику хозяйственной деятельности новых принципов управления отраслевым развитием.</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создание управляющей компании кластера "Машиностроение", координационного совета, в который войдут представители фирм - участников кластера, органов исполнительной власти, образовательных и научных организаций;</w:t>
      </w:r>
    </w:p>
    <w:p>
      <w:pPr>
        <w:pStyle w:val="0"/>
        <w:spacing w:before="200" w:line-rule="auto"/>
        <w:ind w:firstLine="540"/>
        <w:jc w:val="both"/>
      </w:pPr>
      <w:r>
        <w:rPr>
          <w:sz w:val="20"/>
        </w:rPr>
        <w:t xml:space="preserve">создание представительств и филиалов ведущих предприятий электротехнической промышленности в России, странах ближнего зарубежья;</w:t>
      </w:r>
    </w:p>
    <w:p>
      <w:pPr>
        <w:pStyle w:val="0"/>
        <w:spacing w:before="200" w:line-rule="auto"/>
        <w:ind w:firstLine="540"/>
        <w:jc w:val="both"/>
      </w:pPr>
      <w:r>
        <w:rPr>
          <w:sz w:val="20"/>
        </w:rPr>
        <w:t xml:space="preserve">содействие в продвижении продукции предприятий Курской области на российский и зарубежный рынки;</w:t>
      </w:r>
    </w:p>
    <w:p>
      <w:pPr>
        <w:pStyle w:val="0"/>
        <w:spacing w:before="200" w:line-rule="auto"/>
        <w:ind w:firstLine="540"/>
        <w:jc w:val="both"/>
      </w:pPr>
      <w:r>
        <w:rPr>
          <w:sz w:val="20"/>
        </w:rPr>
        <w:t xml:space="preserve">привлечение инвестиций в модернизацию основных фондов предприятий, внедрение новых технологий, продуктовых и процессных инноваций;</w:t>
      </w:r>
    </w:p>
    <w:p>
      <w:pPr>
        <w:pStyle w:val="0"/>
        <w:spacing w:before="200" w:line-rule="auto"/>
        <w:ind w:firstLine="540"/>
        <w:jc w:val="both"/>
      </w:pPr>
      <w:r>
        <w:rPr>
          <w:sz w:val="20"/>
        </w:rPr>
        <w:t xml:space="preserve">стимулирование внедрения инновационных энергосберегающих технологий в отраслях региональной экономики, реализация активной энергосберегающей политики, в том числе перевод энергоемких потребителей электроэнергии на использование новых энергосберегающих изделий электротехники, включая электродвигатели, трансформаторы, конденсаторы, низковольтную и высоковольтную аппаратуру;</w:t>
      </w:r>
    </w:p>
    <w:p>
      <w:pPr>
        <w:pStyle w:val="0"/>
        <w:spacing w:before="200" w:line-rule="auto"/>
        <w:ind w:firstLine="540"/>
        <w:jc w:val="both"/>
      </w:pPr>
      <w:r>
        <w:rPr>
          <w:sz w:val="20"/>
        </w:rPr>
        <w:t xml:space="preserve">привлечение инвестиций в создание и применение комплектного оборудования для малой энергетики и систем рекуперации электроэнергии на транспорте;</w:t>
      </w:r>
    </w:p>
    <w:p>
      <w:pPr>
        <w:pStyle w:val="0"/>
        <w:spacing w:before="200" w:line-rule="auto"/>
        <w:ind w:firstLine="540"/>
        <w:jc w:val="both"/>
      </w:pPr>
      <w:r>
        <w:rPr>
          <w:sz w:val="20"/>
        </w:rPr>
        <w:t xml:space="preserve">формирование сетей взаимодействия крупных и средних предприятий радиоэлектронной промышленности друг с другом, вузами и малыми инновационными компаниями в рамках программ развития кластера;</w:t>
      </w:r>
    </w:p>
    <w:p>
      <w:pPr>
        <w:pStyle w:val="0"/>
        <w:spacing w:before="200" w:line-rule="auto"/>
        <w:ind w:firstLine="540"/>
        <w:jc w:val="both"/>
      </w:pPr>
      <w:r>
        <w:rPr>
          <w:sz w:val="20"/>
        </w:rPr>
        <w:t xml:space="preserve">формирование комплекса инновационной инфраструктуры (технопарк, инжиниринговый центр);</w:t>
      </w:r>
    </w:p>
    <w:p>
      <w:pPr>
        <w:pStyle w:val="0"/>
        <w:spacing w:before="200" w:line-rule="auto"/>
        <w:ind w:firstLine="540"/>
        <w:jc w:val="both"/>
      </w:pPr>
      <w:r>
        <w:rPr>
          <w:sz w:val="20"/>
        </w:rPr>
        <w:t xml:space="preserve">внедрение программ дуального образования, обеспечение взаимодействия вузов Курской области и промышленных предприятий.</w:t>
      </w:r>
    </w:p>
    <w:p>
      <w:pPr>
        <w:pStyle w:val="0"/>
        <w:spacing w:before="200" w:line-rule="auto"/>
        <w:ind w:firstLine="540"/>
        <w:jc w:val="both"/>
      </w:pPr>
      <w:r>
        <w:rPr>
          <w:sz w:val="20"/>
        </w:rPr>
        <w:t xml:space="preserve">Задача - стимулирование гражданской диверсификации промышленных предприятий оборонно-промышленного комплекса (ОПК), активизация процессов разработки и внедрения новых технологий и продуктов, использование полного спектра инструментов поддержки федеральных органов власти, способствующих конверсии предприятий ОПК.</w:t>
      </w:r>
    </w:p>
    <w:p>
      <w:pPr>
        <w:pStyle w:val="0"/>
        <w:spacing w:before="200" w:line-rule="auto"/>
        <w:ind w:firstLine="540"/>
        <w:jc w:val="both"/>
      </w:pPr>
      <w:r>
        <w:rPr>
          <w:sz w:val="20"/>
        </w:rPr>
        <w:t xml:space="preserve">На территории Курской области осуществляют хозяйственную деятельность АО "Авиаавтоматика" им. В.В. Тарасова", Курский завод "Маяк" - филиал АО "ННПО им. М.В. Фрунзе".</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содействие в привлечение инвестиций предприятиями оборонно-промышленного комплекса в диверсификацию производства; активное участие в инициативах федеральных органов власти;</w:t>
      </w:r>
    </w:p>
    <w:p>
      <w:pPr>
        <w:pStyle w:val="0"/>
        <w:spacing w:before="200" w:line-rule="auto"/>
        <w:ind w:firstLine="540"/>
        <w:jc w:val="both"/>
      </w:pPr>
      <w:r>
        <w:rPr>
          <w:sz w:val="20"/>
        </w:rPr>
        <w:t xml:space="preserve">финансирование диверсификационных проектов, содействие в организации трансфера перспективных технологий оборонных предприятий в гражданские сегменты и продвижение высокотехнологичной гражданской продукции на рынках;</w:t>
      </w:r>
    </w:p>
    <w:p>
      <w:pPr>
        <w:pStyle w:val="0"/>
        <w:spacing w:before="200" w:line-rule="auto"/>
        <w:ind w:firstLine="540"/>
        <w:jc w:val="both"/>
      </w:pPr>
      <w:r>
        <w:rPr>
          <w:sz w:val="20"/>
        </w:rPr>
        <w:t xml:space="preserve">разработка косвенных мер региональной поддержки по созданию инновационной системы, планирования и финансирования разработок, поддержки трансфера и коммерциализации технологий;</w:t>
      </w:r>
    </w:p>
    <w:p>
      <w:pPr>
        <w:pStyle w:val="0"/>
        <w:spacing w:before="200" w:line-rule="auto"/>
        <w:ind w:firstLine="540"/>
        <w:jc w:val="both"/>
      </w:pPr>
      <w:r>
        <w:rPr>
          <w:sz w:val="20"/>
        </w:rPr>
        <w:t xml:space="preserve">создание условий для предприятий, выполняющих гособоронзаказ, для включения в кластер "машиностроение";</w:t>
      </w:r>
    </w:p>
    <w:p>
      <w:pPr>
        <w:pStyle w:val="0"/>
        <w:spacing w:before="200" w:line-rule="auto"/>
        <w:ind w:firstLine="540"/>
        <w:jc w:val="both"/>
      </w:pPr>
      <w:r>
        <w:rPr>
          <w:sz w:val="20"/>
        </w:rPr>
        <w:t xml:space="preserve">усиление кооперационных связей между предприятиями и субъектами рынка, обеспечивающими гибкую систему разработки новых видов продукции: дизайн-центры (организации, специализирующиеся на разработке продукции и ее дальнейшему продвижению на основе системы лицензирования); контрактные производители; контрактные сборщики и тестировщики готовой продукции; сервисные компании; организации, контролирующие ключевые бизнес-процессы;</w:t>
      </w:r>
    </w:p>
    <w:p>
      <w:pPr>
        <w:pStyle w:val="0"/>
        <w:spacing w:before="200" w:line-rule="auto"/>
        <w:ind w:firstLine="540"/>
        <w:jc w:val="both"/>
      </w:pPr>
      <w:r>
        <w:rPr>
          <w:sz w:val="20"/>
        </w:rPr>
        <w:t xml:space="preserve">содействие разработке и внедрению образовательных программ для студентов вузов и ссузов совместно с предприятиями оборонно-промышленного комплекса в целях их соответствия современным потребностям и требованиям высокотехнологичных производств, тенденциям рынка;</w:t>
      </w:r>
    </w:p>
    <w:p>
      <w:pPr>
        <w:pStyle w:val="0"/>
        <w:spacing w:before="200" w:line-rule="auto"/>
        <w:ind w:firstLine="540"/>
        <w:jc w:val="both"/>
      </w:pPr>
      <w:r>
        <w:rPr>
          <w:sz w:val="20"/>
        </w:rPr>
        <w:t xml:space="preserve">создание и внедрение эффективной системы повышения квалификации и переподготовки рабочих, научных, инженерных и управленческих кадров.</w:t>
      </w:r>
    </w:p>
    <w:p>
      <w:pPr>
        <w:pStyle w:val="0"/>
        <w:jc w:val="both"/>
      </w:pPr>
      <w:r>
        <w:rPr>
          <w:sz w:val="20"/>
        </w:rPr>
      </w:r>
    </w:p>
    <w:p>
      <w:pPr>
        <w:pStyle w:val="2"/>
        <w:outlineLvl w:val="2"/>
        <w:ind w:firstLine="540"/>
        <w:jc w:val="both"/>
      </w:pPr>
      <w:r>
        <w:rPr>
          <w:sz w:val="20"/>
        </w:rPr>
        <w:t xml:space="preserve">5.4. Фармацевтика и медицинские изделия</w:t>
      </w:r>
    </w:p>
    <w:p>
      <w:pPr>
        <w:pStyle w:val="0"/>
        <w:jc w:val="both"/>
      </w:pPr>
      <w:r>
        <w:rPr>
          <w:sz w:val="20"/>
        </w:rPr>
      </w:r>
    </w:p>
    <w:p>
      <w:pPr>
        <w:pStyle w:val="0"/>
        <w:ind w:firstLine="540"/>
        <w:jc w:val="both"/>
      </w:pPr>
      <w:r>
        <w:rPr>
          <w:sz w:val="20"/>
        </w:rPr>
        <w:t xml:space="preserve">Крупнейшее предприятие отрасли фармацевтики - ОАО "Фармстандарт-Лексредства", занимающее 3-е место в регионе по объемам выпуска после МГОКа и КАЭС. На предприятии реализуется крупный проект по организации производства пульмопорошков, что позволит ему занять ведущее место в России по производству препаратов для лечения обструктивных заболеваний дыхательных путей. В регионе действует ООО "Эскулап", специализирующееся на производстве расходных медицинских материалов.</w:t>
      </w:r>
    </w:p>
    <w:p>
      <w:pPr>
        <w:pStyle w:val="0"/>
        <w:spacing w:before="200" w:line-rule="auto"/>
        <w:ind w:firstLine="540"/>
        <w:jc w:val="both"/>
      </w:pPr>
      <w:r>
        <w:rPr>
          <w:sz w:val="20"/>
        </w:rPr>
        <w:t xml:space="preserve">Ключевые производственные площадки отрасли сосредоточены в г. Курске.</w:t>
      </w:r>
    </w:p>
    <w:p>
      <w:pPr>
        <w:pStyle w:val="0"/>
        <w:spacing w:before="200" w:line-rule="auto"/>
        <w:ind w:firstLine="540"/>
        <w:jc w:val="both"/>
      </w:pPr>
      <w:r>
        <w:rPr>
          <w:sz w:val="20"/>
        </w:rPr>
        <w:t xml:space="preserve">Основными инвестиционными проектами являются:</w:t>
      </w:r>
    </w:p>
    <w:p>
      <w:pPr>
        <w:pStyle w:val="0"/>
        <w:spacing w:before="200" w:line-rule="auto"/>
        <w:ind w:firstLine="540"/>
        <w:jc w:val="both"/>
      </w:pPr>
      <w:r>
        <w:rPr>
          <w:sz w:val="20"/>
        </w:rPr>
        <w:t xml:space="preserve">ряд инвестиционных проектов ОАО "Фармстандарт-Лексредства" (г. Курск, 1,4 млрд. рублей, 2020 - 2022 гг.);</w:t>
      </w:r>
    </w:p>
    <w:p>
      <w:pPr>
        <w:pStyle w:val="0"/>
        <w:spacing w:before="200" w:line-rule="auto"/>
        <w:ind w:firstLine="540"/>
        <w:jc w:val="both"/>
      </w:pPr>
      <w:r>
        <w:rPr>
          <w:sz w:val="20"/>
        </w:rPr>
        <w:t xml:space="preserve">освоение производства новых медицинских изделий - ООО "Эскулап" (г. Курск, 1,5 млрд. рублей, 2015 - 2020 гг.).</w:t>
      </w:r>
    </w:p>
    <w:p>
      <w:pPr>
        <w:pStyle w:val="0"/>
        <w:spacing w:before="200" w:line-rule="auto"/>
        <w:ind w:firstLine="540"/>
        <w:jc w:val="both"/>
      </w:pPr>
      <w:r>
        <w:rPr>
          <w:sz w:val="20"/>
        </w:rPr>
        <w:t xml:space="preserve">Задача - формирование конкурентоспособной фармацевтической отрасли и отрасли по производству медицинских изделий, увеличение объемов производства на существующих предприятиях.</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привлечение инвестиций в отрасль фармацевтики и медицинских изделий, создание новых инвестиционных площадок, учитывающих необходимые стандарты для размещения фармацевтических производств;</w:t>
      </w:r>
    </w:p>
    <w:p>
      <w:pPr>
        <w:pStyle w:val="0"/>
        <w:spacing w:before="200" w:line-rule="auto"/>
        <w:ind w:firstLine="540"/>
        <w:jc w:val="both"/>
      </w:pPr>
      <w:r>
        <w:rPr>
          <w:sz w:val="20"/>
        </w:rPr>
        <w:t xml:space="preserve">запуск программ дуального образования вузов совместно с фармацевтическими компаниями Курской области;</w:t>
      </w:r>
    </w:p>
    <w:p>
      <w:pPr>
        <w:pStyle w:val="0"/>
        <w:spacing w:before="200" w:line-rule="auto"/>
        <w:ind w:firstLine="540"/>
        <w:jc w:val="both"/>
      </w:pPr>
      <w:r>
        <w:rPr>
          <w:sz w:val="20"/>
        </w:rPr>
        <w:t xml:space="preserve">создание пояса малых инновационных предприятий вокруг крупных фармацевтических производств;</w:t>
      </w:r>
    </w:p>
    <w:p>
      <w:pPr>
        <w:pStyle w:val="0"/>
        <w:spacing w:before="200" w:line-rule="auto"/>
        <w:ind w:firstLine="540"/>
        <w:jc w:val="both"/>
      </w:pPr>
      <w:r>
        <w:rPr>
          <w:sz w:val="20"/>
        </w:rPr>
        <w:t xml:space="preserve">выход с инициативой на федеральный уровень с предложением о создании упрощенного режима поставки субстанций для фармацевтических производств из-за рубежа;</w:t>
      </w:r>
    </w:p>
    <w:p>
      <w:pPr>
        <w:pStyle w:val="0"/>
        <w:spacing w:before="200" w:line-rule="auto"/>
        <w:ind w:firstLine="540"/>
        <w:jc w:val="both"/>
      </w:pPr>
      <w:r>
        <w:rPr>
          <w:sz w:val="20"/>
        </w:rPr>
        <w:t xml:space="preserve">по мере привлечения инвестиций и запуска новых производств к 2030 году - создание фармацевтического кластера.</w:t>
      </w:r>
    </w:p>
    <w:p>
      <w:pPr>
        <w:pStyle w:val="0"/>
        <w:spacing w:before="200" w:line-rule="auto"/>
        <w:ind w:firstLine="540"/>
        <w:jc w:val="both"/>
      </w:pPr>
      <w:r>
        <w:rPr>
          <w:sz w:val="20"/>
        </w:rPr>
        <w:t xml:space="preserve">Задача - стимулирование развития медицинского туризма региона для обслуживания жителей Центральной России.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развитие интеграции здравоохранения, образования, физической культуры и спорта, туристической отрасли;</w:t>
      </w:r>
    </w:p>
    <w:p>
      <w:pPr>
        <w:pStyle w:val="0"/>
        <w:spacing w:before="200" w:line-rule="auto"/>
        <w:ind w:firstLine="540"/>
        <w:jc w:val="both"/>
      </w:pPr>
      <w:r>
        <w:rPr>
          <w:sz w:val="20"/>
        </w:rPr>
        <w:t xml:space="preserve">разработка проекта развития медицинского туризма, формирование кооперации всех заинтересованных участников;</w:t>
      </w:r>
    </w:p>
    <w:p>
      <w:pPr>
        <w:pStyle w:val="0"/>
        <w:spacing w:before="200" w:line-rule="auto"/>
        <w:ind w:firstLine="540"/>
        <w:jc w:val="both"/>
      </w:pPr>
      <w:r>
        <w:rPr>
          <w:sz w:val="20"/>
        </w:rPr>
        <w:t xml:space="preserve">привлечение инвестиций в развитие инфраструктуры медицинского туризма;</w:t>
      </w:r>
    </w:p>
    <w:p>
      <w:pPr>
        <w:pStyle w:val="0"/>
        <w:spacing w:before="200" w:line-rule="auto"/>
        <w:ind w:firstLine="540"/>
        <w:jc w:val="both"/>
      </w:pPr>
      <w:r>
        <w:rPr>
          <w:sz w:val="20"/>
        </w:rPr>
        <w:t xml:space="preserve">информационная поддержка проекта.</w:t>
      </w:r>
    </w:p>
    <w:p>
      <w:pPr>
        <w:pStyle w:val="0"/>
        <w:jc w:val="both"/>
      </w:pPr>
      <w:r>
        <w:rPr>
          <w:sz w:val="20"/>
        </w:rPr>
      </w:r>
    </w:p>
    <w:p>
      <w:pPr>
        <w:pStyle w:val="2"/>
        <w:outlineLvl w:val="2"/>
        <w:ind w:firstLine="540"/>
        <w:jc w:val="both"/>
      </w:pPr>
      <w:r>
        <w:rPr>
          <w:sz w:val="20"/>
        </w:rPr>
        <w:t xml:space="preserve">5.5. Химическая промышленность высоких переделов</w:t>
      </w:r>
    </w:p>
    <w:p>
      <w:pPr>
        <w:pStyle w:val="0"/>
        <w:jc w:val="both"/>
      </w:pPr>
      <w:r>
        <w:rPr>
          <w:sz w:val="20"/>
        </w:rPr>
      </w:r>
    </w:p>
    <w:p>
      <w:pPr>
        <w:pStyle w:val="0"/>
        <w:ind w:firstLine="540"/>
        <w:jc w:val="both"/>
      </w:pPr>
      <w:r>
        <w:rPr>
          <w:sz w:val="20"/>
        </w:rPr>
        <w:t xml:space="preserve">Химическая промышленность во многом определяет производственную специализацию Курской области, ориентируясь на производство, в частности, резинотехнических изделий, лакокрасочной продукции, синтетических волокон и ряда других видов продукции. Ведущими предприятиями отрасли являются ОАО "Курскрезинотехника" - основной производитель резинотканевых и резинотросовых конвейерных лент, рукавов высокого давления, формовых и неформовых резинотехнических изделий различного назначения, Курский филиал ООО "Биаксплен", выпускающий полипропиленовую пленку для упаковки промышленных и пищевых товаров, ООО "Курскхимволокно", производящее синтетические волокна, нити текстильные, технические, ткани кордные капроновые.</w:t>
      </w:r>
    </w:p>
    <w:p>
      <w:pPr>
        <w:pStyle w:val="0"/>
        <w:spacing w:before="200" w:line-rule="auto"/>
        <w:ind w:firstLine="540"/>
        <w:jc w:val="both"/>
      </w:pPr>
      <w:r>
        <w:rPr>
          <w:sz w:val="20"/>
        </w:rPr>
        <w:t xml:space="preserve">Задача - обеспечение экологичности производства, внедрение технологий производства современных инновационных продуктов в химической промышленности Курской области.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решение проблем обеспечения химической промышленности Курской области необходимой инженерной инфраструктурой, включая транспортную;</w:t>
      </w:r>
    </w:p>
    <w:p>
      <w:pPr>
        <w:pStyle w:val="0"/>
        <w:spacing w:before="200" w:line-rule="auto"/>
        <w:ind w:firstLine="540"/>
        <w:jc w:val="both"/>
      </w:pPr>
      <w:r>
        <w:rPr>
          <w:sz w:val="20"/>
        </w:rPr>
        <w:t xml:space="preserve">внедрение технологий "зеленой" химии, внедрение наилучших доступных технологий, приоритетное обеспечение экологической безопасности на производствах;</w:t>
      </w:r>
    </w:p>
    <w:p>
      <w:pPr>
        <w:pStyle w:val="0"/>
        <w:spacing w:before="200" w:line-rule="auto"/>
        <w:ind w:firstLine="540"/>
        <w:jc w:val="both"/>
      </w:pPr>
      <w:r>
        <w:rPr>
          <w:sz w:val="20"/>
        </w:rPr>
        <w:t xml:space="preserve">участие предприятий в программах подготовки специалистов в вузах и ссузах Курской области, запуск дуальных программы образования;</w:t>
      </w:r>
    </w:p>
    <w:p>
      <w:pPr>
        <w:pStyle w:val="0"/>
        <w:spacing w:before="200" w:line-rule="auto"/>
        <w:ind w:firstLine="540"/>
        <w:jc w:val="both"/>
      </w:pPr>
      <w:r>
        <w:rPr>
          <w:sz w:val="20"/>
        </w:rPr>
        <w:t xml:space="preserve">создание управляющей компании кластера "Химическая промышленность высоких переделов", координационного совета, в который войдут представители фирм - участников кластера, органов исполнительной власти, образовательных и научных организаций;</w:t>
      </w:r>
    </w:p>
    <w:p>
      <w:pPr>
        <w:pStyle w:val="0"/>
        <w:spacing w:before="200" w:line-rule="auto"/>
        <w:ind w:firstLine="540"/>
        <w:jc w:val="both"/>
      </w:pPr>
      <w:r>
        <w:rPr>
          <w:sz w:val="20"/>
        </w:rPr>
        <w:t xml:space="preserve">формирование сетей взаимодействия крупных и средних предприятий химической промышленности друг с другом, вузами и малыми инновационными компаниями в рамках программ развития кластера;</w:t>
      </w:r>
    </w:p>
    <w:p>
      <w:pPr>
        <w:pStyle w:val="0"/>
        <w:spacing w:before="200" w:line-rule="auto"/>
        <w:ind w:firstLine="540"/>
        <w:jc w:val="both"/>
      </w:pPr>
      <w:r>
        <w:rPr>
          <w:sz w:val="20"/>
        </w:rPr>
        <w:t xml:space="preserve">привлечение инвестиций в модернизацию основных фондов предприятий, внедрение новых технологий, продуктовых и процессных инноваций, в том числе содействие в реализации проектов обеспечения сырьевой безопасности и независимости собственного производства продуктов отрасли высоких переделов.</w:t>
      </w:r>
    </w:p>
    <w:p>
      <w:pPr>
        <w:pStyle w:val="0"/>
        <w:jc w:val="both"/>
      </w:pPr>
      <w:r>
        <w:rPr>
          <w:sz w:val="20"/>
        </w:rPr>
      </w:r>
    </w:p>
    <w:p>
      <w:pPr>
        <w:pStyle w:val="2"/>
        <w:outlineLvl w:val="2"/>
        <w:ind w:firstLine="540"/>
        <w:jc w:val="both"/>
      </w:pPr>
      <w:r>
        <w:rPr>
          <w:sz w:val="20"/>
        </w:rPr>
        <w:t xml:space="preserve">5.6. Промышленность строительных материалов</w:t>
      </w:r>
    </w:p>
    <w:p>
      <w:pPr>
        <w:pStyle w:val="0"/>
        <w:jc w:val="both"/>
      </w:pPr>
      <w:r>
        <w:rPr>
          <w:sz w:val="20"/>
        </w:rPr>
      </w:r>
    </w:p>
    <w:p>
      <w:pPr>
        <w:pStyle w:val="0"/>
        <w:ind w:firstLine="540"/>
        <w:jc w:val="both"/>
      </w:pPr>
      <w:r>
        <w:rPr>
          <w:sz w:val="20"/>
        </w:rPr>
        <w:t xml:space="preserve">Задача - развитие производств глубокой переработки в области промышленности строительных материалов.</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стимулирование производства экологически чистых строительных материалов;</w:t>
      </w:r>
    </w:p>
    <w:p>
      <w:pPr>
        <w:pStyle w:val="0"/>
        <w:spacing w:before="200" w:line-rule="auto"/>
        <w:ind w:firstLine="540"/>
        <w:jc w:val="both"/>
      </w:pPr>
      <w:r>
        <w:rPr>
          <w:sz w:val="20"/>
        </w:rPr>
        <w:t xml:space="preserve">повышение глубины переработки в области промышленности строительных материалов, ориентация на производство продуктов с высокой добавленной стоимостью;</w:t>
      </w:r>
    </w:p>
    <w:p>
      <w:pPr>
        <w:pStyle w:val="0"/>
        <w:spacing w:before="200" w:line-rule="auto"/>
        <w:ind w:firstLine="540"/>
        <w:jc w:val="both"/>
      </w:pPr>
      <w:r>
        <w:rPr>
          <w:sz w:val="20"/>
        </w:rPr>
        <w:t xml:space="preserve">привлечение инвестиций в отрасль производства строительных материалов;</w:t>
      </w:r>
    </w:p>
    <w:p>
      <w:pPr>
        <w:pStyle w:val="0"/>
        <w:spacing w:before="200" w:line-rule="auto"/>
        <w:ind w:firstLine="540"/>
        <w:jc w:val="both"/>
      </w:pPr>
      <w:r>
        <w:rPr>
          <w:sz w:val="20"/>
        </w:rPr>
        <w:t xml:space="preserve">снижение кадрового дефицита;</w:t>
      </w:r>
    </w:p>
    <w:p>
      <w:pPr>
        <w:pStyle w:val="0"/>
        <w:spacing w:before="200" w:line-rule="auto"/>
        <w:ind w:firstLine="540"/>
        <w:jc w:val="both"/>
      </w:pPr>
      <w:r>
        <w:rPr>
          <w:sz w:val="20"/>
        </w:rPr>
        <w:t xml:space="preserve">участие предприятий промышленности строительных материалов в государственных и муниципальных закупках Курской области;</w:t>
      </w:r>
    </w:p>
    <w:p>
      <w:pPr>
        <w:pStyle w:val="0"/>
        <w:spacing w:before="200" w:line-rule="auto"/>
        <w:ind w:firstLine="540"/>
        <w:jc w:val="both"/>
      </w:pPr>
      <w:r>
        <w:rPr>
          <w:sz w:val="20"/>
        </w:rPr>
        <w:t xml:space="preserve">ориентация на развитие производств глубокой переработки в области промышленности строительных материалов, реализация совместных научно-технических проектов в области производства строительных материалов с высокой добавленной стоимостью;</w:t>
      </w:r>
    </w:p>
    <w:p>
      <w:pPr>
        <w:pStyle w:val="0"/>
        <w:spacing w:before="200" w:line-rule="auto"/>
        <w:ind w:firstLine="540"/>
        <w:jc w:val="both"/>
      </w:pPr>
      <w:r>
        <w:rPr>
          <w:sz w:val="20"/>
        </w:rPr>
        <w:t xml:space="preserve">постепенный запрет использования экологически грязных строительных материалов при возведении, реконструкции и модернизации объектов капитального строительства в Курской области;</w:t>
      </w:r>
    </w:p>
    <w:p>
      <w:pPr>
        <w:pStyle w:val="0"/>
        <w:spacing w:before="200" w:line-rule="auto"/>
        <w:ind w:firstLine="540"/>
        <w:jc w:val="both"/>
      </w:pPr>
      <w:r>
        <w:rPr>
          <w:sz w:val="20"/>
        </w:rPr>
        <w:t xml:space="preserve">привлечение научно-образовательных организаций для решения задач промышленного комплекса, в том числе для решения задач обучения и развития рабочих и инженерных кадров, запуск программ дуального образования, обеспечение взаимодействия вузов и ссузов и промышленных предприятий;</w:t>
      </w:r>
    </w:p>
    <w:p>
      <w:pPr>
        <w:pStyle w:val="0"/>
        <w:spacing w:before="200" w:line-rule="auto"/>
        <w:ind w:firstLine="540"/>
        <w:jc w:val="both"/>
      </w:pPr>
      <w:r>
        <w:rPr>
          <w:sz w:val="20"/>
        </w:rPr>
        <w:t xml:space="preserve">обеспечение взаимодействия компаний комплекса с существующими профессиональными и отраслевыми объединениями и ассоциациями в Курской области;</w:t>
      </w:r>
    </w:p>
    <w:p>
      <w:pPr>
        <w:pStyle w:val="0"/>
        <w:spacing w:before="200" w:line-rule="auto"/>
        <w:ind w:firstLine="540"/>
        <w:jc w:val="both"/>
      </w:pPr>
      <w:r>
        <w:rPr>
          <w:sz w:val="20"/>
        </w:rPr>
        <w:t xml:space="preserve">развитие промышленной кооперации;</w:t>
      </w:r>
    </w:p>
    <w:p>
      <w:pPr>
        <w:pStyle w:val="0"/>
        <w:spacing w:before="200" w:line-rule="auto"/>
        <w:ind w:firstLine="540"/>
        <w:jc w:val="both"/>
      </w:pPr>
      <w:r>
        <w:rPr>
          <w:sz w:val="20"/>
        </w:rPr>
        <w:t xml:space="preserve">развитие предприятий строительной отрасли (ОАО "ЖБИ", ЗАО "Железногорский кирпичный завод", АО "Курской завод крупнопанельного домостроения им. А.Ф. Дериглазова") в целях повышения качественных характеристик выпускаемой продукции.</w:t>
      </w:r>
    </w:p>
    <w:p>
      <w:pPr>
        <w:pStyle w:val="0"/>
        <w:jc w:val="both"/>
      </w:pPr>
      <w:r>
        <w:rPr>
          <w:sz w:val="20"/>
        </w:rPr>
      </w:r>
    </w:p>
    <w:p>
      <w:pPr>
        <w:pStyle w:val="2"/>
        <w:outlineLvl w:val="2"/>
        <w:ind w:firstLine="540"/>
        <w:jc w:val="both"/>
      </w:pPr>
      <w:r>
        <w:rPr>
          <w:sz w:val="20"/>
        </w:rPr>
        <w:t xml:space="preserve">5.7. Развитие агропромышленного комплекса</w:t>
      </w:r>
    </w:p>
    <w:p>
      <w:pPr>
        <w:pStyle w:val="0"/>
        <w:jc w:val="both"/>
      </w:pPr>
      <w:r>
        <w:rPr>
          <w:sz w:val="20"/>
        </w:rPr>
      </w:r>
    </w:p>
    <w:p>
      <w:pPr>
        <w:pStyle w:val="0"/>
        <w:ind w:firstLine="540"/>
        <w:jc w:val="both"/>
      </w:pPr>
      <w:r>
        <w:rPr>
          <w:sz w:val="20"/>
        </w:rPr>
        <w:t xml:space="preserve">Курская область обладает уникальными конкурентными преимуществами в агропромышленном комплексе, входит в лидеры среди регионов Центрального Федерального округа по объемам сбора зерновых культур (2-е место), сахарной свеклы (2-е место), масличных культур (4-е место), производству скота и птицы (3-е место), производству молока (9-е место). Вклад сельскохозяйственного сектора, в структуре которого доминирует растениеводство (60%), в экономику области достигает 20%. Важное место в экономике региона занимает пищевая и перерабатывающая промышленность, в составе которой функционирует более 100 крупных и средних предприятий с общей численностью занятых около 20 тыс. человек.</w:t>
      </w:r>
    </w:p>
    <w:p>
      <w:pPr>
        <w:pStyle w:val="0"/>
        <w:spacing w:before="200" w:line-rule="auto"/>
        <w:ind w:firstLine="540"/>
        <w:jc w:val="both"/>
      </w:pPr>
      <w:r>
        <w:rPr>
          <w:sz w:val="20"/>
        </w:rPr>
        <w:t xml:space="preserve">История развития сельского хозяйства, отраслей пищевой промышленности и особенности их территориальной организации в Курской области позволяют выделить пять внутриобластных экономических районов: Северо-Западный, Центральный, Восточный, Южный, Юго-Западный.</w:t>
      </w:r>
    </w:p>
    <w:p>
      <w:pPr>
        <w:pStyle w:val="0"/>
        <w:spacing w:before="200" w:line-rule="auto"/>
        <w:ind w:firstLine="540"/>
        <w:jc w:val="both"/>
      </w:pPr>
      <w:r>
        <w:rPr>
          <w:sz w:val="20"/>
        </w:rPr>
        <w:t xml:space="preserve">Юго-Западный район объединяет Рыльский, Льговский, Суджанский, Кореневский, Глушковский муниципальные районы. В силу благоприятного экономико-географического положения район занимает ведущие позиции по производству пищевых продуктов. Специализация района определяется выращиванием зерновых культур, сахарной свеклы, картофеля, развитием молочно-мясного скотоводства и свиноводства. В пределах района сконцентрированы основные мощности сахарных заводов региона.</w:t>
      </w:r>
    </w:p>
    <w:p>
      <w:pPr>
        <w:pStyle w:val="0"/>
        <w:spacing w:before="200" w:line-rule="auto"/>
        <w:ind w:firstLine="540"/>
        <w:jc w:val="both"/>
      </w:pPr>
      <w:r>
        <w:rPr>
          <w:sz w:val="20"/>
        </w:rPr>
        <w:t xml:space="preserve">В Центральный район входят г. Курск, Курский, Курчатовский и Октябрьский районы. Он сформировался вокруг областного центра, основного потребителя продукции пищевой отрасли, главного "ядра". В сельском хозяйстве развито пригородное овощекартофелеводство, дополненное зерновым и свеклосахарным производством, скотоводство молочно-мясного направления, птицеводство, имеется незначительная доля свиноводства. Специализация района определяется самыми большими в области мощностями по переработке зерна: мукомольным, крупяным, ликероводочным, хлебопекарным, макаронным, комбикормовым, кондитерским производствами.</w:t>
      </w:r>
    </w:p>
    <w:p>
      <w:pPr>
        <w:pStyle w:val="0"/>
        <w:spacing w:before="200" w:line-rule="auto"/>
        <w:ind w:firstLine="540"/>
        <w:jc w:val="both"/>
      </w:pPr>
      <w:r>
        <w:rPr>
          <w:sz w:val="20"/>
        </w:rPr>
        <w:t xml:space="preserve">Восточный район объединяет 7 районов области: Щигровский, Черемисиновский, Советский, Касторенский, Тимский, Мантуровский, Горшеченский. Значимыми центрами переработки являются г. Щигры и п. Касторное. Экономико-географическое положение района определяется близостью к крупным центрам переработки соседних Воронежской и Белгородской областей. Сельскохозяйственная специализация района определяется как интенсивное растениеводство, развитое скотоводство молочно-мясного направления и свиноводство.</w:t>
      </w:r>
    </w:p>
    <w:p>
      <w:pPr>
        <w:pStyle w:val="0"/>
        <w:spacing w:before="200" w:line-rule="auto"/>
        <w:ind w:firstLine="540"/>
        <w:jc w:val="both"/>
      </w:pPr>
      <w:r>
        <w:rPr>
          <w:sz w:val="20"/>
        </w:rPr>
        <w:t xml:space="preserve">Северо-Западный район включает Дмитриевский, Хомутовский, Конышевский, Железногорский, Фатежский, Поныровский и Золотухинский районы. Занимая лидирующее положение в производстве скота и птицы на убой, Северо-Запад определяется как мясоперерабатывающий район. Важнейшими составляющими пищевой промышленности района являются также плодоовощеконсервная и сахарная отрасли.</w:t>
      </w:r>
    </w:p>
    <w:p>
      <w:pPr>
        <w:pStyle w:val="0"/>
        <w:spacing w:before="200" w:line-rule="auto"/>
        <w:ind w:firstLine="540"/>
        <w:jc w:val="both"/>
      </w:pPr>
      <w:r>
        <w:rPr>
          <w:sz w:val="20"/>
        </w:rPr>
        <w:t xml:space="preserve">Южный экономический район включает в себя 6 районов: Большесолдатский, Беловский, Медвенский, Обоянский, Солнцевский, Пристенский. В районе выращиваются зерновые культуры, сахарная свекла, картофель, развито свиноводство. Перерабатывающая промышленность относительно других районов развита слабо.</w:t>
      </w:r>
    </w:p>
    <w:p>
      <w:pPr>
        <w:pStyle w:val="0"/>
        <w:spacing w:before="200" w:line-rule="auto"/>
        <w:ind w:firstLine="540"/>
        <w:jc w:val="both"/>
      </w:pPr>
      <w:r>
        <w:rPr>
          <w:sz w:val="20"/>
        </w:rPr>
        <w:t xml:space="preserve">Несмотря на существенные темпы роста агропромышленного комплекса Курской области, наблюдаются следующие проблемы:</w:t>
      </w:r>
    </w:p>
    <w:p>
      <w:pPr>
        <w:pStyle w:val="0"/>
        <w:spacing w:before="200" w:line-rule="auto"/>
        <w:ind w:firstLine="540"/>
        <w:jc w:val="both"/>
      </w:pPr>
      <w:r>
        <w:rPr>
          <w:sz w:val="20"/>
        </w:rPr>
        <w:t xml:space="preserve">износ основных производственных фондов предприятий АПК, низкие темпы обновления основных фондов за счет невысокой добавленной стоимости, создаваемой в отрасли;</w:t>
      </w:r>
    </w:p>
    <w:p>
      <w:pPr>
        <w:pStyle w:val="0"/>
        <w:spacing w:before="200" w:line-rule="auto"/>
        <w:ind w:firstLine="540"/>
        <w:jc w:val="both"/>
      </w:pPr>
      <w:r>
        <w:rPr>
          <w:sz w:val="20"/>
        </w:rPr>
        <w:t xml:space="preserve">недостаточная глубина и комплексность переработки сельскохозяйственного сырья;</w:t>
      </w:r>
    </w:p>
    <w:p>
      <w:pPr>
        <w:pStyle w:val="0"/>
        <w:spacing w:before="200" w:line-rule="auto"/>
        <w:ind w:firstLine="540"/>
        <w:jc w:val="both"/>
      </w:pPr>
      <w:r>
        <w:rPr>
          <w:sz w:val="20"/>
        </w:rPr>
        <w:t xml:space="preserve">проблемы доступа производителей к рынкам сбыта, в том числе за счет монополизации торговых сетей;</w:t>
      </w:r>
    </w:p>
    <w:p>
      <w:pPr>
        <w:pStyle w:val="0"/>
        <w:spacing w:before="200" w:line-rule="auto"/>
        <w:ind w:firstLine="540"/>
        <w:jc w:val="both"/>
      </w:pPr>
      <w:r>
        <w:rPr>
          <w:sz w:val="20"/>
        </w:rPr>
        <w:t xml:space="preserve">кадровый дефицит, усугубляемый сложной социально-экономической ситуацией на селе;</w:t>
      </w:r>
    </w:p>
    <w:p>
      <w:pPr>
        <w:pStyle w:val="0"/>
        <w:spacing w:before="200" w:line-rule="auto"/>
        <w:ind w:firstLine="540"/>
        <w:jc w:val="both"/>
      </w:pPr>
      <w:r>
        <w:rPr>
          <w:sz w:val="20"/>
        </w:rPr>
        <w:t xml:space="preserve">недостаточный уровень развития НИОКР и селекционной деятельности.</w:t>
      </w:r>
    </w:p>
    <w:p>
      <w:pPr>
        <w:pStyle w:val="0"/>
        <w:spacing w:before="200" w:line-rule="auto"/>
        <w:ind w:firstLine="540"/>
        <w:jc w:val="both"/>
      </w:pPr>
      <w:r>
        <w:rPr>
          <w:sz w:val="20"/>
        </w:rPr>
        <w:t xml:space="preserve">Задача - внедрение современных инновационных технологий ведения сельского хозяйства для повышения экономической эффективности деятельности сельскохозяйственных предприятий, освоения новых рынков и производства экологически чистой продукции, нивелирование возможных последствий изменения климата для обеспечения устойчивости урожаев.</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обеспечение внесения минеральных удобрений на планируемую урожайность с учетом результатов агрохимических анализов почв; применение макро- и микроудобрений, расширение применения интенсивных технологий возделывания сельскохозяйственных культур;</w:t>
      </w:r>
    </w:p>
    <w:p>
      <w:pPr>
        <w:pStyle w:val="0"/>
        <w:spacing w:before="200" w:line-rule="auto"/>
        <w:ind w:firstLine="540"/>
        <w:jc w:val="both"/>
      </w:pPr>
      <w:r>
        <w:rPr>
          <w:sz w:val="20"/>
        </w:rPr>
        <w:t xml:space="preserve">освоение интенсивных технологий, базирующихся на новом поколении тракторов и сельскохозяйственных машин, осуществление перехода на посев семян перспективных сельскохозяйственных сортов и гибридов;</w:t>
      </w:r>
    </w:p>
    <w:p>
      <w:pPr>
        <w:pStyle w:val="0"/>
        <w:spacing w:before="200" w:line-rule="auto"/>
        <w:ind w:firstLine="540"/>
        <w:jc w:val="both"/>
      </w:pPr>
      <w:r>
        <w:rPr>
          <w:sz w:val="20"/>
        </w:rPr>
        <w:t xml:space="preserve">расширение посевных площадей под кукурузу, полевого и лугового травосеяния;</w:t>
      </w:r>
    </w:p>
    <w:p>
      <w:pPr>
        <w:pStyle w:val="0"/>
        <w:spacing w:before="200" w:line-rule="auto"/>
        <w:ind w:firstLine="540"/>
        <w:jc w:val="both"/>
      </w:pPr>
      <w:r>
        <w:rPr>
          <w:sz w:val="20"/>
        </w:rPr>
        <w:t xml:space="preserve">увеличение объемов культуртехнических работ с последующим залужением многолетними травами;</w:t>
      </w:r>
    </w:p>
    <w:p>
      <w:pPr>
        <w:pStyle w:val="0"/>
        <w:spacing w:before="200" w:line-rule="auto"/>
        <w:ind w:firstLine="540"/>
        <w:jc w:val="both"/>
      </w:pPr>
      <w:r>
        <w:rPr>
          <w:sz w:val="20"/>
        </w:rPr>
        <w:t xml:space="preserve">внедрение технологий плющения влажного зерна;</w:t>
      </w:r>
    </w:p>
    <w:p>
      <w:pPr>
        <w:pStyle w:val="0"/>
        <w:spacing w:before="200" w:line-rule="auto"/>
        <w:ind w:firstLine="540"/>
        <w:jc w:val="both"/>
      </w:pPr>
      <w:r>
        <w:rPr>
          <w:sz w:val="20"/>
        </w:rPr>
        <w:t xml:space="preserve">совершенствование системы семеноводства, повышение урожайности различных культур путем:</w:t>
      </w:r>
    </w:p>
    <w:p>
      <w:pPr>
        <w:pStyle w:val="0"/>
        <w:spacing w:before="200" w:line-rule="auto"/>
        <w:ind w:firstLine="540"/>
        <w:jc w:val="both"/>
      </w:pPr>
      <w:r>
        <w:rPr>
          <w:sz w:val="20"/>
        </w:rPr>
        <w:t xml:space="preserve">- увеличения площади, засеваемой элитными семенами;</w:t>
      </w:r>
    </w:p>
    <w:p>
      <w:pPr>
        <w:pStyle w:val="0"/>
        <w:spacing w:before="200" w:line-rule="auto"/>
        <w:ind w:firstLine="540"/>
        <w:jc w:val="both"/>
      </w:pPr>
      <w:r>
        <w:rPr>
          <w:sz w:val="20"/>
        </w:rPr>
        <w:t xml:space="preserve">- увеличения производства элитных семян для целей сортосмены и сортообновления, улучшения сортовых и посевных качеств семенных фондов;</w:t>
      </w:r>
    </w:p>
    <w:p>
      <w:pPr>
        <w:pStyle w:val="0"/>
        <w:spacing w:before="200" w:line-rule="auto"/>
        <w:ind w:firstLine="540"/>
        <w:jc w:val="both"/>
      </w:pPr>
      <w:r>
        <w:rPr>
          <w:sz w:val="20"/>
        </w:rPr>
        <w:t xml:space="preserve">- увеличения производства семян многолетних трав;</w:t>
      </w:r>
    </w:p>
    <w:p>
      <w:pPr>
        <w:pStyle w:val="0"/>
        <w:spacing w:before="200" w:line-rule="auto"/>
        <w:ind w:firstLine="540"/>
        <w:jc w:val="both"/>
      </w:pPr>
      <w:r>
        <w:rPr>
          <w:sz w:val="20"/>
        </w:rPr>
        <w:t xml:space="preserve">- увеличения площадей посевов интенсивных и высокоурожайных сортов;</w:t>
      </w:r>
    </w:p>
    <w:p>
      <w:pPr>
        <w:pStyle w:val="0"/>
        <w:spacing w:before="200" w:line-rule="auto"/>
        <w:ind w:firstLine="540"/>
        <w:jc w:val="both"/>
      </w:pPr>
      <w:r>
        <w:rPr>
          <w:sz w:val="20"/>
        </w:rPr>
        <w:t xml:space="preserve">- развития и поддержки специализированных хозяйств по производству семенного материала;</w:t>
      </w:r>
    </w:p>
    <w:p>
      <w:pPr>
        <w:pStyle w:val="0"/>
        <w:spacing w:before="200" w:line-rule="auto"/>
        <w:ind w:firstLine="540"/>
        <w:jc w:val="both"/>
      </w:pPr>
      <w:r>
        <w:rPr>
          <w:sz w:val="20"/>
        </w:rPr>
        <w:t xml:space="preserve">- обеспечения личных подсобных хозяйств высококачественным посадочным материалом высоких репродукций;</w:t>
      </w:r>
    </w:p>
    <w:p>
      <w:pPr>
        <w:pStyle w:val="0"/>
        <w:spacing w:before="200" w:line-rule="auto"/>
        <w:ind w:firstLine="540"/>
        <w:jc w:val="both"/>
      </w:pPr>
      <w:r>
        <w:rPr>
          <w:sz w:val="20"/>
        </w:rPr>
        <w:t xml:space="preserve">- создания селекционно-генетического центра по воспроизводству крупного рогатого скота молочных и мясных коров;</w:t>
      </w:r>
    </w:p>
    <w:p>
      <w:pPr>
        <w:pStyle w:val="0"/>
        <w:spacing w:before="200" w:line-rule="auto"/>
        <w:ind w:firstLine="540"/>
        <w:jc w:val="both"/>
      </w:pPr>
      <w:r>
        <w:rPr>
          <w:sz w:val="20"/>
        </w:rPr>
        <w:t xml:space="preserve">- создания сети агротехнопарков на базе вузов Курской области;</w:t>
      </w:r>
    </w:p>
    <w:p>
      <w:pPr>
        <w:pStyle w:val="0"/>
        <w:spacing w:before="200" w:line-rule="auto"/>
        <w:ind w:firstLine="540"/>
        <w:jc w:val="both"/>
      </w:pPr>
      <w:r>
        <w:rPr>
          <w:sz w:val="20"/>
        </w:rPr>
        <w:t xml:space="preserve">кадровое обеспечение развитие агропромышленного комплекса:</w:t>
      </w:r>
    </w:p>
    <w:p>
      <w:pPr>
        <w:pStyle w:val="0"/>
        <w:spacing w:before="200" w:line-rule="auto"/>
        <w:ind w:firstLine="540"/>
        <w:jc w:val="both"/>
      </w:pPr>
      <w:r>
        <w:rPr>
          <w:sz w:val="20"/>
        </w:rPr>
        <w:t xml:space="preserve">- возмещение части затрат сельскохозяйственных товаропроизводителей на поддержку молодых специалистов и квалифицированных рабочих и возмещение затрат по привлечению к производственному процессу студентов образовательных организаций сельскохозяйственного профиля при прохождении производственной практики в качестве трактористов-машинистов сельскохозяйственного производства;</w:t>
      </w:r>
    </w:p>
    <w:p>
      <w:pPr>
        <w:pStyle w:val="0"/>
        <w:spacing w:before="200" w:line-rule="auto"/>
        <w:ind w:firstLine="540"/>
        <w:jc w:val="both"/>
      </w:pPr>
      <w:r>
        <w:rPr>
          <w:sz w:val="20"/>
        </w:rPr>
        <w:t xml:space="preserve">- обеспечение стажировок и курсов повышения квалификации для руководителей и специалистов в агропромышленном комплексе Курской области;</w:t>
      </w:r>
    </w:p>
    <w:p>
      <w:pPr>
        <w:pStyle w:val="0"/>
        <w:spacing w:before="200" w:line-rule="auto"/>
        <w:ind w:firstLine="540"/>
        <w:jc w:val="both"/>
      </w:pPr>
      <w:r>
        <w:rPr>
          <w:sz w:val="20"/>
        </w:rPr>
        <w:t xml:space="preserve">внедрение технологий "умного" АПК:</w:t>
      </w:r>
    </w:p>
    <w:p>
      <w:pPr>
        <w:pStyle w:val="0"/>
        <w:spacing w:before="200" w:line-rule="auto"/>
        <w:ind w:firstLine="540"/>
        <w:jc w:val="both"/>
      </w:pPr>
      <w:r>
        <w:rPr>
          <w:sz w:val="20"/>
        </w:rPr>
        <w:t xml:space="preserve">- расширение мер поддержки по обновлению парка техники и оборудования для производителей всех категорий хозяйств;</w:t>
      </w:r>
    </w:p>
    <w:p>
      <w:pPr>
        <w:pStyle w:val="0"/>
        <w:spacing w:before="200" w:line-rule="auto"/>
        <w:ind w:firstLine="540"/>
        <w:jc w:val="both"/>
      </w:pPr>
      <w:r>
        <w:rPr>
          <w:sz w:val="20"/>
        </w:rPr>
        <w:t xml:space="preserve">- поддержка разработки и внедрения инновационных технологических решений в сельском хозяйстве;</w:t>
      </w:r>
    </w:p>
    <w:p>
      <w:pPr>
        <w:pStyle w:val="0"/>
        <w:spacing w:before="200" w:line-rule="auto"/>
        <w:ind w:firstLine="540"/>
        <w:jc w:val="both"/>
      </w:pPr>
      <w:r>
        <w:rPr>
          <w:sz w:val="20"/>
        </w:rPr>
        <w:t xml:space="preserve">- внедрение прогрессивных влаго- и энергосберегающих агротехнологий и использование высокотехнологичных комплексов сельскохозяйственной техники;</w:t>
      </w:r>
    </w:p>
    <w:p>
      <w:pPr>
        <w:pStyle w:val="0"/>
        <w:spacing w:before="200" w:line-rule="auto"/>
        <w:ind w:firstLine="540"/>
        <w:jc w:val="both"/>
      </w:pPr>
      <w:r>
        <w:rPr>
          <w:sz w:val="20"/>
        </w:rPr>
        <w:t xml:space="preserve">- внедрение технологий очистки сточных вод для нужд сельского хозяйства;</w:t>
      </w:r>
    </w:p>
    <w:p>
      <w:pPr>
        <w:pStyle w:val="0"/>
        <w:spacing w:before="200" w:line-rule="auto"/>
        <w:ind w:firstLine="540"/>
        <w:jc w:val="both"/>
      </w:pPr>
      <w:r>
        <w:rPr>
          <w:sz w:val="20"/>
        </w:rPr>
        <w:t xml:space="preserve">- развитие точного земледелия и цифровизации в аграрном производстве;</w:t>
      </w:r>
    </w:p>
    <w:p>
      <w:pPr>
        <w:pStyle w:val="0"/>
        <w:spacing w:before="200" w:line-rule="auto"/>
        <w:ind w:firstLine="540"/>
        <w:jc w:val="both"/>
      </w:pPr>
      <w:r>
        <w:rPr>
          <w:sz w:val="20"/>
        </w:rPr>
        <w:t xml:space="preserve">- предотвращение выбытия из сельскохозяйственного оборота земель сельскохозяйственного назначения, восстановление мелиоративного фонда.</w:t>
      </w:r>
    </w:p>
    <w:p>
      <w:pPr>
        <w:pStyle w:val="0"/>
        <w:spacing w:before="200" w:line-rule="auto"/>
        <w:ind w:firstLine="540"/>
        <w:jc w:val="both"/>
      </w:pPr>
      <w:r>
        <w:rPr>
          <w:sz w:val="20"/>
        </w:rPr>
        <w:t xml:space="preserve">Задача - развитие АПК региона в целях повышения конкурентоспособности производимой продукции, глубины переработки сельскохозяйственного сырья, усиления импортозамещения и выхода на новые товарные рынки.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развитие логистической и инженерной инфраструктуры АПК, создание региональной агрологистической сети (оптово-распределительные центры и современные специализированные хранилища);</w:t>
      </w:r>
    </w:p>
    <w:p>
      <w:pPr>
        <w:pStyle w:val="0"/>
        <w:spacing w:before="200" w:line-rule="auto"/>
        <w:ind w:firstLine="540"/>
        <w:jc w:val="both"/>
      </w:pPr>
      <w:r>
        <w:rPr>
          <w:sz w:val="20"/>
        </w:rPr>
        <w:t xml:space="preserve">сопровождение предприятий перерабатывающей промышленности по продвижению выпускаемой продукции в федеральные торговые сети и на региональные рынки сбыта соседних субъектов Российской Федерации;</w:t>
      </w:r>
    </w:p>
    <w:p>
      <w:pPr>
        <w:pStyle w:val="0"/>
        <w:spacing w:before="200" w:line-rule="auto"/>
        <w:ind w:firstLine="540"/>
        <w:jc w:val="both"/>
      </w:pPr>
      <w:r>
        <w:rPr>
          <w:sz w:val="20"/>
        </w:rPr>
        <w:t xml:space="preserve">развитие импортозамещающих подотраслей сельского хозяйства, включая овощеводство и плодоводство;</w:t>
      </w:r>
    </w:p>
    <w:p>
      <w:pPr>
        <w:pStyle w:val="0"/>
        <w:spacing w:before="200" w:line-rule="auto"/>
        <w:ind w:firstLine="540"/>
        <w:jc w:val="both"/>
      </w:pPr>
      <w:r>
        <w:rPr>
          <w:sz w:val="20"/>
        </w:rPr>
        <w:t xml:space="preserve">развитие и поддержка производства экологически чистой продукции;</w:t>
      </w:r>
    </w:p>
    <w:p>
      <w:pPr>
        <w:pStyle w:val="0"/>
        <w:spacing w:before="200" w:line-rule="auto"/>
        <w:ind w:firstLine="540"/>
        <w:jc w:val="both"/>
      </w:pPr>
      <w:r>
        <w:rPr>
          <w:sz w:val="20"/>
        </w:rPr>
        <w:t xml:space="preserve">содействие наращиванию экспорта сельскохозяйственной продукции, сырья и продовольствия;</w:t>
      </w:r>
    </w:p>
    <w:p>
      <w:pPr>
        <w:pStyle w:val="0"/>
        <w:spacing w:before="200" w:line-rule="auto"/>
        <w:ind w:firstLine="540"/>
        <w:jc w:val="both"/>
      </w:pPr>
      <w:r>
        <w:rPr>
          <w:sz w:val="20"/>
        </w:rPr>
        <w:t xml:space="preserve">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 по районам области;</w:t>
      </w:r>
    </w:p>
    <w:p>
      <w:pPr>
        <w:pStyle w:val="0"/>
        <w:spacing w:before="200" w:line-rule="auto"/>
        <w:ind w:firstLine="540"/>
        <w:jc w:val="both"/>
      </w:pPr>
      <w:r>
        <w:rPr>
          <w:sz w:val="20"/>
        </w:rPr>
        <w:t xml:space="preserve">поддержка малых форм хозяйствования:</w:t>
      </w:r>
    </w:p>
    <w:p>
      <w:pPr>
        <w:pStyle w:val="0"/>
        <w:spacing w:before="200" w:line-rule="auto"/>
        <w:ind w:firstLine="540"/>
        <w:jc w:val="both"/>
      </w:pPr>
      <w:r>
        <w:rPr>
          <w:sz w:val="20"/>
        </w:rPr>
        <w:t xml:space="preserve">- финансовая (гранты, единовременная помощь, субсидирование процентных ставок по кредитам и лизинговым платежам) и нефинансовая (консультационная, организационная, включая помощь начинающим фермерам в сбыте продукции и пр.), поддержка создания и развития крестьянских (фермерских) хозяйств, предприятий малого и среднего бизнеса в сфере переработки;</w:t>
      </w:r>
    </w:p>
    <w:p>
      <w:pPr>
        <w:pStyle w:val="0"/>
        <w:spacing w:before="200" w:line-rule="auto"/>
        <w:ind w:firstLine="540"/>
        <w:jc w:val="both"/>
      </w:pPr>
      <w:r>
        <w:rPr>
          <w:sz w:val="20"/>
        </w:rPr>
        <w:t xml:space="preserve">- повышение доступности регионального рынка сбыта для местных производителей качественной и экологически чистой продукции, в том числе за счет брендирования;</w:t>
      </w:r>
    </w:p>
    <w:p>
      <w:pPr>
        <w:pStyle w:val="0"/>
        <w:spacing w:before="200" w:line-rule="auto"/>
        <w:ind w:firstLine="540"/>
        <w:jc w:val="both"/>
      </w:pPr>
      <w:r>
        <w:rPr>
          <w:sz w:val="20"/>
        </w:rPr>
        <w:t xml:space="preserve">- развитие кооперации малых форм хозяйствования, в том числе развитие крестьянских (фермерских) хозяйств и сельскохозяйственных потребительских и сбытовых кооперативов;</w:t>
      </w:r>
    </w:p>
    <w:p>
      <w:pPr>
        <w:pStyle w:val="0"/>
        <w:spacing w:before="200" w:line-rule="auto"/>
        <w:ind w:firstLine="540"/>
        <w:jc w:val="both"/>
      </w:pPr>
      <w:r>
        <w:rPr>
          <w:sz w:val="20"/>
        </w:rPr>
        <w:t xml:space="preserve">- создание региональной площадки, содействующей обмену опытом между предпринимателями в сфере сельскохозяйственного производства, перерабатывающих предприятий.</w:t>
      </w:r>
    </w:p>
    <w:p>
      <w:pPr>
        <w:pStyle w:val="0"/>
        <w:jc w:val="both"/>
      </w:pPr>
      <w:r>
        <w:rPr>
          <w:sz w:val="20"/>
        </w:rPr>
      </w:r>
    </w:p>
    <w:p>
      <w:pPr>
        <w:pStyle w:val="2"/>
        <w:outlineLvl w:val="2"/>
        <w:ind w:firstLine="540"/>
        <w:jc w:val="both"/>
      </w:pPr>
      <w:r>
        <w:rPr>
          <w:sz w:val="20"/>
        </w:rPr>
        <w:t xml:space="preserve">5.8. Пищевая и перерабатывающая промышленность</w:t>
      </w:r>
    </w:p>
    <w:p>
      <w:pPr>
        <w:pStyle w:val="0"/>
        <w:jc w:val="both"/>
      </w:pPr>
      <w:r>
        <w:rPr>
          <w:sz w:val="20"/>
        </w:rPr>
      </w:r>
    </w:p>
    <w:p>
      <w:pPr>
        <w:pStyle w:val="0"/>
        <w:ind w:firstLine="540"/>
        <w:jc w:val="both"/>
      </w:pPr>
      <w:r>
        <w:rPr>
          <w:sz w:val="20"/>
        </w:rPr>
        <w:t xml:space="preserve">Положительная динамика развития отраслей пищевой и перерабатывающей промышленности позволила региону войти в число самообеспеченных по основной группе продуктов собственного производства, что является важным фактором в условиях импортозамещения. Продукция курских предприятий пользуется повышенным спросом не только в области, но и за ее пределами. За пределы области ежегодно отгружается 60% от произведенного объема продукции.</w:t>
      </w:r>
    </w:p>
    <w:p>
      <w:pPr>
        <w:pStyle w:val="0"/>
        <w:spacing w:before="200" w:line-rule="auto"/>
        <w:ind w:firstLine="540"/>
        <w:jc w:val="both"/>
      </w:pPr>
      <w:r>
        <w:rPr>
          <w:sz w:val="20"/>
        </w:rPr>
        <w:t xml:space="preserve">Задача - развитие перерабатывающих мощностей в молочной подотрасли с целью расширения объемов производства и переработки сырья и увеличения производства новых экологически чистых видов продукции с высокой добавленной стоимостью.</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изучение потребительского спроса на продукцию молочной подотрасли, прежде всего жителей Курской области и близлежащих областей; определение конкурентоспособных ниш;</w:t>
      </w:r>
    </w:p>
    <w:p>
      <w:pPr>
        <w:pStyle w:val="0"/>
        <w:spacing w:before="200" w:line-rule="auto"/>
        <w:ind w:firstLine="540"/>
        <w:jc w:val="both"/>
      </w:pPr>
      <w:r>
        <w:rPr>
          <w:sz w:val="20"/>
        </w:rPr>
        <w:t xml:space="preserve">внедрение современных инновационных технологий в области производства молочных продуктов на существующих и новых предприятиях;</w:t>
      </w:r>
    </w:p>
    <w:p>
      <w:pPr>
        <w:pStyle w:val="0"/>
        <w:spacing w:before="200" w:line-rule="auto"/>
        <w:ind w:firstLine="540"/>
        <w:jc w:val="both"/>
      </w:pPr>
      <w:r>
        <w:rPr>
          <w:sz w:val="20"/>
        </w:rPr>
        <w:t xml:space="preserve">поддержка производства экологически чистых молочных продуктов;</w:t>
      </w:r>
    </w:p>
    <w:p>
      <w:pPr>
        <w:pStyle w:val="0"/>
        <w:spacing w:before="200" w:line-rule="auto"/>
        <w:ind w:firstLine="540"/>
        <w:jc w:val="both"/>
      </w:pPr>
      <w:r>
        <w:rPr>
          <w:sz w:val="20"/>
        </w:rPr>
        <w:t xml:space="preserve">создание новых пищевых продуктов диетического, лечебно-профилактического функционального питания;</w:t>
      </w:r>
    </w:p>
    <w:p>
      <w:pPr>
        <w:pStyle w:val="0"/>
        <w:spacing w:before="200" w:line-rule="auto"/>
        <w:ind w:firstLine="540"/>
        <w:jc w:val="both"/>
      </w:pPr>
      <w:r>
        <w:rPr>
          <w:sz w:val="20"/>
        </w:rPr>
        <w:t xml:space="preserve">поддержка малых и средних предприятий в молочной отрасли;</w:t>
      </w:r>
    </w:p>
    <w:p>
      <w:pPr>
        <w:pStyle w:val="0"/>
        <w:spacing w:before="200" w:line-rule="auto"/>
        <w:ind w:firstLine="540"/>
        <w:jc w:val="both"/>
      </w:pPr>
      <w:r>
        <w:rPr>
          <w:sz w:val="20"/>
        </w:rPr>
        <w:t xml:space="preserve">организация собственной торговой марки для продвижения молочных продуктов на рынки регионов России;</w:t>
      </w:r>
    </w:p>
    <w:p>
      <w:pPr>
        <w:pStyle w:val="0"/>
        <w:spacing w:before="200" w:line-rule="auto"/>
        <w:ind w:firstLine="540"/>
        <w:jc w:val="both"/>
      </w:pPr>
      <w:r>
        <w:rPr>
          <w:sz w:val="20"/>
        </w:rPr>
        <w:t xml:space="preserve">внедрение системы ХАССП в предприятиях пищевой и перерабатывающей промышленности;</w:t>
      </w:r>
    </w:p>
    <w:p>
      <w:pPr>
        <w:pStyle w:val="0"/>
        <w:spacing w:before="200" w:line-rule="auto"/>
        <w:ind w:firstLine="540"/>
        <w:jc w:val="both"/>
      </w:pPr>
      <w:r>
        <w:rPr>
          <w:sz w:val="20"/>
        </w:rPr>
        <w:t xml:space="preserve">организационное сопровождение развития сотрудничества местных товаропроизводителей с федеральными торговыми сетями в области здорового питания;</w:t>
      </w:r>
    </w:p>
    <w:p>
      <w:pPr>
        <w:pStyle w:val="0"/>
        <w:spacing w:before="200" w:line-rule="auto"/>
        <w:ind w:firstLine="540"/>
        <w:jc w:val="both"/>
      </w:pPr>
      <w:r>
        <w:rPr>
          <w:sz w:val="20"/>
        </w:rPr>
        <w:t xml:space="preserve">финансовая, грантовая, организационная поддержка производителей молока в регионе.</w:t>
      </w:r>
    </w:p>
    <w:p>
      <w:pPr>
        <w:pStyle w:val="0"/>
        <w:spacing w:before="200" w:line-rule="auto"/>
        <w:ind w:firstLine="540"/>
        <w:jc w:val="both"/>
      </w:pPr>
      <w:r>
        <w:rPr>
          <w:sz w:val="20"/>
        </w:rPr>
        <w:t xml:space="preserve">Задача - развитие перерабатывающих мощностей для производства соков и нектаров.</w:t>
      </w:r>
    </w:p>
    <w:p>
      <w:pPr>
        <w:pStyle w:val="0"/>
        <w:spacing w:before="200" w:line-rule="auto"/>
        <w:ind w:firstLine="540"/>
        <w:jc w:val="both"/>
      </w:pPr>
      <w:r>
        <w:rPr>
          <w:sz w:val="20"/>
        </w:rPr>
        <w:t xml:space="preserve">В Курской области уже проведена большая работа по закладке интенсивных садов: за последние годы заложено более 600 га в Обоянском, Курском, Беловском, Октябрьском и других районах. С другой стороны, объем российского сырья, используемого для производства соковой продукции действующими предприятиями, недостаточен для удовлетворения потребностей отрасли. По оценкам экспертов, доля российского сырья в переработке составляет от 20% до 30%. При этом соковые предприятия готовы закупать больше яблочного концентрированного сока, яблочного, грушевого, морковного пюре, томатной пасты и т.д. Но объем их производства внутри страны пока мал. Курская область может занять ведущие позиции как по обеспечению предприятий отрасли сырьевыми ресурсами, так и развивать собственные мощности производств.</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развитие и поддержка садоводства, внедрение современных агротехнологий возделывания и сбора продукции;</w:t>
      </w:r>
    </w:p>
    <w:p>
      <w:pPr>
        <w:pStyle w:val="0"/>
        <w:spacing w:before="200" w:line-rule="auto"/>
        <w:ind w:firstLine="540"/>
        <w:jc w:val="both"/>
      </w:pPr>
      <w:r>
        <w:rPr>
          <w:sz w:val="20"/>
        </w:rPr>
        <w:t xml:space="preserve">разработка проектов строительства перерабатывающих мощностей, прежде всего концентрированного яблочного сока и пюре;</w:t>
      </w:r>
    </w:p>
    <w:p>
      <w:pPr>
        <w:pStyle w:val="0"/>
        <w:spacing w:before="200" w:line-rule="auto"/>
        <w:ind w:firstLine="540"/>
        <w:jc w:val="both"/>
      </w:pPr>
      <w:r>
        <w:rPr>
          <w:sz w:val="20"/>
        </w:rPr>
        <w:t xml:space="preserve">привлечение отраслевой науки и развитие малых инновационных предприятий по апробации производственных технологий для получения новых экологически чистых видов продукции без использования консервантов;</w:t>
      </w:r>
    </w:p>
    <w:p>
      <w:pPr>
        <w:pStyle w:val="0"/>
        <w:spacing w:before="200" w:line-rule="auto"/>
        <w:ind w:firstLine="540"/>
        <w:jc w:val="both"/>
      </w:pPr>
      <w:r>
        <w:rPr>
          <w:sz w:val="20"/>
        </w:rPr>
        <w:t xml:space="preserve">продвижение правильного питания и здорового образа жизни (в том числе по направлению потребления соковой продукции) среди жителей Курской области;</w:t>
      </w:r>
    </w:p>
    <w:p>
      <w:pPr>
        <w:pStyle w:val="0"/>
        <w:spacing w:before="200" w:line-rule="auto"/>
        <w:ind w:firstLine="540"/>
        <w:jc w:val="both"/>
      </w:pPr>
      <w:r>
        <w:rPr>
          <w:sz w:val="20"/>
        </w:rPr>
        <w:t xml:space="preserve">сотрудничество с крупнейшими холдингами России по производству соков по вопросам обеспечения сырьем и обмена технологиями (например, "Сады Придонья", "Южная соковая компания" и ряд других);</w:t>
      </w:r>
    </w:p>
    <w:p>
      <w:pPr>
        <w:pStyle w:val="0"/>
        <w:spacing w:before="200" w:line-rule="auto"/>
        <w:ind w:firstLine="540"/>
        <w:jc w:val="both"/>
      </w:pPr>
      <w:r>
        <w:rPr>
          <w:sz w:val="20"/>
        </w:rPr>
        <w:t xml:space="preserve">привлечение инвестиций в развитие производственных мощностей по производству консервированной плодоовощной продукции;</w:t>
      </w:r>
    </w:p>
    <w:p>
      <w:pPr>
        <w:pStyle w:val="0"/>
        <w:spacing w:before="200" w:line-rule="auto"/>
        <w:ind w:firstLine="540"/>
        <w:jc w:val="both"/>
      </w:pPr>
      <w:r>
        <w:rPr>
          <w:sz w:val="20"/>
        </w:rPr>
        <w:t xml:space="preserve">сотрудничество с образовательными и медицинскими организациями по обеспечению населения местной продукцией.</w:t>
      </w:r>
    </w:p>
    <w:p>
      <w:pPr>
        <w:pStyle w:val="0"/>
        <w:spacing w:before="200" w:line-rule="auto"/>
        <w:ind w:firstLine="540"/>
        <w:jc w:val="both"/>
      </w:pPr>
      <w:r>
        <w:rPr>
          <w:sz w:val="20"/>
        </w:rPr>
        <w:t xml:space="preserve">Задача - повышение эффективности производства и роста конкурентоспособности сахарной промышленности.</w:t>
      </w:r>
    </w:p>
    <w:p>
      <w:pPr>
        <w:pStyle w:val="0"/>
        <w:spacing w:before="200" w:line-rule="auto"/>
        <w:ind w:firstLine="540"/>
        <w:jc w:val="both"/>
      </w:pPr>
      <w:r>
        <w:rPr>
          <w:sz w:val="20"/>
        </w:rPr>
        <w:t xml:space="preserve">В регионе работает 9 сахарных заводов. Курская область - 4-я по посевам свеклы в стране и 6-я по объемам выработки сахара. В отличие от Краснодарского края, Воронежской, Белгородской и Тамбовской областей, которые за последние пять лет уменьшили посевы агрокультуры на 10 - 30%, здесь они остаются относительно стабильными с 2010 года - около 100 тыс. га.</w:t>
      </w:r>
    </w:p>
    <w:p>
      <w:pPr>
        <w:pStyle w:val="0"/>
        <w:spacing w:before="200" w:line-rule="auto"/>
        <w:ind w:firstLine="540"/>
        <w:jc w:val="both"/>
      </w:pPr>
      <w:r>
        <w:rPr>
          <w:sz w:val="20"/>
        </w:rPr>
        <w:t xml:space="preserve">В регионе работает несколько компаний: "Продимекс" (2 завода), "Моснефтегазстройкомплект" (2 завода), "Объединенные кондитеры" - завод "Промсахар", компания "Русагро" (владеет "Кшенским" сахарным комбинатом и заводом "Кривец-сахар"), ООО "Агроинновация" (Филиал ОО "Торговый дом Агроинновация СК "Льговский"), УК "Эко-Нива-АПК Холдинг" (ООО "Белсахар"). В структуре крупного бизнеса ряд заводов получают сырье из близлежащих территорий при одновременном вывозе сахарной свеклы из Курской области на заводы Белгородской, Воронежской областей.</w:t>
      </w:r>
    </w:p>
    <w:p>
      <w:pPr>
        <w:pStyle w:val="0"/>
        <w:spacing w:before="200" w:line-rule="auto"/>
        <w:ind w:firstLine="540"/>
        <w:jc w:val="both"/>
      </w:pPr>
      <w:r>
        <w:rPr>
          <w:sz w:val="20"/>
        </w:rPr>
        <w:t xml:space="preserve">Отдельной проблемой для отрасли остается вопрос переработки отходов и прежде всего жома. Прежде в сыром виде этот вторичный продукт работы сахарных заводов масштабно потреблялся советскими откормсовхозами. В настоящее время значительные объемы жома, образующиеся при производстве, складируются вокруг предприятий. Проблемой является и внедрение оборотного водоснабжения на предприятия, вывоз дефеката, накапливающегося на полях фильтрации сахарных заводов.</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уменьшение энерго- и водопотребления;</w:t>
      </w:r>
    </w:p>
    <w:p>
      <w:pPr>
        <w:pStyle w:val="0"/>
        <w:spacing w:before="200" w:line-rule="auto"/>
        <w:ind w:firstLine="540"/>
        <w:jc w:val="both"/>
      </w:pPr>
      <w:r>
        <w:rPr>
          <w:sz w:val="20"/>
        </w:rPr>
        <w:t xml:space="preserve">реконструкция и техническое перевооружение сахарных заводов на основе инновационных технологий и современного ресурсосберегающего оборудования;</w:t>
      </w:r>
    </w:p>
    <w:p>
      <w:pPr>
        <w:pStyle w:val="0"/>
        <w:spacing w:before="200" w:line-rule="auto"/>
        <w:ind w:firstLine="540"/>
        <w:jc w:val="both"/>
      </w:pPr>
      <w:r>
        <w:rPr>
          <w:sz w:val="20"/>
        </w:rPr>
        <w:t xml:space="preserve">внедрение современных технологий по глубокой переработке побочной продукции сахарного производства с целью повышения эффективности ее утилизации и производства импортозамещающей продукции - аминокислот и пектина;</w:t>
      </w:r>
    </w:p>
    <w:p>
      <w:pPr>
        <w:pStyle w:val="0"/>
        <w:spacing w:before="200" w:line-rule="auto"/>
        <w:ind w:firstLine="540"/>
        <w:jc w:val="both"/>
      </w:pPr>
      <w:r>
        <w:rPr>
          <w:sz w:val="20"/>
        </w:rPr>
        <w:t xml:space="preserve">строительство новых и реконструкция (модернизация) действующих объектов хранения готовой и побочной продукции сахарного производства, обеспечивающих прирост мощностей по хранению сахара, сушеного жома и свекловичной мелассы;</w:t>
      </w:r>
    </w:p>
    <w:p>
      <w:pPr>
        <w:pStyle w:val="0"/>
        <w:spacing w:before="200" w:line-rule="auto"/>
        <w:ind w:firstLine="540"/>
        <w:jc w:val="both"/>
      </w:pPr>
      <w:r>
        <w:rPr>
          <w:sz w:val="20"/>
        </w:rPr>
        <w:t xml:space="preserve">рост внутреннего потребления свекловичного сушеного жома и мелассы, являющихся ценными кормовыми добавками для животноводства, основой для производства хлебопекарных дрожжей, лимонной кислоты, а также сырьем для производства продукции в пищевой и перерабатывающей, химической и фармацевтической отраслях.</w:t>
      </w:r>
    </w:p>
    <w:p>
      <w:pPr>
        <w:pStyle w:val="0"/>
        <w:spacing w:before="200" w:line-rule="auto"/>
        <w:ind w:firstLine="540"/>
        <w:jc w:val="both"/>
      </w:pPr>
      <w:r>
        <w:rPr>
          <w:sz w:val="20"/>
        </w:rPr>
        <w:t xml:space="preserve">Задача - развитие глубокой переработки зерна с целью повышения выхода готовой продукции с единицы зернового сырья.</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внедрение энергосберегающих технологий;</w:t>
      </w:r>
    </w:p>
    <w:p>
      <w:pPr>
        <w:pStyle w:val="0"/>
        <w:spacing w:before="200" w:line-rule="auto"/>
        <w:ind w:firstLine="540"/>
        <w:jc w:val="both"/>
      </w:pPr>
      <w:r>
        <w:rPr>
          <w:sz w:val="20"/>
        </w:rPr>
        <w:t xml:space="preserve">введение на мельзаводах линий по обогащению пшеничной муки высшего и первого сортов витаминами и минеральными добавками;</w:t>
      </w:r>
    </w:p>
    <w:p>
      <w:pPr>
        <w:pStyle w:val="0"/>
        <w:spacing w:before="200" w:line-rule="auto"/>
        <w:ind w:firstLine="540"/>
        <w:jc w:val="both"/>
      </w:pPr>
      <w:r>
        <w:rPr>
          <w:sz w:val="20"/>
        </w:rPr>
        <w:t xml:space="preserve">внедрение на мельзаводах современного технологического оборудования, обеспечивающего улучшенную подготовку зерна к помолу, и за счет этого снижение расходов энергоресурсов на переработку зерна и повышение выхода готовой продукции;</w:t>
      </w:r>
    </w:p>
    <w:p>
      <w:pPr>
        <w:pStyle w:val="0"/>
        <w:spacing w:before="200" w:line-rule="auto"/>
        <w:ind w:firstLine="540"/>
        <w:jc w:val="both"/>
      </w:pPr>
      <w:r>
        <w:rPr>
          <w:sz w:val="20"/>
        </w:rPr>
        <w:t xml:space="preserve">внедрение на крупозаводах линий по выпуску продуктов быстрого приготовления или готовых к употреблению продуктов;</w:t>
      </w:r>
    </w:p>
    <w:p>
      <w:pPr>
        <w:pStyle w:val="0"/>
        <w:spacing w:before="200" w:line-rule="auto"/>
        <w:ind w:firstLine="540"/>
        <w:jc w:val="both"/>
      </w:pPr>
      <w:r>
        <w:rPr>
          <w:sz w:val="20"/>
        </w:rPr>
        <w:t xml:space="preserve">внедрение новых технологий по утилизации отходов крупяного производства (лузги) с получением кормовых продуктов, сырья для фармацевтической промышленности;</w:t>
      </w:r>
    </w:p>
    <w:p>
      <w:pPr>
        <w:pStyle w:val="0"/>
        <w:spacing w:before="200" w:line-rule="auto"/>
        <w:ind w:firstLine="540"/>
        <w:jc w:val="both"/>
      </w:pPr>
      <w:r>
        <w:rPr>
          <w:sz w:val="20"/>
        </w:rPr>
        <w:t xml:space="preserve">реализация инвестиционного проекта по глубокой переработке пшеницы с целью выделения всех ценных компонентов зерна и производства продукции с высокой добавленной стоимостью (сухая пшеничная клейковина, модифицированные и нативные крахмалы, мальтодекстрин, сухой глюкозный сироп, карамельная патока, кормосмеси).</w:t>
      </w:r>
    </w:p>
    <w:p>
      <w:pPr>
        <w:pStyle w:val="0"/>
        <w:jc w:val="both"/>
      </w:pPr>
      <w:r>
        <w:rPr>
          <w:sz w:val="20"/>
        </w:rPr>
      </w:r>
    </w:p>
    <w:p>
      <w:pPr>
        <w:pStyle w:val="2"/>
        <w:outlineLvl w:val="2"/>
        <w:ind w:firstLine="540"/>
        <w:jc w:val="both"/>
      </w:pPr>
      <w:r>
        <w:rPr>
          <w:sz w:val="20"/>
        </w:rPr>
        <w:t xml:space="preserve">5.9. Потребительский рынок</w:t>
      </w:r>
    </w:p>
    <w:p>
      <w:pPr>
        <w:pStyle w:val="0"/>
        <w:jc w:val="both"/>
      </w:pPr>
      <w:r>
        <w:rPr>
          <w:sz w:val="20"/>
        </w:rPr>
      </w:r>
    </w:p>
    <w:p>
      <w:pPr>
        <w:pStyle w:val="0"/>
        <w:ind w:firstLine="540"/>
        <w:jc w:val="both"/>
      </w:pPr>
      <w:r>
        <w:rPr>
          <w:sz w:val="20"/>
        </w:rPr>
        <w:t xml:space="preserve">Задача - дальнейшее развитие сложившихся положительных тенденций в развитии потребительского рынка, наиболее полное удовлетворение жителей области товарами в широком ассортименте по доступным ценам, торговыми и бытовыми услугами при гарантированном качестве и безопасности, преобразование действующих предприятий торговли в современную индустрию сервиса.</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развитие многоформатной торговли (развитие сетевой торговли, крупных современных торговых комплексов, магазинов "шаговой доступности", кооперативных магазинов, в том числе на базе нестационарных торговых объектов) и дальнейшее создание условий для развития конкуренции в отрасли;</w:t>
      </w:r>
    </w:p>
    <w:p>
      <w:pPr>
        <w:pStyle w:val="0"/>
        <w:spacing w:before="200" w:line-rule="auto"/>
        <w:ind w:firstLine="540"/>
        <w:jc w:val="both"/>
      </w:pPr>
      <w:r>
        <w:rPr>
          <w:sz w:val="20"/>
        </w:rPr>
        <w:t xml:space="preserve">оптимизация системы сбыта продукции (за счет создания распределительных центров);</w:t>
      </w:r>
    </w:p>
    <w:p>
      <w:pPr>
        <w:pStyle w:val="0"/>
        <w:spacing w:before="200" w:line-rule="auto"/>
        <w:ind w:firstLine="540"/>
        <w:jc w:val="both"/>
      </w:pPr>
      <w:r>
        <w:rPr>
          <w:sz w:val="20"/>
        </w:rPr>
        <w:t xml:space="preserve">повышение технического уровня предприятий торговли, общественного питания, бытовых услуг: новое строительство объектов, реконструкция и модернизация действующих предприятий в соответствии с новейшими научно-техническими достижениями. Для этого предполагается строительство, реконструкция и переоснащение предприятий торговли, общественного питания, рынков до 200 объектов ежегодно на всей территории области;</w:t>
      </w:r>
    </w:p>
    <w:p>
      <w:pPr>
        <w:pStyle w:val="0"/>
        <w:spacing w:before="200" w:line-rule="auto"/>
        <w:ind w:firstLine="540"/>
        <w:jc w:val="both"/>
      </w:pPr>
      <w:r>
        <w:rPr>
          <w:sz w:val="20"/>
        </w:rPr>
        <w:t xml:space="preserve">увеличение уровня обеспеченности населения торговыми площадями, дифференцированными по различным форматам торговли. В этих целях предполагается совместно с органами местного самоуправления разработка системного подхода к вопросу обеспечения жителей услугами торговли, общественного питания, бытового обслуживания, то есть равномерное размещение предприятий на территории города, населенного пункта и т.д. для приближения услуг к потребителю и обеспечения комфортности покупок и услуг, а также стимулирование развития предприятий социальной направленности и экономкласса;</w:t>
      </w:r>
    </w:p>
    <w:p>
      <w:pPr>
        <w:pStyle w:val="0"/>
        <w:spacing w:before="200" w:line-rule="auto"/>
        <w:ind w:firstLine="540"/>
        <w:jc w:val="both"/>
      </w:pPr>
      <w:r>
        <w:rPr>
          <w:sz w:val="20"/>
        </w:rPr>
        <w:t xml:space="preserve">разработка мероприятий по снижению теневой занятости в сфере торговли, в том числе нестационарной, и создания условий для ее легализации;</w:t>
      </w:r>
    </w:p>
    <w:p>
      <w:pPr>
        <w:pStyle w:val="0"/>
        <w:spacing w:before="200" w:line-rule="auto"/>
        <w:ind w:firstLine="540"/>
        <w:jc w:val="both"/>
      </w:pPr>
      <w:r>
        <w:rPr>
          <w:sz w:val="20"/>
        </w:rPr>
        <w:t xml:space="preserve">развитие мобильной, нестационарной, ярмарочной (в т.ч. ярмарок выходного дня), рыночной торговли;</w:t>
      </w:r>
    </w:p>
    <w:p>
      <w:pPr>
        <w:pStyle w:val="0"/>
        <w:spacing w:before="200" w:line-rule="auto"/>
        <w:ind w:firstLine="540"/>
        <w:jc w:val="both"/>
      </w:pPr>
      <w:r>
        <w:rPr>
          <w:sz w:val="20"/>
        </w:rPr>
        <w:t xml:space="preserve">разработка мероприятий по заполняемости муниципальных рынков;</w:t>
      </w:r>
    </w:p>
    <w:p>
      <w:pPr>
        <w:pStyle w:val="0"/>
        <w:spacing w:before="200" w:line-rule="auto"/>
        <w:ind w:firstLine="540"/>
        <w:jc w:val="both"/>
      </w:pPr>
      <w:r>
        <w:rPr>
          <w:sz w:val="20"/>
        </w:rPr>
        <w:t xml:space="preserve">развитие электронной торговли. Этот вид торговли поможет сократить затраты на предварительные работы по поиску продукции, закупке, маркетингу, анализу цен, ускорению оборачиваемости товаров и т.д.;</w:t>
      </w:r>
    </w:p>
    <w:p>
      <w:pPr>
        <w:pStyle w:val="0"/>
        <w:spacing w:before="200" w:line-rule="auto"/>
        <w:ind w:firstLine="540"/>
        <w:jc w:val="both"/>
      </w:pPr>
      <w:r>
        <w:rPr>
          <w:sz w:val="20"/>
        </w:rPr>
        <w:t xml:space="preserve">обеспечение увеличения доли присутствия товаров местного производства на полках сетевых магазинов розничной торговли;</w:t>
      </w:r>
    </w:p>
    <w:p>
      <w:pPr>
        <w:pStyle w:val="0"/>
        <w:spacing w:before="200" w:line-rule="auto"/>
        <w:ind w:firstLine="540"/>
        <w:jc w:val="both"/>
      </w:pPr>
      <w:r>
        <w:rPr>
          <w:sz w:val="20"/>
        </w:rPr>
        <w:t xml:space="preserve">в целях сокращения издержек на доставку продуктов питания в регион и сдерживания необоснованного роста цен на социально значимые продовольственные товары необходимо строительство крупного логистического центра для реализации продовольственных товаров, производимых в Курской области и других регионах Российской Федерации.</w:t>
      </w:r>
    </w:p>
    <w:p>
      <w:pPr>
        <w:pStyle w:val="0"/>
        <w:jc w:val="both"/>
      </w:pPr>
      <w:r>
        <w:rPr>
          <w:sz w:val="20"/>
        </w:rPr>
      </w:r>
    </w:p>
    <w:p>
      <w:pPr>
        <w:pStyle w:val="2"/>
        <w:outlineLvl w:val="1"/>
        <w:jc w:val="center"/>
      </w:pPr>
      <w:r>
        <w:rPr>
          <w:sz w:val="20"/>
        </w:rPr>
        <w:t xml:space="preserve">6. Приоритетное направление "Управление развитием"</w:t>
      </w:r>
    </w:p>
    <w:p>
      <w:pPr>
        <w:pStyle w:val="0"/>
        <w:jc w:val="both"/>
      </w:pPr>
      <w:r>
        <w:rPr>
          <w:sz w:val="20"/>
        </w:rPr>
      </w:r>
    </w:p>
    <w:p>
      <w:pPr>
        <w:pStyle w:val="0"/>
        <w:ind w:firstLine="540"/>
        <w:jc w:val="both"/>
      </w:pPr>
      <w:r>
        <w:rPr>
          <w:sz w:val="20"/>
        </w:rPr>
        <w:t xml:space="preserve">Стратегическая цель - создание условий для привлечения инвестиций и развития малого и среднего предпринимательства, налаживания и диверсификации международных и внешнеэкономических связей, обеспечение внедрения новых управленческих и цифровых технологий, повышение открытости органов власти.</w:t>
      </w:r>
    </w:p>
    <w:p>
      <w:pPr>
        <w:pStyle w:val="0"/>
        <w:spacing w:before="200" w:line-rule="auto"/>
        <w:ind w:firstLine="540"/>
        <w:jc w:val="both"/>
      </w:pPr>
      <w:r>
        <w:rPr>
          <w:sz w:val="20"/>
        </w:rPr>
        <w:t xml:space="preserve">Основные проблемы и ограничения:</w:t>
      </w:r>
    </w:p>
    <w:p>
      <w:pPr>
        <w:pStyle w:val="0"/>
        <w:spacing w:before="200" w:line-rule="auto"/>
        <w:ind w:firstLine="540"/>
        <w:jc w:val="both"/>
      </w:pPr>
      <w:r>
        <w:rPr>
          <w:sz w:val="20"/>
        </w:rPr>
        <w:t xml:space="preserve">низкий уровень бюджетной обеспеченности Курской области;</w:t>
      </w:r>
    </w:p>
    <w:p>
      <w:pPr>
        <w:pStyle w:val="0"/>
        <w:spacing w:before="200" w:line-rule="auto"/>
        <w:ind w:firstLine="540"/>
        <w:jc w:val="both"/>
      </w:pPr>
      <w:r>
        <w:rPr>
          <w:sz w:val="20"/>
        </w:rPr>
        <w:t xml:space="preserve">невысокий объем дотаций на выравнивание бюджетной обеспеченности субъектов Российской Федерации и муниципальных образований в бюджете Курской области;</w:t>
      </w:r>
    </w:p>
    <w:p>
      <w:pPr>
        <w:pStyle w:val="0"/>
        <w:spacing w:before="200" w:line-rule="auto"/>
        <w:ind w:firstLine="540"/>
        <w:jc w:val="both"/>
      </w:pPr>
      <w:r>
        <w:rPr>
          <w:sz w:val="20"/>
        </w:rPr>
        <w:t xml:space="preserve">значительная дифференциация бюджетной обеспеченности и бюджетной самостоятельности муниципальных образований Курской области;</w:t>
      </w:r>
    </w:p>
    <w:p>
      <w:pPr>
        <w:pStyle w:val="0"/>
        <w:spacing w:before="200" w:line-rule="auto"/>
        <w:ind w:firstLine="540"/>
        <w:jc w:val="both"/>
      </w:pPr>
      <w:r>
        <w:rPr>
          <w:sz w:val="20"/>
        </w:rPr>
        <w:t xml:space="preserve">относительно высокие административные издержки реализации инвестиционных проектов и осуществления экспортной деятельности;</w:t>
      </w:r>
    </w:p>
    <w:p>
      <w:pPr>
        <w:pStyle w:val="0"/>
        <w:spacing w:before="200" w:line-rule="auto"/>
        <w:ind w:firstLine="540"/>
        <w:jc w:val="both"/>
      </w:pPr>
      <w:r>
        <w:rPr>
          <w:sz w:val="20"/>
        </w:rPr>
        <w:t xml:space="preserve">недостаточная развитость инфраструктуры поддержки малого и среднего предпринимательства;</w:t>
      </w:r>
    </w:p>
    <w:p>
      <w:pPr>
        <w:pStyle w:val="0"/>
        <w:spacing w:before="200" w:line-rule="auto"/>
        <w:ind w:firstLine="540"/>
        <w:jc w:val="both"/>
      </w:pPr>
      <w:r>
        <w:rPr>
          <w:sz w:val="20"/>
        </w:rPr>
        <w:t xml:space="preserve">низкий уровень вовлеченности населения в процессы принятия решений на региональном и муниципальном уровнях;</w:t>
      </w:r>
    </w:p>
    <w:p>
      <w:pPr>
        <w:pStyle w:val="0"/>
        <w:spacing w:before="200" w:line-rule="auto"/>
        <w:ind w:firstLine="540"/>
        <w:jc w:val="both"/>
      </w:pPr>
      <w:r>
        <w:rPr>
          <w:sz w:val="20"/>
        </w:rPr>
        <w:t xml:space="preserve">наличие возможностей для существенного сокращения неэффективных процессов в органах власти.</w:t>
      </w:r>
    </w:p>
    <w:p>
      <w:pPr>
        <w:pStyle w:val="0"/>
        <w:spacing w:before="200" w:line-rule="auto"/>
        <w:ind w:firstLine="540"/>
        <w:jc w:val="both"/>
      </w:pPr>
      <w:r>
        <w:rPr>
          <w:sz w:val="20"/>
        </w:rPr>
        <w:t xml:space="preserve">Общемировые тренды и лучшие практики:</w:t>
      </w:r>
    </w:p>
    <w:p>
      <w:pPr>
        <w:pStyle w:val="0"/>
        <w:spacing w:before="200" w:line-rule="auto"/>
        <w:ind w:firstLine="540"/>
        <w:jc w:val="both"/>
      </w:pPr>
      <w:r>
        <w:rPr>
          <w:sz w:val="20"/>
        </w:rPr>
        <w:t xml:space="preserve">популяризация предпринимательства среди населения всех возрастов;</w:t>
      </w:r>
    </w:p>
    <w:p>
      <w:pPr>
        <w:pStyle w:val="0"/>
        <w:spacing w:before="200" w:line-rule="auto"/>
        <w:ind w:firstLine="540"/>
        <w:jc w:val="both"/>
      </w:pPr>
      <w:r>
        <w:rPr>
          <w:sz w:val="20"/>
        </w:rPr>
        <w:t xml:space="preserve">развитие производственного предпринимательства благодаря распространению фаблабов и мейкерспейсов;</w:t>
      </w:r>
    </w:p>
    <w:p>
      <w:pPr>
        <w:pStyle w:val="0"/>
        <w:spacing w:before="200" w:line-rule="auto"/>
        <w:ind w:firstLine="540"/>
        <w:jc w:val="both"/>
      </w:pPr>
      <w:r>
        <w:rPr>
          <w:sz w:val="20"/>
        </w:rPr>
        <w:t xml:space="preserve">создание вокруг крупных промышленных предприятий пояса малых технологических компаний, развитие технологического предпринимательства в вузах, создание малых инновационных предприятий;</w:t>
      </w:r>
    </w:p>
    <w:p>
      <w:pPr>
        <w:pStyle w:val="0"/>
        <w:spacing w:before="200" w:line-rule="auto"/>
        <w:ind w:firstLine="540"/>
        <w:jc w:val="both"/>
      </w:pPr>
      <w:r>
        <w:rPr>
          <w:sz w:val="20"/>
        </w:rPr>
        <w:t xml:space="preserve">реализация "тройной спирали" - власть - бизнес - университеты;</w:t>
      </w:r>
    </w:p>
    <w:p>
      <w:pPr>
        <w:pStyle w:val="0"/>
        <w:spacing w:before="200" w:line-rule="auto"/>
        <w:ind w:firstLine="540"/>
        <w:jc w:val="both"/>
      </w:pPr>
      <w:r>
        <w:rPr>
          <w:sz w:val="20"/>
        </w:rPr>
        <w:t xml:space="preserve">концентрация субъектов МСП в агломерационном пространстве крупных городов;</w:t>
      </w:r>
    </w:p>
    <w:p>
      <w:pPr>
        <w:pStyle w:val="0"/>
        <w:spacing w:before="200" w:line-rule="auto"/>
        <w:ind w:firstLine="540"/>
        <w:jc w:val="both"/>
      </w:pPr>
      <w:r>
        <w:rPr>
          <w:sz w:val="20"/>
        </w:rPr>
        <w:t xml:space="preserve">развитие цифровых технологий и роботизации, повышение уровня проникновения цифровых технологий в отрасли промышленности и сельского хозяйства;</w:t>
      </w:r>
    </w:p>
    <w:p>
      <w:pPr>
        <w:pStyle w:val="0"/>
        <w:spacing w:before="200" w:line-rule="auto"/>
        <w:ind w:firstLine="540"/>
        <w:jc w:val="both"/>
      </w:pPr>
      <w:r>
        <w:rPr>
          <w:sz w:val="20"/>
        </w:rPr>
        <w:t xml:space="preserve">борьба регионов и городов за высокотехнологичные и "зеленые" инвестиции;</w:t>
      </w:r>
    </w:p>
    <w:p>
      <w:pPr>
        <w:pStyle w:val="0"/>
        <w:spacing w:before="200" w:line-rule="auto"/>
        <w:ind w:firstLine="540"/>
        <w:jc w:val="both"/>
      </w:pPr>
      <w:r>
        <w:rPr>
          <w:sz w:val="20"/>
        </w:rPr>
        <w:t xml:space="preserve">рост влияния транснациональных корпораций, усиление влияния крупных федеральных компаний;</w:t>
      </w:r>
    </w:p>
    <w:p>
      <w:pPr>
        <w:pStyle w:val="0"/>
        <w:spacing w:before="200" w:line-rule="auto"/>
        <w:ind w:firstLine="540"/>
        <w:jc w:val="both"/>
      </w:pPr>
      <w:r>
        <w:rPr>
          <w:sz w:val="20"/>
        </w:rPr>
        <w:t xml:space="preserve">усиление промышленной кооперации, в том числе создание территориальных промышленных кластеров;</w:t>
      </w:r>
    </w:p>
    <w:p>
      <w:pPr>
        <w:pStyle w:val="0"/>
        <w:spacing w:before="200" w:line-rule="auto"/>
        <w:ind w:firstLine="540"/>
        <w:jc w:val="both"/>
      </w:pPr>
      <w:r>
        <w:rPr>
          <w:sz w:val="20"/>
        </w:rPr>
        <w:t xml:space="preserve">развитие агломераций;</w:t>
      </w:r>
    </w:p>
    <w:p>
      <w:pPr>
        <w:pStyle w:val="0"/>
        <w:spacing w:before="200" w:line-rule="auto"/>
        <w:ind w:firstLine="540"/>
        <w:jc w:val="both"/>
      </w:pPr>
      <w:r>
        <w:rPr>
          <w:sz w:val="20"/>
        </w:rPr>
        <w:t xml:space="preserve">переход от глобализации к регионализации и фрагментации;</w:t>
      </w:r>
    </w:p>
    <w:p>
      <w:pPr>
        <w:pStyle w:val="0"/>
        <w:spacing w:before="200" w:line-rule="auto"/>
        <w:ind w:firstLine="540"/>
        <w:jc w:val="both"/>
      </w:pPr>
      <w:r>
        <w:rPr>
          <w:sz w:val="20"/>
        </w:rPr>
        <w:t xml:space="preserve">усиление специализации вместо вертикальной интеграции;</w:t>
      </w:r>
    </w:p>
    <w:p>
      <w:pPr>
        <w:pStyle w:val="0"/>
        <w:spacing w:before="200" w:line-rule="auto"/>
        <w:ind w:firstLine="540"/>
        <w:jc w:val="both"/>
      </w:pPr>
      <w:r>
        <w:rPr>
          <w:sz w:val="20"/>
        </w:rPr>
        <w:t xml:space="preserve">усиление геополитических рисков;</w:t>
      </w:r>
    </w:p>
    <w:p>
      <w:pPr>
        <w:pStyle w:val="0"/>
        <w:spacing w:before="200" w:line-rule="auto"/>
        <w:ind w:firstLine="540"/>
        <w:jc w:val="both"/>
      </w:pPr>
      <w:r>
        <w:rPr>
          <w:sz w:val="20"/>
        </w:rPr>
        <w:t xml:space="preserve">замедление роста числа трудоспособного населения в развитых странах;</w:t>
      </w:r>
    </w:p>
    <w:p>
      <w:pPr>
        <w:pStyle w:val="0"/>
        <w:spacing w:before="200" w:line-rule="auto"/>
        <w:ind w:firstLine="540"/>
        <w:jc w:val="both"/>
      </w:pPr>
      <w:r>
        <w:rPr>
          <w:sz w:val="20"/>
        </w:rPr>
        <w:t xml:space="preserve">цифровизация и внедрение информационных технологий в различных сферах городского и регионального хозяйства, включая жилищно-коммунальный сектор, общественный транспорт, социальную сферу, государственное управление;</w:t>
      </w:r>
    </w:p>
    <w:p>
      <w:pPr>
        <w:pStyle w:val="0"/>
        <w:spacing w:before="200" w:line-rule="auto"/>
        <w:ind w:firstLine="540"/>
        <w:jc w:val="both"/>
      </w:pPr>
      <w:r>
        <w:rPr>
          <w:sz w:val="20"/>
        </w:rPr>
        <w:t xml:space="preserve">повышение открытости власти, краудсорсинговые технологии, общественное участие;</w:t>
      </w:r>
    </w:p>
    <w:p>
      <w:pPr>
        <w:pStyle w:val="0"/>
        <w:spacing w:before="200" w:line-rule="auto"/>
        <w:ind w:firstLine="540"/>
        <w:jc w:val="both"/>
      </w:pPr>
      <w:r>
        <w:rPr>
          <w:sz w:val="20"/>
        </w:rPr>
        <w:t xml:space="preserve">снижение неэффективных затрат на содержание государственного аппарата на основе технологий бережливого производства.</w:t>
      </w:r>
    </w:p>
    <w:p>
      <w:pPr>
        <w:pStyle w:val="0"/>
        <w:spacing w:before="200" w:line-rule="auto"/>
        <w:ind w:firstLine="540"/>
        <w:jc w:val="both"/>
      </w:pPr>
      <w:r>
        <w:rPr>
          <w:sz w:val="20"/>
        </w:rPr>
        <w:t xml:space="preserve">Результаты:</w:t>
      </w:r>
    </w:p>
    <w:p>
      <w:pPr>
        <w:pStyle w:val="0"/>
        <w:spacing w:before="200" w:line-rule="auto"/>
        <w:ind w:firstLine="540"/>
        <w:jc w:val="both"/>
      </w:pPr>
      <w:r>
        <w:rPr>
          <w:sz w:val="20"/>
        </w:rPr>
        <w:t xml:space="preserve">снижение уровня государственного долга по отношению к налоговым и неналоговым доходам консолидированного бюджета до 15,0 процентов (в 2017 году - 25,8 процентов);</w:t>
      </w:r>
    </w:p>
    <w:p>
      <w:pPr>
        <w:pStyle w:val="0"/>
        <w:spacing w:before="200" w:line-rule="auto"/>
        <w:ind w:firstLine="540"/>
        <w:jc w:val="both"/>
      </w:pPr>
      <w:r>
        <w:rPr>
          <w:sz w:val="20"/>
        </w:rPr>
        <w:t xml:space="preserve">доведение доли органов исполнительной власти, внедривших принципы бережливого производства в своей деятельности, до 100 процентов;</w:t>
      </w:r>
    </w:p>
    <w:p>
      <w:pPr>
        <w:pStyle w:val="0"/>
        <w:spacing w:before="200" w:line-rule="auto"/>
        <w:ind w:firstLine="540"/>
        <w:jc w:val="both"/>
      </w:pPr>
      <w:r>
        <w:rPr>
          <w:sz w:val="20"/>
        </w:rPr>
        <w:t xml:space="preserve">сформирован "бюджет развития" (фонд развития) к 2025 году в объеме ежегодно минимальной гарантированной суммы в 5% от суммы собственных доходов Курской области.</w:t>
      </w:r>
    </w:p>
    <w:p>
      <w:pPr>
        <w:pStyle w:val="0"/>
        <w:jc w:val="both"/>
      </w:pPr>
      <w:r>
        <w:rPr>
          <w:sz w:val="20"/>
        </w:rPr>
      </w:r>
    </w:p>
    <w:p>
      <w:pPr>
        <w:pStyle w:val="2"/>
        <w:outlineLvl w:val="2"/>
        <w:ind w:firstLine="540"/>
        <w:jc w:val="both"/>
      </w:pPr>
      <w:r>
        <w:rPr>
          <w:sz w:val="20"/>
        </w:rPr>
        <w:t xml:space="preserve">6.1. Система стратегического планирования</w:t>
      </w:r>
    </w:p>
    <w:p>
      <w:pPr>
        <w:pStyle w:val="0"/>
        <w:jc w:val="both"/>
      </w:pPr>
      <w:r>
        <w:rPr>
          <w:sz w:val="20"/>
        </w:rPr>
      </w:r>
    </w:p>
    <w:p>
      <w:pPr>
        <w:pStyle w:val="0"/>
        <w:ind w:firstLine="540"/>
        <w:jc w:val="both"/>
      </w:pPr>
      <w:r>
        <w:rPr>
          <w:sz w:val="20"/>
        </w:rPr>
        <w:t xml:space="preserve">Задача - приведение системы стратегического планирования Курской области в соответствие с требованиями Федерального </w:t>
      </w:r>
      <w:hyperlink w:history="0" r:id="rId73" w:tooltip="Федеральный закон от 28.06.2014 N 172-ФЗ (ред. от 17.02.2023) &quot;О стратегическом планировании в Российской Федерации&quot; {КонсультантПлюс}">
        <w:r>
          <w:rPr>
            <w:sz w:val="20"/>
            <w:color w:val="0000ff"/>
          </w:rPr>
          <w:t xml:space="preserve">закона</w:t>
        </w:r>
      </w:hyperlink>
      <w:r>
        <w:rPr>
          <w:sz w:val="20"/>
        </w:rPr>
        <w:t xml:space="preserve"> от 28 июня 2014 года N 172-ФЗ "О стратегическом планировании в Российской Федерации".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приведение документов территориального планирования Курской области в соответствии со Стратегией социально-экономического развития Курской области до 2030 года;</w:t>
      </w:r>
    </w:p>
    <w:p>
      <w:pPr>
        <w:pStyle w:val="0"/>
        <w:spacing w:before="200" w:line-rule="auto"/>
        <w:ind w:firstLine="540"/>
        <w:jc w:val="both"/>
      </w:pPr>
      <w:r>
        <w:rPr>
          <w:sz w:val="20"/>
        </w:rPr>
        <w:t xml:space="preserve">разработка муниципальных стратегий социально-экономического развития Курской области;</w:t>
      </w:r>
    </w:p>
    <w:p>
      <w:pPr>
        <w:pStyle w:val="0"/>
        <w:spacing w:before="200" w:line-rule="auto"/>
        <w:ind w:firstLine="540"/>
        <w:jc w:val="both"/>
      </w:pPr>
      <w:r>
        <w:rPr>
          <w:sz w:val="20"/>
        </w:rPr>
        <w:t xml:space="preserve">внесение изменений и дополнений в государственные и муниципальные программы Курской области с учетом новых целей, задач и направлений стратегического развития;</w:t>
      </w:r>
    </w:p>
    <w:p>
      <w:pPr>
        <w:pStyle w:val="0"/>
        <w:spacing w:before="200" w:line-rule="auto"/>
        <w:ind w:firstLine="540"/>
        <w:jc w:val="both"/>
      </w:pPr>
      <w:r>
        <w:rPr>
          <w:sz w:val="20"/>
        </w:rPr>
        <w:t xml:space="preserve">проработка вопроса об административном объединении муниципальных образований Курской области в целях снижения издержек, связанных с управлением территорией.</w:t>
      </w:r>
    </w:p>
    <w:p>
      <w:pPr>
        <w:pStyle w:val="0"/>
        <w:jc w:val="both"/>
      </w:pPr>
      <w:r>
        <w:rPr>
          <w:sz w:val="20"/>
        </w:rPr>
      </w:r>
    </w:p>
    <w:p>
      <w:pPr>
        <w:pStyle w:val="2"/>
        <w:outlineLvl w:val="2"/>
        <w:ind w:firstLine="540"/>
        <w:jc w:val="both"/>
      </w:pPr>
      <w:r>
        <w:rPr>
          <w:sz w:val="20"/>
        </w:rPr>
        <w:t xml:space="preserve">6.2. Внедрение цифровых технологий в управлении</w:t>
      </w:r>
    </w:p>
    <w:p>
      <w:pPr>
        <w:pStyle w:val="0"/>
        <w:jc w:val="both"/>
      </w:pPr>
      <w:r>
        <w:rPr>
          <w:sz w:val="20"/>
        </w:rPr>
      </w:r>
    </w:p>
    <w:p>
      <w:pPr>
        <w:pStyle w:val="0"/>
        <w:ind w:firstLine="540"/>
        <w:jc w:val="both"/>
      </w:pPr>
      <w:r>
        <w:rPr>
          <w:sz w:val="20"/>
        </w:rPr>
        <w:t xml:space="preserve">Задача - создание цифровой инфраструктуры региона, решение проблем жителей через инфраструктуру умного (цифрового) региона.</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разработка предложений по корректировке нормативных правовых актов в области цифровой экономики на федеральном уровне, направление соответствующих предложений в федеральные органы законодательной и исполнительной власти Российской Федерации;</w:t>
      </w:r>
    </w:p>
    <w:p>
      <w:pPr>
        <w:pStyle w:val="0"/>
        <w:spacing w:before="200" w:line-rule="auto"/>
        <w:ind w:firstLine="540"/>
        <w:jc w:val="both"/>
      </w:pPr>
      <w:r>
        <w:rPr>
          <w:sz w:val="20"/>
        </w:rPr>
        <w:t xml:space="preserve">разработка плана мероприятий ("дорожной карты") по внедрению технологий умного (цифрового) региона, создание проектного офиса "умный регион";</w:t>
      </w:r>
    </w:p>
    <w:p>
      <w:pPr>
        <w:pStyle w:val="0"/>
        <w:spacing w:before="200" w:line-rule="auto"/>
        <w:ind w:firstLine="540"/>
        <w:jc w:val="both"/>
      </w:pPr>
      <w:r>
        <w:rPr>
          <w:sz w:val="20"/>
        </w:rPr>
        <w:t xml:space="preserve">разработка необходимой нормативно-правовой базы для внедрения технологий умного (цифрового) региона, в том числе в области обеспечения информационной безопасности;</w:t>
      </w:r>
    </w:p>
    <w:p>
      <w:pPr>
        <w:pStyle w:val="0"/>
        <w:spacing w:before="200" w:line-rule="auto"/>
        <w:ind w:firstLine="540"/>
        <w:jc w:val="both"/>
      </w:pPr>
      <w:r>
        <w:rPr>
          <w:sz w:val="20"/>
        </w:rPr>
        <w:t xml:space="preserve">проведение инвентаризации систем цифрового управления региона и разработка механизмов их объединения в единый модуль;</w:t>
      </w:r>
    </w:p>
    <w:p>
      <w:pPr>
        <w:pStyle w:val="0"/>
        <w:spacing w:before="200" w:line-rule="auto"/>
        <w:ind w:firstLine="540"/>
        <w:jc w:val="both"/>
      </w:pPr>
      <w:r>
        <w:rPr>
          <w:sz w:val="20"/>
        </w:rPr>
        <w:t xml:space="preserve">расширение функционала ситуационных центров;</w:t>
      </w:r>
    </w:p>
    <w:p>
      <w:pPr>
        <w:pStyle w:val="0"/>
        <w:spacing w:before="200" w:line-rule="auto"/>
        <w:ind w:firstLine="540"/>
        <w:jc w:val="both"/>
      </w:pPr>
      <w:r>
        <w:rPr>
          <w:sz w:val="20"/>
        </w:rPr>
        <w:t xml:space="preserve">разработка региональных и муниципальных регламентов необходимости учета стандартов "умного региона" при реализации новых строительных проектов, проектов по созданию современной городской среды;</w:t>
      </w:r>
    </w:p>
    <w:p>
      <w:pPr>
        <w:pStyle w:val="0"/>
        <w:spacing w:before="200" w:line-rule="auto"/>
        <w:ind w:firstLine="540"/>
        <w:jc w:val="both"/>
      </w:pPr>
      <w:r>
        <w:rPr>
          <w:sz w:val="20"/>
        </w:rPr>
        <w:t xml:space="preserve">обеспечение всех сельских территорий высокоскоростным Интернетом;</w:t>
      </w:r>
    </w:p>
    <w:p>
      <w:pPr>
        <w:pStyle w:val="0"/>
        <w:spacing w:before="200" w:line-rule="auto"/>
        <w:ind w:firstLine="540"/>
        <w:jc w:val="both"/>
      </w:pPr>
      <w:r>
        <w:rPr>
          <w:sz w:val="20"/>
        </w:rPr>
        <w:t xml:space="preserve">создание единого регионального центра обработки данных (дата-центра).</w:t>
      </w:r>
    </w:p>
    <w:p>
      <w:pPr>
        <w:pStyle w:val="0"/>
        <w:spacing w:before="200" w:line-rule="auto"/>
        <w:ind w:firstLine="540"/>
        <w:jc w:val="both"/>
      </w:pPr>
      <w:r>
        <w:rPr>
          <w:sz w:val="20"/>
        </w:rPr>
        <w:t xml:space="preserve">В рамках задачи предполагается внедрение информационных технологий, в том числе разработанных компаниями из Курской области, в каждой из сфер регионального и городского хозяйства:</w:t>
      </w:r>
    </w:p>
    <w:p>
      <w:pPr>
        <w:pStyle w:val="0"/>
        <w:spacing w:before="200" w:line-rule="auto"/>
        <w:ind w:firstLine="540"/>
        <w:jc w:val="both"/>
      </w:pPr>
      <w:r>
        <w:rPr>
          <w:sz w:val="20"/>
        </w:rPr>
        <w:t xml:space="preserve">умная энергетика: внедрение энергоэффективных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потреблением электроэнергии в городском хозяйстве, системы распределения и управления электроэнергией (Smart и Micro Grid, AMR) (лучшие отечественные практики - проект "Smart Grid" Башкирской сетевой компании совместно с Siemens, позволяющий снизить потери, время на переключение между разными сегментами сети, быстро устранить неисправности; планы по созданию интеллектуальной энергосети в Екатеринбурге с учетом требований Smart Grid);</w:t>
      </w:r>
    </w:p>
    <w:p>
      <w:pPr>
        <w:pStyle w:val="0"/>
        <w:spacing w:before="200" w:line-rule="auto"/>
        <w:ind w:firstLine="540"/>
        <w:jc w:val="both"/>
      </w:pPr>
      <w:r>
        <w:rPr>
          <w:sz w:val="20"/>
        </w:rPr>
        <w:t xml:space="preserve">умные дома: подключение всех электронных приборов к сети Интернет, возможности для их автоматического регулирования, внедрение систем дистанционного контроля и учета ресурсов ЖКХ (лучшая практика - стандарт NB-IoT в г. Иннополис, Республика Татарстан);</w:t>
      </w:r>
    </w:p>
    <w:p>
      <w:pPr>
        <w:pStyle w:val="0"/>
        <w:spacing w:before="200" w:line-rule="auto"/>
        <w:ind w:firstLine="540"/>
        <w:jc w:val="both"/>
      </w:pPr>
      <w:r>
        <w:rPr>
          <w:sz w:val="20"/>
        </w:rPr>
        <w:t xml:space="preserve">умный транспорт: автоматизация систем дорожного движения; подключение всех видов общественного транспорта к навигационной системе; внедрение автоматизированных мультимодальных логистических систем;</w:t>
      </w:r>
    </w:p>
    <w:p>
      <w:pPr>
        <w:pStyle w:val="0"/>
        <w:spacing w:before="200" w:line-rule="auto"/>
        <w:ind w:firstLine="540"/>
        <w:jc w:val="both"/>
      </w:pPr>
      <w:r>
        <w:rPr>
          <w:sz w:val="20"/>
        </w:rPr>
        <w:t xml:space="preserve">умные технологии: повсеместное внедрение Интернета вещей; покрытие бесплатной сетью Wi-Fi крупных городов Курской области; использование больших данных для анализа транспортных, миграционных и иных потоков;</w:t>
      </w:r>
    </w:p>
    <w:p>
      <w:pPr>
        <w:pStyle w:val="0"/>
        <w:spacing w:before="200" w:line-rule="auto"/>
        <w:ind w:firstLine="540"/>
        <w:jc w:val="both"/>
      </w:pPr>
      <w:r>
        <w:rPr>
          <w:sz w:val="20"/>
        </w:rPr>
        <w:t xml:space="preserve">умное здравоохранение: внедрение технологий электронной записи к врачам, электронные медицинские книжки, популяризация медицинских устройств, измеряющих жизненно важные показатели человека, развитие телемедицины;</w:t>
      </w:r>
    </w:p>
    <w:p>
      <w:pPr>
        <w:pStyle w:val="0"/>
        <w:spacing w:before="200" w:line-rule="auto"/>
        <w:ind w:firstLine="540"/>
        <w:jc w:val="both"/>
      </w:pPr>
      <w:r>
        <w:rPr>
          <w:sz w:val="20"/>
        </w:rPr>
        <w:t xml:space="preserve">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 (предиктивная аналитика на примере программ PredPol в Санта-Круз, Калифорния - обнаружение мест и временных промежутков с наибольшей криминальной активностью; ATAC Workstation в Ричмонде, Вирджиния - фиксация паттернов среди потенциально связанных криминальных инцидентов).</w:t>
      </w:r>
    </w:p>
    <w:p>
      <w:pPr>
        <w:pStyle w:val="0"/>
        <w:jc w:val="both"/>
      </w:pPr>
      <w:r>
        <w:rPr>
          <w:sz w:val="20"/>
        </w:rPr>
      </w:r>
    </w:p>
    <w:p>
      <w:pPr>
        <w:pStyle w:val="2"/>
        <w:outlineLvl w:val="2"/>
        <w:ind w:firstLine="540"/>
        <w:jc w:val="both"/>
      </w:pPr>
      <w:r>
        <w:rPr>
          <w:sz w:val="20"/>
        </w:rPr>
        <w:t xml:space="preserve">6.3. Открытый и эффективный (бережливый) регион</w:t>
      </w:r>
    </w:p>
    <w:p>
      <w:pPr>
        <w:pStyle w:val="0"/>
        <w:jc w:val="both"/>
      </w:pPr>
      <w:r>
        <w:rPr>
          <w:sz w:val="20"/>
        </w:rPr>
      </w:r>
    </w:p>
    <w:p>
      <w:pPr>
        <w:pStyle w:val="0"/>
        <w:ind w:firstLine="540"/>
        <w:jc w:val="both"/>
      </w:pPr>
      <w:r>
        <w:rPr>
          <w:sz w:val="20"/>
        </w:rPr>
        <w:t xml:space="preserve">Задача - внедрение механизмов прямой демократии, учет мнения жителей Курской области при принятии решений, в том числе на муниципальном уровне, повышение эффективности работы власти путем внедрения технологий бережливого региона.</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Внедрение технологий открытого региона:</w:t>
      </w:r>
    </w:p>
    <w:p>
      <w:pPr>
        <w:pStyle w:val="0"/>
        <w:spacing w:before="200" w:line-rule="auto"/>
        <w:ind w:firstLine="540"/>
        <w:jc w:val="both"/>
      </w:pPr>
      <w:r>
        <w:rPr>
          <w:sz w:val="20"/>
        </w:rPr>
        <w:t xml:space="preserve">развитие модели взаимодействия властных и предпринимательских структур на основе партнерства, обеспечивающей развитие публичного диалога между властью и бизнесом, формирование социально ответственного бизнеса посредством вовлечения субъектов предпринимательства в обсуждение вопросов, рассматриваемых Правительством Курской области;</w:t>
      </w:r>
    </w:p>
    <w:p>
      <w:pPr>
        <w:pStyle w:val="0"/>
        <w:jc w:val="both"/>
      </w:pPr>
      <w:r>
        <w:rPr>
          <w:sz w:val="20"/>
        </w:rPr>
        <w:t xml:space="preserve">(в ред. </w:t>
      </w:r>
      <w:hyperlink w:history="0" r:id="rId74"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разработка согласованного KPI власть - бизнес - институты (фонды развития);</w:t>
      </w:r>
    </w:p>
    <w:p>
      <w:pPr>
        <w:pStyle w:val="0"/>
        <w:spacing w:before="200" w:line-rule="auto"/>
        <w:ind w:firstLine="540"/>
        <w:jc w:val="both"/>
      </w:pPr>
      <w:r>
        <w:rPr>
          <w:sz w:val="20"/>
        </w:rPr>
        <w:t xml:space="preserve">реформирование общественных советов при исполнительных органах Курской области, при Курской областной Думе. Общественный совет имеет право на согласование/несогласование решений вышеуказанных органов;</w:t>
      </w:r>
    </w:p>
    <w:p>
      <w:pPr>
        <w:pStyle w:val="0"/>
        <w:jc w:val="both"/>
      </w:pPr>
      <w:r>
        <w:rPr>
          <w:sz w:val="20"/>
        </w:rPr>
        <w:t xml:space="preserve">(в ред. </w:t>
      </w:r>
      <w:hyperlink w:history="0" r:id="rId75"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развитие электронного правительства Курской области, включая развитие цифровых платформ для взаимодействия власти, граждан и организаций;</w:t>
      </w:r>
    </w:p>
    <w:p>
      <w:pPr>
        <w:pStyle w:val="0"/>
        <w:spacing w:before="200" w:line-rule="auto"/>
        <w:ind w:firstLine="540"/>
        <w:jc w:val="both"/>
      </w:pPr>
      <w:r>
        <w:rPr>
          <w:sz w:val="20"/>
        </w:rPr>
        <w:t xml:space="preserve">увеличение количества и качества региональных и муниципальных услуг физическим и юридическим лицам, предоставляемых в электронном виде;</w:t>
      </w:r>
    </w:p>
    <w:p>
      <w:pPr>
        <w:pStyle w:val="0"/>
        <w:spacing w:before="200" w:line-rule="auto"/>
        <w:ind w:firstLine="540"/>
        <w:jc w:val="both"/>
      </w:pPr>
      <w:r>
        <w:rPr>
          <w:sz w:val="20"/>
        </w:rPr>
        <w:t xml:space="preserve">развитие Цифровой платформы обработки сообщений граждан, онлайн-голосований и сбора предложений и идей по вопросам развития территорий, в том числе 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pPr>
        <w:pStyle w:val="0"/>
        <w:spacing w:before="200" w:line-rule="auto"/>
        <w:ind w:firstLine="540"/>
        <w:jc w:val="both"/>
      </w:pPr>
      <w:r>
        <w:rPr>
          <w:sz w:val="20"/>
        </w:rPr>
        <w:t xml:space="preserve">создание целевых фондов капитала на благоустройство городской среды, создание спортивной инфраструктуры и пр. за счет дополнительных добровольных сборов, развитие инициативного бюджетирования;</w:t>
      </w:r>
    </w:p>
    <w:p>
      <w:pPr>
        <w:pStyle w:val="0"/>
        <w:spacing w:before="200" w:line-rule="auto"/>
        <w:ind w:firstLine="540"/>
        <w:jc w:val="both"/>
      </w:pPr>
      <w:r>
        <w:rPr>
          <w:sz w:val="20"/>
        </w:rPr>
        <w:t xml:space="preserve">поддержка территориального общественного самоуправления.</w:t>
      </w:r>
    </w:p>
    <w:p>
      <w:pPr>
        <w:pStyle w:val="0"/>
        <w:spacing w:before="200" w:line-rule="auto"/>
        <w:ind w:firstLine="540"/>
        <w:jc w:val="both"/>
      </w:pPr>
      <w:r>
        <w:rPr>
          <w:sz w:val="20"/>
        </w:rPr>
        <w:t xml:space="preserve">2. Внедрение технологий бережливого региона:</w:t>
      </w:r>
    </w:p>
    <w:p>
      <w:pPr>
        <w:pStyle w:val="0"/>
        <w:spacing w:before="200" w:line-rule="auto"/>
        <w:ind w:firstLine="540"/>
        <w:jc w:val="both"/>
      </w:pPr>
      <w:r>
        <w:rPr>
          <w:sz w:val="20"/>
        </w:rPr>
        <w:t xml:space="preserve">создание единого методического центра Курской области по внедрению технологий бережливого производства в регионе;</w:t>
      </w:r>
    </w:p>
    <w:p>
      <w:pPr>
        <w:pStyle w:val="0"/>
        <w:spacing w:before="200" w:line-rule="auto"/>
        <w:ind w:firstLine="540"/>
        <w:jc w:val="both"/>
      </w:pPr>
      <w:r>
        <w:rPr>
          <w:sz w:val="20"/>
        </w:rPr>
        <w:t xml:space="preserve">оптимизация внутренних процессов региональных и муниципальных органов власти, оценка результатов деятельности, оптимизация организационной и функциональной структуры региональных и муниципальных органов власти;</w:t>
      </w:r>
    </w:p>
    <w:p>
      <w:pPr>
        <w:pStyle w:val="0"/>
        <w:spacing w:before="200" w:line-rule="auto"/>
        <w:ind w:firstLine="540"/>
        <w:jc w:val="both"/>
      </w:pPr>
      <w:r>
        <w:rPr>
          <w:sz w:val="20"/>
        </w:rPr>
        <w:t xml:space="preserve">проведение периодического (ежегодного, ежеквартального) обучения государственных и муниципальных служащих технологиям бережливого производства;</w:t>
      </w:r>
    </w:p>
    <w:p>
      <w:pPr>
        <w:pStyle w:val="0"/>
        <w:spacing w:before="200" w:line-rule="auto"/>
        <w:ind w:firstLine="540"/>
        <w:jc w:val="both"/>
      </w:pPr>
      <w:r>
        <w:rPr>
          <w:sz w:val="20"/>
        </w:rPr>
        <w:t xml:space="preserve">внедрение цифровых технологий, интеграция технологий умного (цифрового) и бережливого региона;</w:t>
      </w:r>
    </w:p>
    <w:p>
      <w:pPr>
        <w:pStyle w:val="0"/>
        <w:spacing w:before="200" w:line-rule="auto"/>
        <w:ind w:firstLine="540"/>
        <w:jc w:val="both"/>
      </w:pPr>
      <w:r>
        <w:rPr>
          <w:sz w:val="20"/>
        </w:rPr>
        <w:t xml:space="preserve">внедрение технологий бережливого производства в жилищно-коммунальном секторе (стандарты качества предоставления услуг, энергоэффективные технологии, оптимизация процессов управления, постоянное обучение сотрудников, нормативно-правовая база и пр.);</w:t>
      </w:r>
    </w:p>
    <w:p>
      <w:pPr>
        <w:pStyle w:val="0"/>
        <w:spacing w:before="200" w:line-rule="auto"/>
        <w:ind w:firstLine="540"/>
        <w:jc w:val="both"/>
      </w:pPr>
      <w:r>
        <w:rPr>
          <w:sz w:val="20"/>
        </w:rPr>
        <w:t xml:space="preserve">внедрение технологий бережливого производства в области предоставления услуг в социальной сфере (автоматизация процессов, внедрение электронных технологий, включая электронные медицинские карты, электронные очереди и пр., внедрение стандартов качества, сертификация качества предоставления услуг, постоянное обучение сотрудников, нормативно-правовая база и пр.).</w:t>
      </w:r>
    </w:p>
    <w:p>
      <w:pPr>
        <w:pStyle w:val="0"/>
        <w:jc w:val="both"/>
      </w:pPr>
      <w:r>
        <w:rPr>
          <w:sz w:val="20"/>
        </w:rPr>
      </w:r>
    </w:p>
    <w:p>
      <w:pPr>
        <w:pStyle w:val="2"/>
        <w:outlineLvl w:val="2"/>
        <w:ind w:firstLine="540"/>
        <w:jc w:val="both"/>
      </w:pPr>
      <w:r>
        <w:rPr>
          <w:sz w:val="20"/>
        </w:rPr>
        <w:t xml:space="preserve">6.4. Привлечение инвестиций</w:t>
      </w:r>
    </w:p>
    <w:p>
      <w:pPr>
        <w:pStyle w:val="0"/>
        <w:jc w:val="both"/>
      </w:pPr>
      <w:r>
        <w:rPr>
          <w:sz w:val="20"/>
        </w:rPr>
      </w:r>
    </w:p>
    <w:p>
      <w:pPr>
        <w:pStyle w:val="0"/>
        <w:ind w:firstLine="540"/>
        <w:jc w:val="both"/>
      </w:pPr>
      <w:r>
        <w:rPr>
          <w:sz w:val="20"/>
        </w:rPr>
        <w:t xml:space="preserve">Задача - создание условий для привлечения инвестиций, улучшение инвестиционного климата, снижение административных барьеров, повышение качества деловой среды, участие в федеральных инициативах.</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выравнивание преференций, получаемых инвесторами при реализации проектов на территории Курской области, по сравнению с другими регионами ЦФО;</w:t>
      </w:r>
    </w:p>
    <w:p>
      <w:pPr>
        <w:pStyle w:val="0"/>
        <w:spacing w:before="200" w:line-rule="auto"/>
        <w:ind w:firstLine="540"/>
        <w:jc w:val="both"/>
      </w:pPr>
      <w:r>
        <w:rPr>
          <w:sz w:val="20"/>
        </w:rPr>
        <w:t xml:space="preserve">привлечение резидентов в промышленные парки на территории Курской области (Щигровский, Юбилейный);</w:t>
      </w:r>
    </w:p>
    <w:p>
      <w:pPr>
        <w:pStyle w:val="0"/>
        <w:spacing w:before="200" w:line-rule="auto"/>
        <w:ind w:firstLine="540"/>
        <w:jc w:val="both"/>
      </w:pPr>
      <w:r>
        <w:rPr>
          <w:sz w:val="20"/>
        </w:rPr>
        <w:t xml:space="preserve">участие представителей Курской области в программах институтов развития Российской Федерации;</w:t>
      </w:r>
    </w:p>
    <w:p>
      <w:pPr>
        <w:pStyle w:val="0"/>
        <w:spacing w:before="200" w:line-rule="auto"/>
        <w:ind w:firstLine="540"/>
        <w:jc w:val="both"/>
      </w:pPr>
      <w:r>
        <w:rPr>
          <w:sz w:val="20"/>
        </w:rPr>
        <w:t xml:space="preserve">открытие региональных офисов институтов развития Российской Федерации, а также центра выявления и поддержки одаренных детей, детского технопарка "Кванториум" (Курск);</w:t>
      </w:r>
    </w:p>
    <w:p>
      <w:pPr>
        <w:pStyle w:val="0"/>
        <w:spacing w:before="200" w:line-rule="auto"/>
        <w:ind w:firstLine="540"/>
        <w:jc w:val="both"/>
      </w:pPr>
      <w:r>
        <w:rPr>
          <w:sz w:val="20"/>
        </w:rPr>
        <w:t xml:space="preserve">проведение обучающих семинаров и мероприятий по развитию государственно-частного партнерства и заключению концессионных соглашений;</w:t>
      </w:r>
    </w:p>
    <w:p>
      <w:pPr>
        <w:pStyle w:val="0"/>
        <w:spacing w:before="200" w:line-rule="auto"/>
        <w:ind w:firstLine="540"/>
        <w:jc w:val="both"/>
      </w:pPr>
      <w:r>
        <w:rPr>
          <w:sz w:val="20"/>
        </w:rPr>
        <w:t xml:space="preserve">упрощение процедуры получения разрешений на строительство и других документов;</w:t>
      </w:r>
    </w:p>
    <w:p>
      <w:pPr>
        <w:pStyle w:val="0"/>
        <w:spacing w:before="200" w:line-rule="auto"/>
        <w:ind w:firstLine="540"/>
        <w:jc w:val="both"/>
      </w:pPr>
      <w:r>
        <w:rPr>
          <w:sz w:val="20"/>
        </w:rPr>
        <w:t xml:space="preserve">упрощение процедур регистрации прав собственности на земельные участки и объекты недвижимого имущества;</w:t>
      </w:r>
    </w:p>
    <w:p>
      <w:pPr>
        <w:pStyle w:val="0"/>
        <w:spacing w:before="200" w:line-rule="auto"/>
        <w:ind w:firstLine="540"/>
        <w:jc w:val="both"/>
      </w:pPr>
      <w:r>
        <w:rPr>
          <w:sz w:val="20"/>
        </w:rPr>
        <w:t xml:space="preserve">упрощение подключения (технологического присоединения) к электрическим, газовым сетям, сетям теплоснабжения, водоснабжения и водоотведения, включая снижение стоимости, сроков и количества необходимой документации;</w:t>
      </w:r>
    </w:p>
    <w:p>
      <w:pPr>
        <w:pStyle w:val="0"/>
        <w:spacing w:before="200" w:line-rule="auto"/>
        <w:ind w:firstLine="540"/>
        <w:jc w:val="both"/>
      </w:pPr>
      <w:r>
        <w:rPr>
          <w:sz w:val="20"/>
        </w:rPr>
        <w:t xml:space="preserve">обеспечение защиты инвесторов и поддержки инвестиционной деятельности;</w:t>
      </w:r>
    </w:p>
    <w:p>
      <w:pPr>
        <w:pStyle w:val="0"/>
        <w:spacing w:before="200" w:line-rule="auto"/>
        <w:ind w:firstLine="540"/>
        <w:jc w:val="both"/>
      </w:pPr>
      <w:r>
        <w:rPr>
          <w:sz w:val="20"/>
        </w:rPr>
        <w:t xml:space="preserve">обеспечение работы специализированной организации по привлечению инвестиций, работы инвестиционного портала;</w:t>
      </w:r>
    </w:p>
    <w:p>
      <w:pPr>
        <w:pStyle w:val="0"/>
        <w:spacing w:before="200" w:line-rule="auto"/>
        <w:ind w:firstLine="540"/>
        <w:jc w:val="both"/>
      </w:pPr>
      <w:r>
        <w:rPr>
          <w:sz w:val="20"/>
        </w:rPr>
        <w:t xml:space="preserve">развитие инвестиционной инфраструктуры (промышленные парки, инвестиционные площадки);</w:t>
      </w:r>
    </w:p>
    <w:p>
      <w:pPr>
        <w:pStyle w:val="0"/>
        <w:spacing w:before="200" w:line-rule="auto"/>
        <w:ind w:firstLine="540"/>
        <w:jc w:val="both"/>
      </w:pPr>
      <w:r>
        <w:rPr>
          <w:sz w:val="20"/>
        </w:rPr>
        <w:t xml:space="preserve">разработка регионального закона об инвестиционном налоговом вычете;</w:t>
      </w:r>
    </w:p>
    <w:p>
      <w:pPr>
        <w:pStyle w:val="0"/>
        <w:spacing w:before="200" w:line-rule="auto"/>
        <w:ind w:firstLine="540"/>
        <w:jc w:val="both"/>
      </w:pPr>
      <w:r>
        <w:rPr>
          <w:sz w:val="20"/>
        </w:rPr>
        <w:t xml:space="preserve">развитие региональных "точек роста" - создание территории с особым экономическим статусом, в том числе реализация проекта по созданию особой экономической зоны промышленно-производственного типа на территории г. Железногорска и Железногорского района, как одного из значимых инструментов привлечения инвестиций;</w:t>
      </w:r>
    </w:p>
    <w:p>
      <w:pPr>
        <w:pStyle w:val="0"/>
        <w:spacing w:before="200" w:line-rule="auto"/>
        <w:ind w:firstLine="540"/>
        <w:jc w:val="both"/>
      </w:pPr>
      <w:r>
        <w:rPr>
          <w:sz w:val="20"/>
        </w:rPr>
        <w:t xml:space="preserve">создание условий для реализации на территории особой экономической зоны крупных инвестиционных проектов;</w:t>
      </w:r>
    </w:p>
    <w:p>
      <w:pPr>
        <w:pStyle w:val="0"/>
        <w:spacing w:before="200" w:line-rule="auto"/>
        <w:ind w:firstLine="540"/>
        <w:jc w:val="both"/>
      </w:pPr>
      <w:r>
        <w:rPr>
          <w:sz w:val="20"/>
        </w:rPr>
        <w:t xml:space="preserve">развитие производственной, транспортно-логистической инфраструктуры, обеспечивающей потребности потенциальных инвесторов, на территории особой экономической зоны;</w:t>
      </w:r>
    </w:p>
    <w:p>
      <w:pPr>
        <w:pStyle w:val="0"/>
        <w:spacing w:before="200" w:line-rule="auto"/>
        <w:ind w:firstLine="540"/>
        <w:jc w:val="both"/>
      </w:pPr>
      <w:r>
        <w:rPr>
          <w:sz w:val="20"/>
        </w:rPr>
        <w:t xml:space="preserve">реализация инвестиционных проектов на площадке созданной особой экономической зоны;</w:t>
      </w:r>
    </w:p>
    <w:p>
      <w:pPr>
        <w:pStyle w:val="0"/>
        <w:spacing w:before="200" w:line-rule="auto"/>
        <w:ind w:firstLine="540"/>
        <w:jc w:val="both"/>
      </w:pPr>
      <w:r>
        <w:rPr>
          <w:sz w:val="20"/>
        </w:rPr>
        <w:t xml:space="preserve">совершенствование системы поддержки инвестиционных проектов, проведение ежегодного мониторинга результатов региональной и муниципальной поддержки инвестиционных проектов, корректировка нормативных правовых актов (при необходимости) по результатам подобных мониторингов;</w:t>
      </w:r>
    </w:p>
    <w:p>
      <w:pPr>
        <w:pStyle w:val="0"/>
        <w:spacing w:before="200" w:line-rule="auto"/>
        <w:ind w:firstLine="540"/>
        <w:jc w:val="both"/>
      </w:pPr>
      <w:r>
        <w:rPr>
          <w:sz w:val="20"/>
        </w:rPr>
        <w:t xml:space="preserve">совершенствование контрольно-надзорной деятельности в Курской области в отношении бизнес-структур и органов власти;</w:t>
      </w:r>
    </w:p>
    <w:p>
      <w:pPr>
        <w:pStyle w:val="0"/>
        <w:spacing w:before="200" w:line-rule="auto"/>
        <w:ind w:firstLine="540"/>
        <w:jc w:val="both"/>
      </w:pPr>
      <w:r>
        <w:rPr>
          <w:sz w:val="20"/>
        </w:rPr>
        <w:t xml:space="preserve">снижение количества проверок бизнеса (плановых и внеплановых);</w:t>
      </w:r>
    </w:p>
    <w:p>
      <w:pPr>
        <w:pStyle w:val="0"/>
        <w:spacing w:before="200" w:line-rule="auto"/>
        <w:ind w:firstLine="540"/>
        <w:jc w:val="both"/>
      </w:pPr>
      <w:r>
        <w:rPr>
          <w:sz w:val="20"/>
        </w:rPr>
        <w:t xml:space="preserve">развитие инвестиционного портала Курской области, наполнение актуальной информацией, доступность портала на различных языках, интерактивная инвестиционная карта Курской области;</w:t>
      </w:r>
    </w:p>
    <w:p>
      <w:pPr>
        <w:pStyle w:val="0"/>
        <w:spacing w:before="200" w:line-rule="auto"/>
        <w:ind w:firstLine="540"/>
        <w:jc w:val="both"/>
      </w:pPr>
      <w:r>
        <w:rPr>
          <w:sz w:val="20"/>
        </w:rPr>
        <w:t xml:space="preserve">совершенствование нормативно-правовой базы в сфере государственно-частного и муниципально-частного партнерства согласно лучшим российским практикам;</w:t>
      </w:r>
    </w:p>
    <w:p>
      <w:pPr>
        <w:pStyle w:val="0"/>
        <w:spacing w:before="200" w:line-rule="auto"/>
        <w:ind w:firstLine="540"/>
        <w:jc w:val="both"/>
      </w:pPr>
      <w:r>
        <w:rPr>
          <w:sz w:val="20"/>
        </w:rPr>
        <w:t xml:space="preserve">создание Центра развития государственно-частного партнерства в форме бюджетного учреждения;</w:t>
      </w:r>
    </w:p>
    <w:p>
      <w:pPr>
        <w:pStyle w:val="0"/>
        <w:spacing w:before="200" w:line-rule="auto"/>
        <w:ind w:firstLine="540"/>
        <w:jc w:val="both"/>
      </w:pPr>
      <w:r>
        <w:rPr>
          <w:sz w:val="20"/>
        </w:rPr>
        <w:t xml:space="preserve">подготовка проектов с использованием механизмов государственно-частного и муниципально-частного партнерства, поиск инвесторов;</w:t>
      </w:r>
    </w:p>
    <w:p>
      <w:pPr>
        <w:pStyle w:val="0"/>
        <w:spacing w:before="200" w:line-rule="auto"/>
        <w:ind w:firstLine="540"/>
        <w:jc w:val="both"/>
      </w:pPr>
      <w:r>
        <w:rPr>
          <w:sz w:val="20"/>
        </w:rPr>
        <w:t xml:space="preserve">внедрение элементов проектного управления в рамках реализации государственно-частных и муниципально-частных партнерств;</w:t>
      </w:r>
    </w:p>
    <w:p>
      <w:pPr>
        <w:pStyle w:val="0"/>
        <w:spacing w:before="200" w:line-rule="auto"/>
        <w:ind w:firstLine="540"/>
        <w:jc w:val="both"/>
      </w:pPr>
      <w:r>
        <w:rPr>
          <w:sz w:val="20"/>
        </w:rPr>
        <w:t xml:space="preserve">подготовка концессионных проектов: подготовка документации, осуществление необходимых инвестиций, передача инвестору в управление;</w:t>
      </w:r>
    </w:p>
    <w:p>
      <w:pPr>
        <w:pStyle w:val="0"/>
        <w:spacing w:before="200" w:line-rule="auto"/>
        <w:ind w:firstLine="540"/>
        <w:jc w:val="both"/>
      </w:pPr>
      <w:r>
        <w:rPr>
          <w:sz w:val="20"/>
        </w:rPr>
        <w:t xml:space="preserve">разработка согласованного KPI "власть - бизнес - институты поддержки бизнеса", обеспечивающего взаимосвязь результатов работы представителей власти с ростом экономики региона.</w:t>
      </w:r>
    </w:p>
    <w:p>
      <w:pPr>
        <w:pStyle w:val="0"/>
        <w:jc w:val="both"/>
      </w:pPr>
      <w:r>
        <w:rPr>
          <w:sz w:val="20"/>
        </w:rPr>
      </w:r>
    </w:p>
    <w:p>
      <w:pPr>
        <w:pStyle w:val="2"/>
        <w:outlineLvl w:val="2"/>
        <w:ind w:firstLine="540"/>
        <w:jc w:val="both"/>
      </w:pPr>
      <w:r>
        <w:rPr>
          <w:sz w:val="20"/>
        </w:rPr>
        <w:t xml:space="preserve">6.5. Промышленная политика</w:t>
      </w:r>
    </w:p>
    <w:p>
      <w:pPr>
        <w:pStyle w:val="0"/>
        <w:jc w:val="both"/>
      </w:pPr>
      <w:r>
        <w:rPr>
          <w:sz w:val="20"/>
        </w:rPr>
      </w:r>
    </w:p>
    <w:p>
      <w:pPr>
        <w:pStyle w:val="0"/>
        <w:ind w:firstLine="540"/>
        <w:jc w:val="both"/>
      </w:pPr>
      <w:r>
        <w:rPr>
          <w:sz w:val="20"/>
        </w:rPr>
        <w:t xml:space="preserve">Задача - проведение современной промышленной политики, направленной на повышение производительности труда, внедрение новейших инструментов стимулирования модернизации и инновационного развития традиционных отраслей обрабатывающей и добывающей промышленности.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внедрение инструментов кластеризации экономики, повышения кооперации между предприятиями Курской области, содействие активизации вертикальных и горизонтальных связей между различными компаниями;</w:t>
      </w:r>
    </w:p>
    <w:p>
      <w:pPr>
        <w:pStyle w:val="0"/>
        <w:spacing w:before="200" w:line-rule="auto"/>
        <w:ind w:firstLine="540"/>
        <w:jc w:val="both"/>
      </w:pPr>
      <w:r>
        <w:rPr>
          <w:sz w:val="20"/>
        </w:rPr>
        <w:t xml:space="preserve">содействие созданию пояса малых предприятий вокруг крупной промышленности, создание условий для субконтрактации (электронная площадка);</w:t>
      </w:r>
    </w:p>
    <w:p>
      <w:pPr>
        <w:pStyle w:val="0"/>
        <w:spacing w:before="200" w:line-rule="auto"/>
        <w:ind w:firstLine="540"/>
        <w:jc w:val="both"/>
      </w:pPr>
      <w:r>
        <w:rPr>
          <w:sz w:val="20"/>
        </w:rPr>
        <w:t xml:space="preserve">обеспечение процессов импортозамещения, создание перечня ключевой продукции, производимой предприятиями Курской области, которая может стать основой для экспортоориентированного импортозамещения в России;</w:t>
      </w:r>
    </w:p>
    <w:p>
      <w:pPr>
        <w:pStyle w:val="0"/>
        <w:spacing w:before="200" w:line-rule="auto"/>
        <w:ind w:firstLine="540"/>
        <w:jc w:val="both"/>
      </w:pPr>
      <w:r>
        <w:rPr>
          <w:sz w:val="20"/>
        </w:rPr>
        <w:t xml:space="preserve">содействие процессам конверсии выпускаемой продукции предприятиями ОПК;</w:t>
      </w:r>
    </w:p>
    <w:p>
      <w:pPr>
        <w:pStyle w:val="0"/>
        <w:spacing w:before="200" w:line-rule="auto"/>
        <w:ind w:firstLine="540"/>
        <w:jc w:val="both"/>
      </w:pPr>
      <w:r>
        <w:rPr>
          <w:sz w:val="20"/>
        </w:rPr>
        <w:t xml:space="preserve">создание экспортного акселератора, в том числе для предприятий ОПК;</w:t>
      </w:r>
    </w:p>
    <w:p>
      <w:pPr>
        <w:pStyle w:val="0"/>
        <w:spacing w:before="200" w:line-rule="auto"/>
        <w:ind w:firstLine="540"/>
        <w:jc w:val="both"/>
      </w:pPr>
      <w:r>
        <w:rPr>
          <w:sz w:val="20"/>
        </w:rPr>
        <w:t xml:space="preserve">содействие в развитии производственного сектора малых и средних предприятий, в том числе через софинансирование создания производственных площадок, технопарков, центров коллективного доступа к производственному оборудованию;</w:t>
      </w:r>
    </w:p>
    <w:p>
      <w:pPr>
        <w:pStyle w:val="0"/>
        <w:spacing w:before="200" w:line-rule="auto"/>
        <w:ind w:firstLine="540"/>
        <w:jc w:val="both"/>
      </w:pPr>
      <w:r>
        <w:rPr>
          <w:sz w:val="20"/>
        </w:rPr>
        <w:t xml:space="preserve">развитие и формирование новой промышленной инфраструктуры (кластеры, промышленные технопарки);</w:t>
      </w:r>
    </w:p>
    <w:p>
      <w:pPr>
        <w:pStyle w:val="0"/>
        <w:spacing w:before="200" w:line-rule="auto"/>
        <w:ind w:firstLine="540"/>
        <w:jc w:val="both"/>
      </w:pPr>
      <w:r>
        <w:rPr>
          <w:sz w:val="20"/>
        </w:rPr>
        <w:t xml:space="preserve">дальнейшее развитие институтов поддержки и развития бизнеса (Государственный фонд развития промышленности Курской области, Центр "Мой бизнес" и др.).</w:t>
      </w:r>
    </w:p>
    <w:p>
      <w:pPr>
        <w:pStyle w:val="0"/>
        <w:jc w:val="both"/>
      </w:pPr>
      <w:r>
        <w:rPr>
          <w:sz w:val="20"/>
        </w:rPr>
      </w:r>
    </w:p>
    <w:p>
      <w:pPr>
        <w:pStyle w:val="2"/>
        <w:outlineLvl w:val="2"/>
        <w:ind w:firstLine="540"/>
        <w:jc w:val="both"/>
      </w:pPr>
      <w:r>
        <w:rPr>
          <w:sz w:val="20"/>
        </w:rPr>
        <w:t xml:space="preserve">6.6. Условия для развития малого и среднего предпринимательства</w:t>
      </w:r>
    </w:p>
    <w:p>
      <w:pPr>
        <w:pStyle w:val="0"/>
        <w:jc w:val="both"/>
      </w:pPr>
      <w:r>
        <w:rPr>
          <w:sz w:val="20"/>
        </w:rPr>
      </w:r>
    </w:p>
    <w:p>
      <w:pPr>
        <w:pStyle w:val="0"/>
        <w:ind w:firstLine="540"/>
        <w:jc w:val="both"/>
      </w:pPr>
      <w:r>
        <w:rPr>
          <w:sz w:val="20"/>
        </w:rPr>
        <w:t xml:space="preserve">Задача - создание благоприятных условий для развития малого и среднего предпринимательства, оптимизация мер поддержки, снижение административных барьеров.</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функционирование и развитие центра "Мой Бизнес", где на единой площадке в режиме "одного окна" осуществляется комплекс мер государственной поддержки. Единая информационная платформа "Мой Бизнес" ориентирована на помощь предпринимателям в открытии и развитии своего дела. Осуществление деятельности пяти объектов инфраструктуры поддержки малого и среднего предпринимательства;</w:t>
      </w:r>
    </w:p>
    <w:p>
      <w:pPr>
        <w:pStyle w:val="0"/>
        <w:spacing w:before="200" w:line-rule="auto"/>
        <w:ind w:firstLine="540"/>
        <w:jc w:val="both"/>
      </w:pPr>
      <w:r>
        <w:rPr>
          <w:sz w:val="20"/>
        </w:rPr>
        <w:t xml:space="preserve">проведение активной информационной компании, направленной на формирование положительного образа предпринимателя и выявление предпринимательских способностей, а также вовлечение в предпринимательскую деятельность лиц, имеющих предпринимательский потенциал и (или) мотивацию к созданию собственного бизнеса;</w:t>
      </w:r>
    </w:p>
    <w:p>
      <w:pPr>
        <w:pStyle w:val="0"/>
        <w:spacing w:before="200" w:line-rule="auto"/>
        <w:ind w:firstLine="540"/>
        <w:jc w:val="both"/>
      </w:pPr>
      <w:r>
        <w:rPr>
          <w:sz w:val="20"/>
        </w:rPr>
        <w:t xml:space="preserve">проведение масштабной работы Центра поддержки предпринимательства, Регионального центра инжиниринга и Центра поддержки экспорта с целью увеличения количества субъектов малого и среднего предпринимательства, охваченных услугами центра "Мой Бизнес", а также увеличение капитализации Микрофинансовой организации и Гарантийного фонда; сокращение среднего количества контрольно-надзорных мероприятий в год, приходящихся на одну организацию;</w:t>
      </w:r>
    </w:p>
    <w:p>
      <w:pPr>
        <w:pStyle w:val="0"/>
        <w:spacing w:before="200" w:line-rule="auto"/>
        <w:ind w:firstLine="540"/>
        <w:jc w:val="both"/>
      </w:pPr>
      <w:r>
        <w:rPr>
          <w:sz w:val="20"/>
        </w:rPr>
        <w:t xml:space="preserve">обеспечение взаимодействия с крупными сетевыми магазинами по вопросам доступа продукции курских товаропроизводителей;</w:t>
      </w:r>
    </w:p>
    <w:p>
      <w:pPr>
        <w:pStyle w:val="0"/>
        <w:spacing w:before="200" w:line-rule="auto"/>
        <w:ind w:firstLine="540"/>
        <w:jc w:val="both"/>
      </w:pPr>
      <w:r>
        <w:rPr>
          <w:sz w:val="20"/>
        </w:rPr>
        <w:t xml:space="preserve">содействие развитию новых форматов уличной торговли;</w:t>
      </w:r>
    </w:p>
    <w:p>
      <w:pPr>
        <w:pStyle w:val="0"/>
        <w:spacing w:before="200" w:line-rule="auto"/>
        <w:ind w:firstLine="540"/>
        <w:jc w:val="both"/>
      </w:pPr>
      <w:r>
        <w:rPr>
          <w:sz w:val="20"/>
        </w:rPr>
        <w:t xml:space="preserve">развитие многоформатной торговли и дальнейшее создание условий для повышения конкуренции в отрасли;</w:t>
      </w:r>
    </w:p>
    <w:p>
      <w:pPr>
        <w:pStyle w:val="0"/>
        <w:spacing w:before="200" w:line-rule="auto"/>
        <w:ind w:firstLine="540"/>
        <w:jc w:val="both"/>
      </w:pPr>
      <w:r>
        <w:rPr>
          <w:sz w:val="20"/>
        </w:rPr>
        <w:t xml:space="preserve">создание распределительных центров, кооперативных магазинов;</w:t>
      </w:r>
    </w:p>
    <w:p>
      <w:pPr>
        <w:pStyle w:val="0"/>
        <w:spacing w:before="200" w:line-rule="auto"/>
        <w:ind w:firstLine="540"/>
        <w:jc w:val="both"/>
      </w:pPr>
      <w:r>
        <w:rPr>
          <w:sz w:val="20"/>
        </w:rPr>
        <w:t xml:space="preserve">развитие рынков и ярмарок выходного дня;</w:t>
      </w:r>
    </w:p>
    <w:p>
      <w:pPr>
        <w:pStyle w:val="0"/>
        <w:spacing w:before="200" w:line-rule="auto"/>
        <w:ind w:firstLine="540"/>
        <w:jc w:val="both"/>
      </w:pPr>
      <w:r>
        <w:rPr>
          <w:sz w:val="20"/>
        </w:rPr>
        <w:t xml:space="preserve">организация ярмарок (продукты питания, бытовая химия, одежда и пр.) в малых населенных пунктах Курской области по заранее установленному расписанию;</w:t>
      </w:r>
    </w:p>
    <w:p>
      <w:pPr>
        <w:pStyle w:val="0"/>
        <w:spacing w:before="200" w:line-rule="auto"/>
        <w:ind w:firstLine="540"/>
        <w:jc w:val="both"/>
      </w:pPr>
      <w:r>
        <w:rPr>
          <w:sz w:val="20"/>
        </w:rPr>
        <w:t xml:space="preserve">оказание поддержки в создании потребительских кооперативов;</w:t>
      </w:r>
    </w:p>
    <w:p>
      <w:pPr>
        <w:pStyle w:val="0"/>
        <w:spacing w:before="200" w:line-rule="auto"/>
        <w:ind w:firstLine="540"/>
        <w:jc w:val="both"/>
      </w:pPr>
      <w:r>
        <w:rPr>
          <w:sz w:val="20"/>
        </w:rPr>
        <w:t xml:space="preserve">содействие проведению мастер-классов по развитию ремесел, творчества и пр. в торговых центрах и местах массового скопления людей;</w:t>
      </w:r>
    </w:p>
    <w:p>
      <w:pPr>
        <w:pStyle w:val="0"/>
        <w:spacing w:before="200" w:line-rule="auto"/>
        <w:ind w:firstLine="540"/>
        <w:jc w:val="both"/>
      </w:pPr>
      <w:r>
        <w:rPr>
          <w:sz w:val="20"/>
        </w:rPr>
        <w:t xml:space="preserve">содействие развитию предпринимательства (приоритизация мер поддержки) в сфере экономики "серебряного" возраста, социально ориентированного предпринимательства;</w:t>
      </w:r>
    </w:p>
    <w:p>
      <w:pPr>
        <w:pStyle w:val="0"/>
        <w:spacing w:before="200" w:line-rule="auto"/>
        <w:ind w:firstLine="540"/>
        <w:jc w:val="both"/>
      </w:pPr>
      <w:r>
        <w:rPr>
          <w:sz w:val="20"/>
        </w:rPr>
        <w:t xml:space="preserve">популяризация предпринимательства, публикация в СМИ и на интернет-порталах ярких историй успехов курских предпринимателей;</w:t>
      </w:r>
    </w:p>
    <w:p>
      <w:pPr>
        <w:pStyle w:val="0"/>
        <w:spacing w:before="200" w:line-rule="auto"/>
        <w:ind w:firstLine="540"/>
        <w:jc w:val="both"/>
      </w:pPr>
      <w:r>
        <w:rPr>
          <w:sz w:val="20"/>
        </w:rPr>
        <w:t xml:space="preserve">создание и расширение действующих инвестиционных площадок, развитие промышленных парков;</w:t>
      </w:r>
    </w:p>
    <w:p>
      <w:pPr>
        <w:pStyle w:val="0"/>
        <w:spacing w:before="200" w:line-rule="auto"/>
        <w:ind w:firstLine="540"/>
        <w:jc w:val="both"/>
      </w:pPr>
      <w:r>
        <w:rPr>
          <w:sz w:val="20"/>
        </w:rPr>
        <w:t xml:space="preserve">создание электронной площадки для субконтрактации;</w:t>
      </w:r>
    </w:p>
    <w:p>
      <w:pPr>
        <w:pStyle w:val="0"/>
        <w:spacing w:before="200" w:line-rule="auto"/>
        <w:ind w:firstLine="540"/>
        <w:jc w:val="both"/>
      </w:pPr>
      <w:r>
        <w:rPr>
          <w:sz w:val="20"/>
        </w:rPr>
        <w:t xml:space="preserve">масштабирование работы Гарантийного фонда Курской области, Центра поддержки предпринимательства;</w:t>
      </w:r>
    </w:p>
    <w:p>
      <w:pPr>
        <w:pStyle w:val="0"/>
        <w:spacing w:before="200" w:line-rule="auto"/>
        <w:ind w:firstLine="540"/>
        <w:jc w:val="both"/>
      </w:pPr>
      <w:r>
        <w:rPr>
          <w:sz w:val="20"/>
        </w:rPr>
        <w:t xml:space="preserve">развитие сервисов для бизнеса, которые будут предоставлять услуги по принципу "одного окна" на базе существующих в регионе филиалов МФЦ;</w:t>
      </w:r>
    </w:p>
    <w:p>
      <w:pPr>
        <w:pStyle w:val="0"/>
        <w:spacing w:before="200" w:line-rule="auto"/>
        <w:ind w:firstLine="540"/>
        <w:jc w:val="both"/>
      </w:pPr>
      <w:r>
        <w:rPr>
          <w:sz w:val="20"/>
        </w:rPr>
        <w:t xml:space="preserve">развитие института медиации при решении проблемных вопросов субъектов малого и среднего предпринимательства;</w:t>
      </w:r>
    </w:p>
    <w:p>
      <w:pPr>
        <w:pStyle w:val="0"/>
        <w:spacing w:before="200" w:line-rule="auto"/>
        <w:ind w:firstLine="540"/>
        <w:jc w:val="both"/>
      </w:pPr>
      <w:r>
        <w:rPr>
          <w:sz w:val="20"/>
        </w:rPr>
        <w:t xml:space="preserve">расширение консультационной и информационной поддержки малого предпринимательства, развитие интернет-портала для малого и среднего бизнеса;</w:t>
      </w:r>
    </w:p>
    <w:p>
      <w:pPr>
        <w:pStyle w:val="0"/>
        <w:spacing w:before="200" w:line-rule="auto"/>
        <w:ind w:firstLine="540"/>
        <w:jc w:val="both"/>
      </w:pPr>
      <w:r>
        <w:rPr>
          <w:sz w:val="20"/>
        </w:rPr>
        <w:t xml:space="preserve">создание условий для продвижения на потребительском рынке продукции местного производства, в том числе маркированной знаком "Сделано в Курской области";</w:t>
      </w:r>
    </w:p>
    <w:p>
      <w:pPr>
        <w:pStyle w:val="0"/>
        <w:spacing w:before="200" w:line-rule="auto"/>
        <w:ind w:firstLine="540"/>
        <w:jc w:val="both"/>
      </w:pPr>
      <w:r>
        <w:rPr>
          <w:sz w:val="20"/>
        </w:rPr>
        <w:t xml:space="preserve">осуществление мер по легализации самозанятых;</w:t>
      </w:r>
    </w:p>
    <w:p>
      <w:pPr>
        <w:pStyle w:val="0"/>
        <w:spacing w:before="200" w:line-rule="auto"/>
        <w:ind w:firstLine="540"/>
        <w:jc w:val="both"/>
      </w:pPr>
      <w:r>
        <w:rPr>
          <w:sz w:val="20"/>
        </w:rPr>
        <w:t xml:space="preserve">создание единого центра управления сферой предпринимательства.</w:t>
      </w:r>
    </w:p>
    <w:p>
      <w:pPr>
        <w:pStyle w:val="0"/>
        <w:jc w:val="both"/>
      </w:pPr>
      <w:r>
        <w:rPr>
          <w:sz w:val="20"/>
        </w:rPr>
      </w:r>
    </w:p>
    <w:p>
      <w:pPr>
        <w:pStyle w:val="2"/>
        <w:outlineLvl w:val="2"/>
        <w:ind w:firstLine="540"/>
        <w:jc w:val="both"/>
      </w:pPr>
      <w:r>
        <w:rPr>
          <w:sz w:val="20"/>
        </w:rPr>
        <w:t xml:space="preserve">6.7. Региональные и муниципальные финансы</w:t>
      </w:r>
    </w:p>
    <w:p>
      <w:pPr>
        <w:pStyle w:val="0"/>
        <w:jc w:val="both"/>
      </w:pPr>
      <w:r>
        <w:rPr>
          <w:sz w:val="20"/>
        </w:rPr>
      </w:r>
    </w:p>
    <w:p>
      <w:pPr>
        <w:pStyle w:val="0"/>
        <w:ind w:firstLine="540"/>
        <w:jc w:val="both"/>
      </w:pPr>
      <w:r>
        <w:rPr>
          <w:sz w:val="20"/>
        </w:rPr>
        <w:t xml:space="preserve">Задача - повышение эффективности перераспределения муниципальных средств с целью увеличения совокупного общественного богатства.</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реализация мер региональными органами власти по дополнительному закреплению за местными бюджетами отчислений от федеральных и региональных налогов (в том числе по налогу на имущество организаций, транспортному налогу, единому налогу, взимаемому в связи с применением упрощенной системы налогообложения (УСН), поступлений от уплаты штрафов за нарушение ПДД и др.) (примеры лучших практик - Владимирская область, где 100% транспортного налога передано на муниципальный уровень);</w:t>
      </w:r>
    </w:p>
    <w:p>
      <w:pPr>
        <w:pStyle w:val="0"/>
        <w:spacing w:before="200" w:line-rule="auto"/>
        <w:ind w:firstLine="540"/>
        <w:jc w:val="both"/>
      </w:pPr>
      <w:r>
        <w:rPr>
          <w:sz w:val="20"/>
        </w:rPr>
        <w:t xml:space="preserve">обеспечение передачи на местный уровень сверхплановых доходов по налоговым поступлениям по отдельным видам налогов пропорционально вкладу муниципальных образований в доходную часть, использование имеющихся областных резервов на муниципальном уровне с целью создания дополнительной системы стимулов у экономических агентов (мера соответствует лучшим мировым практикам и нацелена на децентрализацию и регионализм социально-экономической политики и направлена на повышение заинтересованности местных властей в развитии предпринимательства);</w:t>
      </w:r>
    </w:p>
    <w:p>
      <w:pPr>
        <w:pStyle w:val="0"/>
        <w:spacing w:before="200" w:line-rule="auto"/>
        <w:ind w:firstLine="540"/>
        <w:jc w:val="both"/>
      </w:pPr>
      <w:r>
        <w:rPr>
          <w:sz w:val="20"/>
        </w:rPr>
        <w:t xml:space="preserve">увеличение доли налогов, собираемых с предпринимателей и направляемых в муниципальные бюджеты, как фактор повышения заинтересованности местных властей в развитии предпринимательства;</w:t>
      </w:r>
    </w:p>
    <w:p>
      <w:pPr>
        <w:pStyle w:val="0"/>
        <w:spacing w:before="200" w:line-rule="auto"/>
        <w:ind w:firstLine="540"/>
        <w:jc w:val="both"/>
      </w:pPr>
      <w:r>
        <w:rPr>
          <w:sz w:val="20"/>
        </w:rPr>
        <w:t xml:space="preserve">поэтапное внедрение лучших мировых практик по перераспределению муниципальных средств с целью увеличения совокупного общественного богатства, в том числе следующих:</w:t>
      </w:r>
    </w:p>
    <w:p>
      <w:pPr>
        <w:pStyle w:val="0"/>
        <w:spacing w:before="200" w:line-rule="auto"/>
        <w:ind w:firstLine="540"/>
        <w:jc w:val="both"/>
      </w:pPr>
      <w:r>
        <w:rPr>
          <w:sz w:val="20"/>
        </w:rPr>
        <w:t xml:space="preserve">а) ограничение строительства автомагистралей в городской черте за счет тротуаров и зеленых насаждений, ограничение строительства капиталоемких надземных и подземных переходов, дорогостоящих развязок, косвенно способствующего развитию личного автомобильного транспорта, снижающего качество жизни в городе и требующего возрастающих затрат на содержание инфраструктуры (мировой опыт свидетельствует о невозможности решения проблемы дорожных заторов за счет строительства новых дорог из-за ограниченности городского пространства); приоритетное финансирование систем общественного транспорта как единственного способа решения транспортных проблем;</w:t>
      </w:r>
    </w:p>
    <w:p>
      <w:pPr>
        <w:pStyle w:val="0"/>
        <w:spacing w:before="200" w:line-rule="auto"/>
        <w:ind w:firstLine="540"/>
        <w:jc w:val="both"/>
      </w:pPr>
      <w:r>
        <w:rPr>
          <w:sz w:val="20"/>
        </w:rPr>
        <w:t xml:space="preserve">б) создание условий для изменения подходов к жилой застройке с целью стимулирования застройщиков строить объекты социальной инфраструктуры, общественного транспорта, кварталы с торговыми улицами и первыми этажами для бизнеса, способствующее развитию предпринимательства и косвенному росту объемов собираемости налогов, в том числе за счет послаблений в части обеспечения парковочными местами и другими устаревшими требованиями и стандартами (лучшая мировая практика - частные трамвайные линии как социальная нагрузка для застройщиков при строительстве жилых комплексов);</w:t>
      </w:r>
    </w:p>
    <w:p>
      <w:pPr>
        <w:pStyle w:val="0"/>
        <w:spacing w:before="200" w:line-rule="auto"/>
        <w:ind w:firstLine="540"/>
        <w:jc w:val="both"/>
      </w:pPr>
      <w:r>
        <w:rPr>
          <w:sz w:val="20"/>
        </w:rPr>
        <w:t xml:space="preserve">в) выход с инициативой об увеличении доли налогов, собираемых с предпринимателей и направляемых в муниципальные бюджеты, - как фактор повышения заинтересованности местных властей в развитии предпринимательства и росте доходов муниципальных бюджетов;</w:t>
      </w:r>
    </w:p>
    <w:p>
      <w:pPr>
        <w:pStyle w:val="0"/>
        <w:spacing w:before="200" w:line-rule="auto"/>
        <w:ind w:firstLine="540"/>
        <w:jc w:val="both"/>
      </w:pPr>
      <w:r>
        <w:rPr>
          <w:sz w:val="20"/>
        </w:rPr>
        <w:t xml:space="preserve">г) поэтапное внедрение платности отдельных ограниченных городских ресурсов, прежде всего, земельных, в том числе поэтапное расширение платного парковочного пространства;</w:t>
      </w:r>
    </w:p>
    <w:p>
      <w:pPr>
        <w:pStyle w:val="0"/>
        <w:spacing w:before="200" w:line-rule="auto"/>
        <w:ind w:firstLine="540"/>
        <w:jc w:val="both"/>
      </w:pPr>
      <w:r>
        <w:rPr>
          <w:sz w:val="20"/>
        </w:rPr>
        <w:t xml:space="preserve">повышение эффективности сбора налогов с юридических и физических лиц, регистрация самозанятых лиц, информирование населения о различных вариантах уплаты налогов с коммерческой деятельности (использование патентов, упрощенной схемы через налог на доходы физических лиц и пр.);</w:t>
      </w:r>
    </w:p>
    <w:p>
      <w:pPr>
        <w:pStyle w:val="0"/>
        <w:spacing w:before="200" w:line-rule="auto"/>
        <w:ind w:firstLine="540"/>
        <w:jc w:val="both"/>
      </w:pPr>
      <w:r>
        <w:rPr>
          <w:sz w:val="20"/>
        </w:rPr>
        <w:t xml:space="preserve">расширение сферы применения патентной системы налогообложения в целях вывода предпринимателей из "тени";</w:t>
      </w:r>
    </w:p>
    <w:p>
      <w:pPr>
        <w:pStyle w:val="0"/>
        <w:spacing w:before="200" w:line-rule="auto"/>
        <w:ind w:firstLine="540"/>
        <w:jc w:val="both"/>
      </w:pPr>
      <w:r>
        <w:rPr>
          <w:sz w:val="20"/>
        </w:rPr>
        <w:t xml:space="preserve">содействие реализации программ социальной ответственности бизнеса, создание переговорных площадок и ассоциаций по созданию стимулов и условий для реализации бизнесом социально значимых проектов, с одной стороны, и благоприятных условий местными органами власти - с другой (пример: благоустройство силами предприятий с установкой рекламных конструкций, установка инсталляций или архитектурных объектов предприятиями, которые могут стать точками притяжения, именной общественный транспорт, субсидирование поездок пожилых на общественном транспорте (бесплатный проезд в ряде городов мира за счет социально ответственного бизнеса) и др.);</w:t>
      </w:r>
    </w:p>
    <w:p>
      <w:pPr>
        <w:pStyle w:val="0"/>
        <w:spacing w:before="200" w:line-rule="auto"/>
        <w:ind w:firstLine="540"/>
        <w:jc w:val="both"/>
      </w:pPr>
      <w:r>
        <w:rPr>
          <w:sz w:val="20"/>
        </w:rPr>
        <w:t xml:space="preserve">внедрение лучших современных практик в области поддержки и стимулирования смежных сфер, оказывающих прямое развитие на развитие малого и среднего предпринимательства и рост налогооблагаемой базы (пример лучшей практики: реализация концепции пешеходного города, расширение тротуаров и создание транспортно-пересадочных узлов способствует кратному росту трафика, это приводит к росту спроса и оборотов предприятий малого и среднего предпринимательства, оживлению городских улиц и росту собираемости налогов, опыт Лондона и Москвы свидетельствует о практически двукратном росте оборота сферы торговли и услуг; реализация программ торговых первых этажей зданий, квартальной застройки, создания многофункциональных кварталов, общественных пространств и общественного транспорта вместо обязательств по парковкам - увеличивает стоимость коммерческих и жилых помещений, экономит транспортные издержки, что приводит к значительным положительным внешним эффектам как для бизнеса, так и для городского бюджета).</w:t>
      </w:r>
    </w:p>
    <w:p>
      <w:pPr>
        <w:pStyle w:val="0"/>
        <w:jc w:val="both"/>
      </w:pPr>
      <w:r>
        <w:rPr>
          <w:sz w:val="20"/>
        </w:rPr>
      </w:r>
    </w:p>
    <w:p>
      <w:pPr>
        <w:pStyle w:val="2"/>
        <w:outlineLvl w:val="2"/>
        <w:ind w:firstLine="540"/>
        <w:jc w:val="both"/>
      </w:pPr>
      <w:r>
        <w:rPr>
          <w:sz w:val="20"/>
        </w:rPr>
        <w:t xml:space="preserve">6.8. Экспорт</w:t>
      </w:r>
    </w:p>
    <w:p>
      <w:pPr>
        <w:pStyle w:val="0"/>
        <w:jc w:val="both"/>
      </w:pPr>
      <w:r>
        <w:rPr>
          <w:sz w:val="20"/>
        </w:rPr>
      </w:r>
    </w:p>
    <w:p>
      <w:pPr>
        <w:pStyle w:val="0"/>
        <w:ind w:firstLine="540"/>
        <w:jc w:val="both"/>
      </w:pPr>
      <w:r>
        <w:rPr>
          <w:sz w:val="20"/>
        </w:rPr>
        <w:t xml:space="preserve">Задача - увеличение объемов поставок на традиционные для Курской области зарубежные рынки, освоение новых рынков, производство новых экспортных товаров.</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реализация экспортной стратегии Курской области (</w:t>
      </w:r>
      <w:hyperlink w:history="0" w:anchor="P6084" w:tooltip="ЭКСПОРТНАЯ СТРАТЕГИЯ КУРСКОЙ ОБЛАСТИ">
        <w:r>
          <w:rPr>
            <w:sz w:val="20"/>
            <w:color w:val="0000ff"/>
          </w:rPr>
          <w:t xml:space="preserve">приложение N 5</w:t>
        </w:r>
      </w:hyperlink>
      <w:r>
        <w:rPr>
          <w:sz w:val="20"/>
        </w:rPr>
        <w:t xml:space="preserve"> к Стратегии социально-экономического развития Курской области на период до 2030 года);</w:t>
      </w:r>
    </w:p>
    <w:p>
      <w:pPr>
        <w:pStyle w:val="0"/>
        <w:spacing w:before="200" w:line-rule="auto"/>
        <w:ind w:firstLine="540"/>
        <w:jc w:val="both"/>
      </w:pPr>
      <w:r>
        <w:rPr>
          <w:sz w:val="20"/>
        </w:rPr>
        <w:t xml:space="preserve">внедрение механизмов регионального экспортного стандарта;</w:t>
      </w:r>
    </w:p>
    <w:p>
      <w:pPr>
        <w:pStyle w:val="0"/>
        <w:spacing w:before="200" w:line-rule="auto"/>
        <w:ind w:firstLine="540"/>
        <w:jc w:val="both"/>
      </w:pPr>
      <w:r>
        <w:rPr>
          <w:sz w:val="20"/>
        </w:rPr>
        <w:t xml:space="preserve">обеспечение методической поддержки экспортной деятельности для малых и средних предприятий, в том числе привлечение к данной работе специалистов из крупного бизнеса;</w:t>
      </w:r>
    </w:p>
    <w:p>
      <w:pPr>
        <w:pStyle w:val="0"/>
        <w:spacing w:before="200" w:line-rule="auto"/>
        <w:ind w:firstLine="540"/>
        <w:jc w:val="both"/>
      </w:pPr>
      <w:r>
        <w:rPr>
          <w:sz w:val="20"/>
        </w:rPr>
        <w:t xml:space="preserve">субсидирование затрат предприятий на участие в выставках;</w:t>
      </w:r>
    </w:p>
    <w:p>
      <w:pPr>
        <w:pStyle w:val="0"/>
        <w:spacing w:before="200" w:line-rule="auto"/>
        <w:ind w:firstLine="540"/>
        <w:jc w:val="both"/>
      </w:pPr>
      <w:r>
        <w:rPr>
          <w:sz w:val="20"/>
        </w:rPr>
        <w:t xml:space="preserve">осуществление бизнес-миссий в зарубежные страны и субъекты Российской Федерации;</w:t>
      </w:r>
    </w:p>
    <w:p>
      <w:pPr>
        <w:pStyle w:val="0"/>
        <w:spacing w:before="200" w:line-rule="auto"/>
        <w:ind w:firstLine="540"/>
        <w:jc w:val="both"/>
      </w:pPr>
      <w:r>
        <w:rPr>
          <w:sz w:val="20"/>
        </w:rPr>
        <w:t xml:space="preserve">финансовая, консультационная, организационная, инфраструктурная поддержка экспортной деятельности;</w:t>
      </w:r>
    </w:p>
    <w:p>
      <w:pPr>
        <w:pStyle w:val="0"/>
        <w:spacing w:before="200" w:line-rule="auto"/>
        <w:ind w:firstLine="540"/>
        <w:jc w:val="both"/>
      </w:pPr>
      <w:r>
        <w:rPr>
          <w:sz w:val="20"/>
        </w:rPr>
        <w:t xml:space="preserve">развитие экспорта услуг (медицина, здравоохранение и др.);</w:t>
      </w:r>
    </w:p>
    <w:p>
      <w:pPr>
        <w:pStyle w:val="0"/>
        <w:spacing w:before="200" w:line-rule="auto"/>
        <w:ind w:firstLine="540"/>
        <w:jc w:val="both"/>
      </w:pPr>
      <w:r>
        <w:rPr>
          <w:sz w:val="20"/>
        </w:rPr>
        <w:t xml:space="preserve">создание оптимальных механизмов поддержки экспортной деятельности компаний Курской области (участие компаний в программах субсидирования, логистическое сопровождение, модернизация пунктов пропуска, снижение административных барьеров, снижение времени прохождения таможенных процедур и пр.);</w:t>
      </w:r>
    </w:p>
    <w:p>
      <w:pPr>
        <w:pStyle w:val="0"/>
        <w:spacing w:before="200" w:line-rule="auto"/>
        <w:ind w:firstLine="540"/>
        <w:jc w:val="both"/>
      </w:pPr>
      <w:r>
        <w:rPr>
          <w:sz w:val="20"/>
        </w:rPr>
        <w:t xml:space="preserve">обеспечение защиты интересов экспортеров Курской области;</w:t>
      </w:r>
    </w:p>
    <w:p>
      <w:pPr>
        <w:pStyle w:val="0"/>
        <w:spacing w:before="200" w:line-rule="auto"/>
        <w:ind w:firstLine="540"/>
        <w:jc w:val="both"/>
      </w:pPr>
      <w:r>
        <w:rPr>
          <w:sz w:val="20"/>
        </w:rPr>
        <w:t xml:space="preserve">финансовое стимулирование экспортной деятельности (кредиты, страхование, налоговые льготы);</w:t>
      </w:r>
    </w:p>
    <w:p>
      <w:pPr>
        <w:pStyle w:val="0"/>
        <w:spacing w:before="200" w:line-rule="auto"/>
        <w:ind w:firstLine="540"/>
        <w:jc w:val="both"/>
      </w:pPr>
      <w:r>
        <w:rPr>
          <w:sz w:val="20"/>
        </w:rPr>
        <w:t xml:space="preserve">развитие информационных технологий для снижения издержек экспортной деятельности;</w:t>
      </w:r>
    </w:p>
    <w:p>
      <w:pPr>
        <w:pStyle w:val="0"/>
        <w:spacing w:before="200" w:line-rule="auto"/>
        <w:ind w:firstLine="540"/>
        <w:jc w:val="both"/>
      </w:pPr>
      <w:r>
        <w:rPr>
          <w:sz w:val="20"/>
        </w:rPr>
        <w:t xml:space="preserve">выход на новые рынки, продвижение товаров и услуг Курской области: Юго-Восточная Азия (малотоннажные перевозки, машиностроительная продукция, туристические услуги), Северная Африка и Ближний Восток (продовольствие, фармацевтическая продукция), Центральная и Южная Африка (продовольствие, машиностроительная продукция).</w:t>
      </w:r>
    </w:p>
    <w:p>
      <w:pPr>
        <w:pStyle w:val="0"/>
        <w:jc w:val="both"/>
      </w:pPr>
      <w:r>
        <w:rPr>
          <w:sz w:val="20"/>
        </w:rPr>
      </w:r>
    </w:p>
    <w:p>
      <w:pPr>
        <w:pStyle w:val="2"/>
        <w:outlineLvl w:val="2"/>
        <w:ind w:firstLine="540"/>
        <w:jc w:val="both"/>
      </w:pPr>
      <w:r>
        <w:rPr>
          <w:sz w:val="20"/>
        </w:rPr>
        <w:t xml:space="preserve">6.9. Контрольно-надзорная деятельность</w:t>
      </w:r>
    </w:p>
    <w:p>
      <w:pPr>
        <w:pStyle w:val="0"/>
        <w:jc w:val="both"/>
      </w:pPr>
      <w:r>
        <w:rPr>
          <w:sz w:val="20"/>
        </w:rPr>
      </w:r>
    </w:p>
    <w:p>
      <w:pPr>
        <w:pStyle w:val="0"/>
        <w:ind w:firstLine="540"/>
        <w:jc w:val="both"/>
      </w:pPr>
      <w:r>
        <w:rPr>
          <w:sz w:val="20"/>
        </w:rPr>
        <w:t xml:space="preserve">Задача - обеспечение деятельности контрольных (надзорных) органов, направленной на профилактику нарушений обязательных требований, оценку их соблюдения гражданами и организациями, выявление нарушений, принятие мер по пресечению выявленных нарушений, устранение их последствий.</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утверждение программ профилактики нарушений обязательных требований и осуществление мероприятий по их профилактике;</w:t>
      </w:r>
    </w:p>
    <w:p>
      <w:pPr>
        <w:pStyle w:val="0"/>
        <w:spacing w:before="200" w:line-rule="auto"/>
        <w:ind w:firstLine="540"/>
        <w:jc w:val="both"/>
      </w:pPr>
      <w:r>
        <w:rPr>
          <w:sz w:val="20"/>
        </w:rPr>
        <w:t xml:space="preserve">проведение информирования юридических лиц, индивидуальных предпринимателей по вопросам соблюдения обязательных требований органов власти посредством электронной рассылки по мере формирования данных требований;</w:t>
      </w:r>
    </w:p>
    <w:p>
      <w:pPr>
        <w:pStyle w:val="0"/>
        <w:spacing w:before="200" w:line-rule="auto"/>
        <w:ind w:firstLine="540"/>
        <w:jc w:val="both"/>
      </w:pPr>
      <w:r>
        <w:rPr>
          <w:sz w:val="20"/>
        </w:rPr>
        <w:t xml:space="preserve">проведение регулярных публичных обсуждений результатов правоприменительной практики контрольно-надзорной деятельности;</w:t>
      </w:r>
    </w:p>
    <w:p>
      <w:pPr>
        <w:pStyle w:val="0"/>
        <w:spacing w:before="200" w:line-rule="auto"/>
        <w:ind w:firstLine="540"/>
        <w:jc w:val="both"/>
      </w:pPr>
      <w:r>
        <w:rPr>
          <w:sz w:val="20"/>
        </w:rPr>
        <w:t xml:space="preserve">применение риск-ориентированного подхода при организации государственного контроля (надзора) применительно к отраслевым направлениям государственного контроля (надзора);</w:t>
      </w:r>
    </w:p>
    <w:p>
      <w:pPr>
        <w:pStyle w:val="0"/>
        <w:spacing w:before="200" w:line-rule="auto"/>
        <w:ind w:firstLine="540"/>
        <w:jc w:val="both"/>
      </w:pPr>
      <w:r>
        <w:rPr>
          <w:sz w:val="20"/>
        </w:rPr>
        <w:t xml:space="preserve">внедрение системы оценки результативности и эффективности контрольно-надзорной деятельности.</w:t>
      </w:r>
    </w:p>
    <w:p>
      <w:pPr>
        <w:pStyle w:val="0"/>
        <w:jc w:val="both"/>
      </w:pPr>
      <w:r>
        <w:rPr>
          <w:sz w:val="20"/>
        </w:rPr>
      </w:r>
    </w:p>
    <w:p>
      <w:pPr>
        <w:pStyle w:val="2"/>
        <w:outlineLvl w:val="1"/>
        <w:jc w:val="center"/>
      </w:pPr>
      <w:r>
        <w:rPr>
          <w:sz w:val="20"/>
        </w:rPr>
        <w:t xml:space="preserve">7. Приоритетное направление "Здоровье, здравоохранение</w:t>
      </w:r>
    </w:p>
    <w:p>
      <w:pPr>
        <w:pStyle w:val="2"/>
        <w:jc w:val="center"/>
      </w:pPr>
      <w:r>
        <w:rPr>
          <w:sz w:val="20"/>
        </w:rPr>
        <w:t xml:space="preserve">и социальная сфера"</w:t>
      </w:r>
    </w:p>
    <w:p>
      <w:pPr>
        <w:pStyle w:val="0"/>
        <w:jc w:val="both"/>
      </w:pPr>
      <w:r>
        <w:rPr>
          <w:sz w:val="20"/>
        </w:rPr>
      </w:r>
    </w:p>
    <w:p>
      <w:pPr>
        <w:pStyle w:val="0"/>
        <w:ind w:firstLine="540"/>
        <w:jc w:val="both"/>
      </w:pPr>
      <w:r>
        <w:rPr>
          <w:sz w:val="20"/>
        </w:rPr>
        <w:t xml:space="preserve">Стратегическая цель - повышение качества жизни населения за счет популяризации здорового образа жизни, развития социальной инфраструктуры и развития современных технологий в социальной сфере.</w:t>
      </w:r>
    </w:p>
    <w:p>
      <w:pPr>
        <w:pStyle w:val="0"/>
        <w:spacing w:before="200" w:line-rule="auto"/>
        <w:ind w:firstLine="540"/>
        <w:jc w:val="both"/>
      </w:pPr>
      <w:r>
        <w:rPr>
          <w:sz w:val="20"/>
        </w:rPr>
        <w:t xml:space="preserve">Основные проблемы и ограничения:</w:t>
      </w:r>
    </w:p>
    <w:p>
      <w:pPr>
        <w:pStyle w:val="0"/>
        <w:spacing w:before="200" w:line-rule="auto"/>
        <w:ind w:firstLine="540"/>
        <w:jc w:val="both"/>
      </w:pPr>
      <w:r>
        <w:rPr>
          <w:sz w:val="20"/>
        </w:rPr>
        <w:t xml:space="preserve">высокий уровень смертности населения, ожидаемая продолжительность жизни ниже среднерегионального уровня в России;</w:t>
      </w:r>
    </w:p>
    <w:p>
      <w:pPr>
        <w:pStyle w:val="0"/>
        <w:spacing w:before="200" w:line-rule="auto"/>
        <w:ind w:firstLine="540"/>
        <w:jc w:val="both"/>
      </w:pPr>
      <w:r>
        <w:rPr>
          <w:sz w:val="20"/>
        </w:rPr>
        <w:t xml:space="preserve">низкий уровень доступности современных технологий и объектов социальной инфраструктуры в сельской местности;</w:t>
      </w:r>
    </w:p>
    <w:p>
      <w:pPr>
        <w:pStyle w:val="0"/>
        <w:spacing w:before="200" w:line-rule="auto"/>
        <w:ind w:firstLine="540"/>
        <w:jc w:val="both"/>
      </w:pPr>
      <w:r>
        <w:rPr>
          <w:sz w:val="20"/>
        </w:rPr>
        <w:t xml:space="preserve">низкий уровень культуры питания;</w:t>
      </w:r>
    </w:p>
    <w:p>
      <w:pPr>
        <w:pStyle w:val="0"/>
        <w:spacing w:before="200" w:line-rule="auto"/>
        <w:ind w:firstLine="540"/>
        <w:jc w:val="both"/>
      </w:pPr>
      <w:r>
        <w:rPr>
          <w:sz w:val="20"/>
        </w:rPr>
        <w:t xml:space="preserve">отсутствие единой информационной медицинской электронной системы с общей базой данных пациентов;</w:t>
      </w:r>
    </w:p>
    <w:p>
      <w:pPr>
        <w:pStyle w:val="0"/>
        <w:spacing w:before="200" w:line-rule="auto"/>
        <w:ind w:firstLine="540"/>
        <w:jc w:val="both"/>
      </w:pPr>
      <w:r>
        <w:rPr>
          <w:sz w:val="20"/>
        </w:rPr>
        <w:t xml:space="preserve">отсутствие многоуровневой, комплексной системы реабилитации;</w:t>
      </w:r>
    </w:p>
    <w:p>
      <w:pPr>
        <w:pStyle w:val="0"/>
        <w:spacing w:before="200" w:line-rule="auto"/>
        <w:ind w:firstLine="540"/>
        <w:jc w:val="both"/>
      </w:pPr>
      <w:r>
        <w:rPr>
          <w:sz w:val="20"/>
        </w:rPr>
        <w:t xml:space="preserve">несовершенство маршрутизации (доступности), логистики и преемственности между лечебно-профилактическими учреждениями (ЛПУ) области, особенно в сельской местности;</w:t>
      </w:r>
    </w:p>
    <w:p>
      <w:pPr>
        <w:pStyle w:val="0"/>
        <w:spacing w:before="200" w:line-rule="auto"/>
        <w:ind w:firstLine="540"/>
        <w:jc w:val="both"/>
      </w:pPr>
      <w:r>
        <w:rPr>
          <w:sz w:val="20"/>
        </w:rPr>
        <w:t xml:space="preserve">низкий уровень эффективности модели оказания первичной медико-санитарной помощи (ПМСП) на селе;</w:t>
      </w:r>
    </w:p>
    <w:p>
      <w:pPr>
        <w:pStyle w:val="0"/>
        <w:spacing w:before="200" w:line-rule="auto"/>
        <w:ind w:firstLine="540"/>
        <w:jc w:val="both"/>
      </w:pPr>
      <w:r>
        <w:rPr>
          <w:sz w:val="20"/>
        </w:rPr>
        <w:t xml:space="preserve">недостаточная вместимость учреждений стационарного социального обслуживания;</w:t>
      </w:r>
    </w:p>
    <w:p>
      <w:pPr>
        <w:pStyle w:val="0"/>
        <w:spacing w:before="200" w:line-rule="auto"/>
        <w:ind w:firstLine="540"/>
        <w:jc w:val="both"/>
      </w:pPr>
      <w:r>
        <w:rPr>
          <w:sz w:val="20"/>
        </w:rPr>
        <w:t xml:space="preserve">недостаточно развитая региональная культура здорового образа жизни;</w:t>
      </w:r>
    </w:p>
    <w:p>
      <w:pPr>
        <w:pStyle w:val="0"/>
        <w:spacing w:before="200" w:line-rule="auto"/>
        <w:ind w:firstLine="540"/>
        <w:jc w:val="both"/>
      </w:pPr>
      <w:r>
        <w:rPr>
          <w:sz w:val="20"/>
        </w:rPr>
        <w:t xml:space="preserve">низкий уровень развития спортивной инфраструктуры в регионе;</w:t>
      </w:r>
    </w:p>
    <w:p>
      <w:pPr>
        <w:pStyle w:val="0"/>
        <w:spacing w:before="200" w:line-rule="auto"/>
        <w:ind w:firstLine="540"/>
        <w:jc w:val="both"/>
      </w:pPr>
      <w:r>
        <w:rPr>
          <w:sz w:val="20"/>
        </w:rPr>
        <w:t xml:space="preserve">низкая эффективность работы спортивных клубов в образовательных организациях, а также в корпоративной среде;</w:t>
      </w:r>
    </w:p>
    <w:p>
      <w:pPr>
        <w:pStyle w:val="0"/>
        <w:spacing w:before="200" w:line-rule="auto"/>
        <w:ind w:firstLine="540"/>
        <w:jc w:val="both"/>
      </w:pPr>
      <w:r>
        <w:rPr>
          <w:sz w:val="20"/>
        </w:rPr>
        <w:t xml:space="preserve">низкая вовлеченность молодежи в социально-экономическое развитие региона.</w:t>
      </w:r>
    </w:p>
    <w:p>
      <w:pPr>
        <w:pStyle w:val="0"/>
        <w:spacing w:before="200" w:line-rule="auto"/>
        <w:ind w:firstLine="540"/>
        <w:jc w:val="both"/>
      </w:pPr>
      <w:r>
        <w:rPr>
          <w:sz w:val="20"/>
        </w:rPr>
        <w:t xml:space="preserve">Общемировые тренды и лучшие практики:</w:t>
      </w:r>
    </w:p>
    <w:p>
      <w:pPr>
        <w:pStyle w:val="0"/>
        <w:spacing w:before="200" w:line-rule="auto"/>
        <w:ind w:firstLine="540"/>
        <w:jc w:val="both"/>
      </w:pPr>
      <w:r>
        <w:rPr>
          <w:sz w:val="20"/>
        </w:rPr>
        <w:t xml:space="preserve">поддержка многодетных семей, активная семейная политика;</w:t>
      </w:r>
    </w:p>
    <w:p>
      <w:pPr>
        <w:pStyle w:val="0"/>
        <w:spacing w:before="200" w:line-rule="auto"/>
        <w:ind w:firstLine="540"/>
        <w:jc w:val="both"/>
      </w:pPr>
      <w:r>
        <w:rPr>
          <w:sz w:val="20"/>
        </w:rPr>
        <w:t xml:space="preserve">развитие подходов, связанных с укреплением семейных ценностей;</w:t>
      </w:r>
    </w:p>
    <w:p>
      <w:pPr>
        <w:pStyle w:val="0"/>
        <w:spacing w:before="200" w:line-rule="auto"/>
        <w:ind w:firstLine="540"/>
        <w:jc w:val="both"/>
      </w:pPr>
      <w:r>
        <w:rPr>
          <w:sz w:val="20"/>
        </w:rPr>
        <w:t xml:space="preserve">развитие женского и семейного предпринимательства, поощрение самозанятости женщин;</w:t>
      </w:r>
    </w:p>
    <w:p>
      <w:pPr>
        <w:pStyle w:val="0"/>
        <w:spacing w:before="200" w:line-rule="auto"/>
        <w:ind w:firstLine="540"/>
        <w:jc w:val="both"/>
      </w:pPr>
      <w:r>
        <w:rPr>
          <w:sz w:val="20"/>
        </w:rPr>
        <w:t xml:space="preserve">создание полноценной инфраструктуры и сферы услуг для населения старше трудоспособного возраста;</w:t>
      </w:r>
    </w:p>
    <w:p>
      <w:pPr>
        <w:pStyle w:val="0"/>
        <w:spacing w:before="200" w:line-rule="auto"/>
        <w:ind w:firstLine="540"/>
        <w:jc w:val="both"/>
      </w:pPr>
      <w:r>
        <w:rPr>
          <w:sz w:val="20"/>
        </w:rPr>
        <w:t xml:space="preserve">рост интереса людей к собственному здоровью, развитие профилактической медицины, самодиагностики, телемедицины; развитие точной или персонализированной медицины;</w:t>
      </w:r>
    </w:p>
    <w:p>
      <w:pPr>
        <w:pStyle w:val="0"/>
        <w:spacing w:before="200" w:line-rule="auto"/>
        <w:ind w:firstLine="540"/>
        <w:jc w:val="both"/>
      </w:pPr>
      <w:r>
        <w:rPr>
          <w:sz w:val="20"/>
        </w:rPr>
        <w:t xml:space="preserve">внедрение блокчейна в медицине;</w:t>
      </w:r>
    </w:p>
    <w:p>
      <w:pPr>
        <w:pStyle w:val="0"/>
        <w:spacing w:before="200" w:line-rule="auto"/>
        <w:ind w:firstLine="540"/>
        <w:jc w:val="both"/>
      </w:pPr>
      <w:r>
        <w:rPr>
          <w:sz w:val="20"/>
        </w:rPr>
        <w:t xml:space="preserve">биохакинг (программирование или взлом систем организма, как компьютера);</w:t>
      </w:r>
    </w:p>
    <w:p>
      <w:pPr>
        <w:pStyle w:val="0"/>
        <w:spacing w:before="200" w:line-rule="auto"/>
        <w:ind w:firstLine="540"/>
        <w:jc w:val="both"/>
      </w:pPr>
      <w:r>
        <w:rPr>
          <w:sz w:val="20"/>
        </w:rPr>
        <w:t xml:space="preserve">широкое внедрение биотехнологий, достижений геномики;</w:t>
      </w:r>
    </w:p>
    <w:p>
      <w:pPr>
        <w:pStyle w:val="0"/>
        <w:spacing w:before="200" w:line-rule="auto"/>
        <w:ind w:firstLine="540"/>
        <w:jc w:val="both"/>
      </w:pPr>
      <w:r>
        <w:rPr>
          <w:sz w:val="20"/>
        </w:rPr>
        <w:t xml:space="preserve">цифровизация здравоохранения;</w:t>
      </w:r>
    </w:p>
    <w:p>
      <w:pPr>
        <w:pStyle w:val="0"/>
        <w:spacing w:before="200" w:line-rule="auto"/>
        <w:ind w:firstLine="540"/>
        <w:jc w:val="both"/>
      </w:pPr>
      <w:r>
        <w:rPr>
          <w:sz w:val="20"/>
        </w:rPr>
        <w:t xml:space="preserve">популяризация здорового образа жизни;</w:t>
      </w:r>
    </w:p>
    <w:p>
      <w:pPr>
        <w:pStyle w:val="0"/>
        <w:spacing w:before="200" w:line-rule="auto"/>
        <w:ind w:firstLine="540"/>
        <w:jc w:val="both"/>
      </w:pPr>
      <w:r>
        <w:rPr>
          <w:sz w:val="20"/>
        </w:rPr>
        <w:t xml:space="preserve">повышение ценности саморазвития, развитие цифровых технологий для спорта и здорового образа жизни, персональных электронных тренеров, внедрение фитнес-трекеров;</w:t>
      </w:r>
    </w:p>
    <w:p>
      <w:pPr>
        <w:pStyle w:val="0"/>
        <w:spacing w:before="200" w:line-rule="auto"/>
        <w:ind w:firstLine="540"/>
        <w:jc w:val="both"/>
      </w:pPr>
      <w:r>
        <w:rPr>
          <w:sz w:val="20"/>
        </w:rPr>
        <w:t xml:space="preserve">повышение культуры питания, рост спроса на экологически чистые продукты;</w:t>
      </w:r>
    </w:p>
    <w:p>
      <w:pPr>
        <w:pStyle w:val="0"/>
        <w:spacing w:before="200" w:line-rule="auto"/>
        <w:ind w:firstLine="540"/>
        <w:jc w:val="both"/>
      </w:pPr>
      <w:r>
        <w:rPr>
          <w:sz w:val="20"/>
        </w:rPr>
        <w:t xml:space="preserve">рост спроса на туристические услуги (рост популярности экотуризма, развитие туризма "выходного дня", рост популярности гастрономического туризма);</w:t>
      </w:r>
    </w:p>
    <w:p>
      <w:pPr>
        <w:pStyle w:val="0"/>
        <w:spacing w:before="200" w:line-rule="auto"/>
        <w:ind w:firstLine="540"/>
        <w:jc w:val="both"/>
      </w:pPr>
      <w:r>
        <w:rPr>
          <w:sz w:val="20"/>
        </w:rPr>
        <w:t xml:space="preserve">брендирование туристического продукта, формирование комплексных туристических продуктов;</w:t>
      </w:r>
    </w:p>
    <w:p>
      <w:pPr>
        <w:pStyle w:val="0"/>
        <w:spacing w:before="200" w:line-rule="auto"/>
        <w:ind w:firstLine="540"/>
        <w:jc w:val="both"/>
      </w:pPr>
      <w:r>
        <w:rPr>
          <w:sz w:val="20"/>
        </w:rPr>
        <w:t xml:space="preserve">цифровизация культуры, формирование интерактивных пространств;</w:t>
      </w:r>
    </w:p>
    <w:p>
      <w:pPr>
        <w:pStyle w:val="0"/>
        <w:spacing w:before="200" w:line-rule="auto"/>
        <w:ind w:firstLine="540"/>
        <w:jc w:val="both"/>
      </w:pPr>
      <w:r>
        <w:rPr>
          <w:sz w:val="20"/>
        </w:rPr>
        <w:t xml:space="preserve">развитие и формирование новых культурных доминант, формирование креативных и творческих пространств в городах.</w:t>
      </w:r>
    </w:p>
    <w:p>
      <w:pPr>
        <w:pStyle w:val="0"/>
        <w:spacing w:before="200" w:line-rule="auto"/>
        <w:ind w:firstLine="540"/>
        <w:jc w:val="both"/>
      </w:pPr>
      <w:r>
        <w:rPr>
          <w:sz w:val="20"/>
        </w:rPr>
        <w:t xml:space="preserve">Результаты "Мастерских проектов" "Народной стратегии" Курской области:</w:t>
      </w:r>
    </w:p>
    <w:p>
      <w:pPr>
        <w:pStyle w:val="0"/>
        <w:spacing w:before="200" w:line-rule="auto"/>
        <w:ind w:firstLine="540"/>
        <w:jc w:val="both"/>
      </w:pPr>
      <w:r>
        <w:rPr>
          <w:sz w:val="20"/>
        </w:rPr>
        <w:t xml:space="preserve">В рамках "Мастерской проектов" "Здоровье и здравоохранение" были разработаны следующие проекты:</w:t>
      </w:r>
    </w:p>
    <w:p>
      <w:pPr>
        <w:pStyle w:val="0"/>
        <w:spacing w:before="200" w:line-rule="auto"/>
        <w:ind w:firstLine="540"/>
        <w:jc w:val="both"/>
      </w:pPr>
      <w:r>
        <w:rPr>
          <w:sz w:val="20"/>
        </w:rPr>
        <w:t xml:space="preserve">"Создание условий для развития физической культуры и массового спорта в Курской области";</w:t>
      </w:r>
    </w:p>
    <w:p>
      <w:pPr>
        <w:pStyle w:val="0"/>
        <w:spacing w:before="200" w:line-rule="auto"/>
        <w:ind w:firstLine="540"/>
        <w:jc w:val="both"/>
      </w:pPr>
      <w:r>
        <w:rPr>
          <w:sz w:val="20"/>
        </w:rPr>
        <w:t xml:space="preserve">"Создание центра амбулаторной онкологии на базе первичного онкологического отделения ОБУЗ "Железногорская городская больница N 2";</w:t>
      </w:r>
    </w:p>
    <w:p>
      <w:pPr>
        <w:pStyle w:val="0"/>
        <w:spacing w:before="200" w:line-rule="auto"/>
        <w:ind w:firstLine="540"/>
        <w:jc w:val="both"/>
      </w:pPr>
      <w:r>
        <w:rPr>
          <w:sz w:val="20"/>
        </w:rPr>
        <w:t xml:space="preserve">"Подготовка этического Кодекса пациента";</w:t>
      </w:r>
    </w:p>
    <w:p>
      <w:pPr>
        <w:pStyle w:val="0"/>
        <w:spacing w:before="200" w:line-rule="auto"/>
        <w:ind w:firstLine="540"/>
        <w:jc w:val="both"/>
      </w:pPr>
      <w:r>
        <w:rPr>
          <w:sz w:val="20"/>
        </w:rPr>
        <w:t xml:space="preserve">"Проект приведения медицинских организаций к единому стандарту (брендбук) для строящихся и модернизируемых в рамках проекта "Бережливая поликлиника";</w:t>
      </w:r>
    </w:p>
    <w:p>
      <w:pPr>
        <w:pStyle w:val="0"/>
        <w:spacing w:before="200" w:line-rule="auto"/>
        <w:ind w:firstLine="540"/>
        <w:jc w:val="both"/>
      </w:pPr>
      <w:r>
        <w:rPr>
          <w:sz w:val="20"/>
        </w:rPr>
        <w:t xml:space="preserve">"Формирование единого подхода для закупаемого медицинского оборудования с целью формирования единых условий для сервисного обслуживания, эксплуатации и цифровизации";</w:t>
      </w:r>
    </w:p>
    <w:p>
      <w:pPr>
        <w:pStyle w:val="0"/>
        <w:spacing w:before="200" w:line-rule="auto"/>
        <w:ind w:firstLine="540"/>
        <w:jc w:val="both"/>
      </w:pPr>
      <w:r>
        <w:rPr>
          <w:sz w:val="20"/>
        </w:rPr>
        <w:t xml:space="preserve">"Здоровое функциональное питание населения Курской области";</w:t>
      </w:r>
    </w:p>
    <w:p>
      <w:pPr>
        <w:pStyle w:val="0"/>
        <w:spacing w:before="200" w:line-rule="auto"/>
        <w:ind w:firstLine="540"/>
        <w:jc w:val="both"/>
      </w:pPr>
      <w:r>
        <w:rPr>
          <w:sz w:val="20"/>
        </w:rPr>
        <w:t xml:space="preserve">"Обеспечение глобальной информированности населения о здоровьесберегающих технологиях".</w:t>
      </w:r>
    </w:p>
    <w:p>
      <w:pPr>
        <w:pStyle w:val="0"/>
        <w:spacing w:before="200" w:line-rule="auto"/>
        <w:ind w:firstLine="540"/>
        <w:jc w:val="both"/>
      </w:pPr>
      <w:r>
        <w:rPr>
          <w:sz w:val="20"/>
        </w:rPr>
        <w:t xml:space="preserve">Ключевые результаты:</w:t>
      </w:r>
    </w:p>
    <w:p>
      <w:pPr>
        <w:pStyle w:val="0"/>
        <w:spacing w:before="200" w:line-rule="auto"/>
        <w:ind w:firstLine="540"/>
        <w:jc w:val="both"/>
      </w:pPr>
      <w:r>
        <w:rPr>
          <w:sz w:val="20"/>
        </w:rPr>
        <w:t xml:space="preserve">увеличение ожидаемой продолжительности жизни до 78 лет;</w:t>
      </w:r>
    </w:p>
    <w:p>
      <w:pPr>
        <w:pStyle w:val="0"/>
        <w:spacing w:before="200" w:line-rule="auto"/>
        <w:ind w:firstLine="540"/>
        <w:jc w:val="both"/>
      </w:pPr>
      <w:r>
        <w:rPr>
          <w:sz w:val="20"/>
        </w:rPr>
        <w:t xml:space="preserve">повышение суммарного коэффициента рождаемости до 1,7;</w:t>
      </w:r>
    </w:p>
    <w:p>
      <w:pPr>
        <w:pStyle w:val="0"/>
        <w:spacing w:before="200" w:line-rule="auto"/>
        <w:ind w:firstLine="540"/>
        <w:jc w:val="both"/>
      </w:pPr>
      <w:r>
        <w:rPr>
          <w:sz w:val="20"/>
        </w:rPr>
        <w:t xml:space="preserve">существенное снижение младенческой смертности, снижение уровня естественной убыли населения;</w:t>
      </w:r>
    </w:p>
    <w:p>
      <w:pPr>
        <w:pStyle w:val="0"/>
        <w:spacing w:before="200" w:line-rule="auto"/>
        <w:ind w:firstLine="540"/>
        <w:jc w:val="both"/>
      </w:pPr>
      <w:r>
        <w:rPr>
          <w:sz w:val="20"/>
        </w:rPr>
        <w:t xml:space="preserve">снижение смертности трудоспособного населения;</w:t>
      </w:r>
    </w:p>
    <w:p>
      <w:pPr>
        <w:pStyle w:val="0"/>
        <w:spacing w:before="200" w:line-rule="auto"/>
        <w:ind w:firstLine="540"/>
        <w:jc w:val="both"/>
      </w:pPr>
      <w:r>
        <w:rPr>
          <w:sz w:val="20"/>
        </w:rPr>
        <w:t xml:space="preserve">сокращение потребления алкоголя до 8 литров на человека и потребления табака до 27% среди взрослого населения;</w:t>
      </w:r>
    </w:p>
    <w:p>
      <w:pPr>
        <w:pStyle w:val="0"/>
        <w:spacing w:before="200" w:line-rule="auto"/>
        <w:ind w:firstLine="540"/>
        <w:jc w:val="both"/>
      </w:pPr>
      <w:r>
        <w:rPr>
          <w:sz w:val="20"/>
        </w:rPr>
        <w:t xml:space="preserve">снижение смертности от новообразований, в том числе злокачественных, до 185 случаев на 100 тыс. человек;</w:t>
      </w:r>
    </w:p>
    <w:p>
      <w:pPr>
        <w:pStyle w:val="0"/>
        <w:spacing w:before="200" w:line-rule="auto"/>
        <w:ind w:firstLine="540"/>
        <w:jc w:val="both"/>
      </w:pPr>
      <w:r>
        <w:rPr>
          <w:sz w:val="20"/>
        </w:rPr>
        <w:t xml:space="preserve">снижение смертности от заболеваний системы кровообращения до 450 случаев на 100 тыс. человек;</w:t>
      </w:r>
    </w:p>
    <w:p>
      <w:pPr>
        <w:pStyle w:val="0"/>
        <w:spacing w:before="200" w:line-rule="auto"/>
        <w:ind w:firstLine="540"/>
        <w:jc w:val="both"/>
      </w:pPr>
      <w:r>
        <w:rPr>
          <w:sz w:val="20"/>
        </w:rPr>
        <w:t xml:space="preserve">увеличение показателей миграционного прироста;</w:t>
      </w:r>
    </w:p>
    <w:p>
      <w:pPr>
        <w:pStyle w:val="0"/>
        <w:spacing w:before="200" w:line-rule="auto"/>
        <w:ind w:firstLine="540"/>
        <w:jc w:val="both"/>
      </w:pPr>
      <w:r>
        <w:rPr>
          <w:sz w:val="20"/>
        </w:rPr>
        <w:t xml:space="preserve">рост обеспеченности населения врачами до 58 чел. на 10 тыс. чел. населения;</w:t>
      </w:r>
    </w:p>
    <w:p>
      <w:pPr>
        <w:pStyle w:val="0"/>
        <w:spacing w:before="200" w:line-rule="auto"/>
        <w:ind w:firstLine="540"/>
        <w:jc w:val="both"/>
      </w:pPr>
      <w:r>
        <w:rPr>
          <w:sz w:val="20"/>
        </w:rPr>
        <w:t xml:space="preserve">ежегодный ввод в действие жилых домов площадью более 800 тыс. кв. м.</w:t>
      </w:r>
    </w:p>
    <w:p>
      <w:pPr>
        <w:pStyle w:val="0"/>
        <w:spacing w:before="200" w:line-rule="auto"/>
        <w:ind w:firstLine="540"/>
        <w:jc w:val="both"/>
      </w:pPr>
      <w:r>
        <w:rPr>
          <w:sz w:val="20"/>
        </w:rPr>
        <w:t xml:space="preserve">Ключевые результаты "Мастерских проектов":</w:t>
      </w:r>
    </w:p>
    <w:p>
      <w:pPr>
        <w:pStyle w:val="0"/>
        <w:spacing w:before="200" w:line-rule="auto"/>
        <w:ind w:firstLine="540"/>
        <w:jc w:val="both"/>
      </w:pPr>
      <w:r>
        <w:rPr>
          <w:sz w:val="20"/>
        </w:rPr>
        <w:t xml:space="preserve">вовлечение более половины населения в систематические занятия спортом;</w:t>
      </w:r>
    </w:p>
    <w:p>
      <w:pPr>
        <w:pStyle w:val="0"/>
        <w:spacing w:before="200" w:line-rule="auto"/>
        <w:ind w:firstLine="540"/>
        <w:jc w:val="both"/>
      </w:pPr>
      <w:r>
        <w:rPr>
          <w:sz w:val="20"/>
        </w:rPr>
        <w:t xml:space="preserve">рост числа граждан, следящих за своим питанием, до 70%;</w:t>
      </w:r>
    </w:p>
    <w:p>
      <w:pPr>
        <w:pStyle w:val="0"/>
        <w:spacing w:before="200" w:line-rule="auto"/>
        <w:ind w:firstLine="540"/>
        <w:jc w:val="both"/>
      </w:pPr>
      <w:r>
        <w:rPr>
          <w:sz w:val="20"/>
        </w:rPr>
        <w:t xml:space="preserve">существенный рост доли средств на профилактические мероприятия.</w:t>
      </w:r>
    </w:p>
    <w:p>
      <w:pPr>
        <w:pStyle w:val="0"/>
        <w:jc w:val="both"/>
      </w:pPr>
      <w:r>
        <w:rPr>
          <w:sz w:val="20"/>
        </w:rPr>
      </w:r>
    </w:p>
    <w:p>
      <w:pPr>
        <w:pStyle w:val="2"/>
        <w:outlineLvl w:val="2"/>
        <w:ind w:firstLine="540"/>
        <w:jc w:val="both"/>
      </w:pPr>
      <w:r>
        <w:rPr>
          <w:sz w:val="20"/>
        </w:rPr>
        <w:t xml:space="preserve">7.1. Демографическая и социальная политика</w:t>
      </w:r>
    </w:p>
    <w:p>
      <w:pPr>
        <w:pStyle w:val="0"/>
        <w:jc w:val="both"/>
      </w:pPr>
      <w:r>
        <w:rPr>
          <w:sz w:val="20"/>
        </w:rPr>
      </w:r>
    </w:p>
    <w:p>
      <w:pPr>
        <w:pStyle w:val="0"/>
        <w:ind w:firstLine="540"/>
        <w:jc w:val="both"/>
      </w:pPr>
      <w:r>
        <w:rPr>
          <w:sz w:val="20"/>
        </w:rPr>
        <w:t xml:space="preserve">Задача. Снижение остроты демографических проблем в регионе путем улучшения условий жизни всего населения, популяризации здорового образа жизни и развития социальной сферы.</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Проведение сбалансированной демографической политики:</w:t>
      </w:r>
    </w:p>
    <w:p>
      <w:pPr>
        <w:pStyle w:val="0"/>
        <w:spacing w:before="200" w:line-rule="auto"/>
        <w:ind w:firstLine="540"/>
        <w:jc w:val="both"/>
      </w:pPr>
      <w:r>
        <w:rPr>
          <w:sz w:val="20"/>
        </w:rPr>
        <w:t xml:space="preserve">оказание финансовой поддержки семей при рождении детей, в том числе осуществление: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Изменения, внесенные в абз. 5 подраздела 7.1 </w:t>
            </w:r>
            <w:hyperlink w:history="0" r:id="rId76"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Законом</w:t>
              </w:r>
            </w:hyperlink>
            <w:r>
              <w:rPr>
                <w:sz w:val="20"/>
                <w:color w:val="392c69"/>
              </w:rPr>
              <w:t xml:space="preserve"> Курской области от 04.05.2023 N 40-ЗКО, </w:t>
            </w:r>
            <w:hyperlink w:history="0" r:id="rId77"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распространяются</w:t>
              </w:r>
            </w:hyperlink>
            <w:r>
              <w:rPr>
                <w:sz w:val="20"/>
                <w:color w:val="392c69"/>
              </w:rPr>
              <w:t xml:space="preserve"> на правоотношения, возникшие с 01.01.2023.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абзац утратил силу. - </w:t>
      </w:r>
      <w:hyperlink w:history="0" r:id="rId78"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Закон</w:t>
        </w:r>
      </w:hyperlink>
      <w:r>
        <w:rPr>
          <w:sz w:val="20"/>
        </w:rPr>
        <w:t xml:space="preserve"> Курской области от 04.05.2023 N 40-ЗКО;</w:t>
      </w:r>
    </w:p>
    <w:p>
      <w:pPr>
        <w:pStyle w:val="0"/>
        <w:spacing w:before="200" w:line-rule="auto"/>
        <w:ind w:firstLine="540"/>
        <w:jc w:val="both"/>
      </w:pPr>
      <w:r>
        <w:rPr>
          <w:sz w:val="20"/>
        </w:rPr>
        <w:t xml:space="preserve">ежемесячных пособий семьям при рождении второго ребенка;</w:t>
      </w:r>
    </w:p>
    <w:p>
      <w:pPr>
        <w:pStyle w:val="0"/>
        <w:spacing w:before="200" w:line-rule="auto"/>
        <w:ind w:firstLine="540"/>
        <w:jc w:val="both"/>
      </w:pPr>
      <w:r>
        <w:rPr>
          <w:sz w:val="20"/>
        </w:rPr>
        <w:t xml:space="preserve">ежемесячных денежных выплат, назначаемых в случае рождения третьего ребенка или последующих детей до достижения ребенком возраста трех лет;</w:t>
      </w:r>
    </w:p>
    <w:p>
      <w:pPr>
        <w:pStyle w:val="0"/>
        <w:spacing w:before="200" w:line-rule="auto"/>
        <w:ind w:firstLine="540"/>
        <w:jc w:val="both"/>
      </w:pPr>
      <w:r>
        <w:rPr>
          <w:sz w:val="20"/>
        </w:rPr>
        <w:t xml:space="preserve">ежемесячных пособий малоимущим семьям, имеющим детей, в которых оба родителя являются студентами (обучающимися), а также студентами (обучающимися), являющимися одинокими родителями;</w:t>
      </w:r>
    </w:p>
    <w:p>
      <w:pPr>
        <w:pStyle w:val="0"/>
        <w:spacing w:before="200" w:line-rule="auto"/>
        <w:ind w:firstLine="540"/>
        <w:jc w:val="both"/>
      </w:pPr>
      <w:r>
        <w:rPr>
          <w:sz w:val="20"/>
        </w:rPr>
        <w:t xml:space="preserve">единовременных выплат при одновременном рождении трех и более детей;</w:t>
      </w:r>
    </w:p>
    <w:p>
      <w:pPr>
        <w:pStyle w:val="0"/>
        <w:spacing w:before="200" w:line-rule="auto"/>
        <w:ind w:firstLine="540"/>
        <w:jc w:val="both"/>
      </w:pPr>
      <w:r>
        <w:rPr>
          <w:sz w:val="20"/>
        </w:rPr>
        <w:t xml:space="preserve">реализация сертификата на областной материнский капитал при рождении (усыновлении) третьего ребенка или последующих детей;</w:t>
      </w:r>
    </w:p>
    <w:p>
      <w:pPr>
        <w:pStyle w:val="0"/>
        <w:spacing w:before="200" w:line-rule="auto"/>
        <w:ind w:firstLine="540"/>
        <w:jc w:val="both"/>
      </w:pPr>
      <w:r>
        <w:rPr>
          <w:sz w:val="20"/>
        </w:rPr>
        <w:t xml:space="preserve">создание условий для осуществления трудовой деятельности женщин, имеющих детей, включая достижение 100-процентной доступности (к 2021 году) дошкольного образования для детей в возрасте до трех лет;</w:t>
      </w:r>
    </w:p>
    <w:p>
      <w:pPr>
        <w:pStyle w:val="0"/>
        <w:spacing w:before="200" w:line-rule="auto"/>
        <w:ind w:firstLine="540"/>
        <w:jc w:val="both"/>
      </w:pPr>
      <w:r>
        <w:rPr>
          <w:sz w:val="20"/>
        </w:rPr>
        <w:t xml:space="preserve">разработка и реализация программы системной поддержки и повышения качества жизни граждан старшего поколения "Старшее поколение": реализация мероприятий по укреплению здоровья, увеличению периода активного долголетия и продолжительности здоровой жизни граждан области, на развитие гериатрической службы области;</w:t>
      </w:r>
    </w:p>
    <w:p>
      <w:pPr>
        <w:pStyle w:val="0"/>
        <w:spacing w:before="200" w:line-rule="auto"/>
        <w:ind w:firstLine="540"/>
        <w:jc w:val="both"/>
      </w:pPr>
      <w:r>
        <w:rPr>
          <w:sz w:val="20"/>
        </w:rPr>
        <w:t xml:space="preserve">социальная поддержка молодежи и молодых семей, в том числе обеспечение доступности ипотечного жилищного кредитования;</w:t>
      </w:r>
    </w:p>
    <w:p>
      <w:pPr>
        <w:pStyle w:val="0"/>
        <w:spacing w:before="200" w:line-rule="auto"/>
        <w:ind w:firstLine="540"/>
        <w:jc w:val="both"/>
      </w:pPr>
      <w:r>
        <w:rPr>
          <w:sz w:val="20"/>
        </w:rPr>
        <w:t xml:space="preserve">оказание мер государственной поддержки в улучшении жилищных условий льготных категорий граждан;</w:t>
      </w:r>
    </w:p>
    <w:p>
      <w:pPr>
        <w:pStyle w:val="0"/>
        <w:spacing w:before="200" w:line-rule="auto"/>
        <w:ind w:firstLine="540"/>
        <w:jc w:val="both"/>
      </w:pPr>
      <w:r>
        <w:rPr>
          <w:sz w:val="20"/>
        </w:rPr>
        <w:t xml:space="preserve">проведение мероприятий, направленных на укрепление института семьи, пропаганду базовых семейных ценностей (День матери, День семьи, любви и верности, проведение ежегодных областных творческих конкурсов, в том числе "Семейный очаг", "Моя семья", "Семейный альбом" и других);</w:t>
      </w:r>
    </w:p>
    <w:p>
      <w:pPr>
        <w:pStyle w:val="0"/>
        <w:spacing w:before="200" w:line-rule="auto"/>
        <w:ind w:firstLine="540"/>
        <w:jc w:val="both"/>
      </w:pPr>
      <w:r>
        <w:rPr>
          <w:sz w:val="20"/>
        </w:rPr>
        <w:t xml:space="preserve">чествование и награждение семейных пар - жителей Курской области, проживших в браке 25 лет и более, за крепость семейных устоев, основанных на взаимопонимании, любви и верности, за большой вклад в укрепление лучших семейных традиций и достойное воспитание детей общественной наградой - медалью "За любовь и верность";</w:t>
      </w:r>
    </w:p>
    <w:p>
      <w:pPr>
        <w:pStyle w:val="0"/>
        <w:spacing w:before="200" w:line-rule="auto"/>
        <w:ind w:firstLine="540"/>
        <w:jc w:val="both"/>
      </w:pPr>
      <w:r>
        <w:rPr>
          <w:sz w:val="20"/>
        </w:rPr>
        <w:t xml:space="preserve">награждение нагрудным знаком "За заслуги в воспитании детей" жителей Курской области, дети которых достигли высоких результатов в труде, науке, искусстве, спорте, воинской службе и других сферах деятельности;</w:t>
      </w:r>
    </w:p>
    <w:p>
      <w:pPr>
        <w:pStyle w:val="0"/>
        <w:spacing w:before="200" w:line-rule="auto"/>
        <w:ind w:firstLine="540"/>
        <w:jc w:val="both"/>
      </w:pPr>
      <w:r>
        <w:rPr>
          <w:sz w:val="20"/>
        </w:rPr>
        <w:t xml:space="preserve">вручение семьям при рождении детей подарка новорожденному;</w:t>
      </w:r>
    </w:p>
    <w:p>
      <w:pPr>
        <w:pStyle w:val="0"/>
        <w:spacing w:before="200" w:line-rule="auto"/>
        <w:ind w:firstLine="540"/>
        <w:jc w:val="both"/>
      </w:pPr>
      <w:r>
        <w:rPr>
          <w:sz w:val="20"/>
        </w:rPr>
        <w:t xml:space="preserve">строительство на территории Курской области мест для совместного семейного досуга, таких, как зоопарк, динопарк, детский Город мастеров;</w:t>
      </w:r>
    </w:p>
    <w:p>
      <w:pPr>
        <w:pStyle w:val="0"/>
        <w:spacing w:before="200" w:line-rule="auto"/>
        <w:ind w:firstLine="540"/>
        <w:jc w:val="both"/>
      </w:pPr>
      <w:r>
        <w:rPr>
          <w:sz w:val="20"/>
        </w:rPr>
        <w:t xml:space="preserve">оказание содействия переселению в Курскую область на постоянное место жительства соотечественников, проживающих за рубежом, носителей русского языка, инвесторов, предпринимателей, выпускников российских образовательных организаций, высококвалифицированных и квалифицированных иностранных специалистов, а также иных категорий иностранных граждан, которые способны успешно интегрироваться в российское общество.</w:t>
      </w:r>
    </w:p>
    <w:p>
      <w:pPr>
        <w:pStyle w:val="0"/>
        <w:spacing w:before="200" w:line-rule="auto"/>
        <w:ind w:firstLine="540"/>
        <w:jc w:val="both"/>
      </w:pPr>
      <w:r>
        <w:rPr>
          <w:sz w:val="20"/>
        </w:rPr>
        <w:t xml:space="preserve">2. Развитие сферы социального обслуживания:</w:t>
      </w:r>
    </w:p>
    <w:p>
      <w:pPr>
        <w:pStyle w:val="0"/>
        <w:spacing w:before="200" w:line-rule="auto"/>
        <w:ind w:firstLine="540"/>
        <w:jc w:val="both"/>
      </w:pPr>
      <w:r>
        <w:rPr>
          <w:sz w:val="20"/>
        </w:rPr>
        <w:t xml:space="preserve">повышение адресности и эффективности мер социальной поддержки, основанных на сочетании социальных гарантий и социального инвестирования;</w:t>
      </w:r>
    </w:p>
    <w:p>
      <w:pPr>
        <w:pStyle w:val="0"/>
        <w:spacing w:before="200" w:line-rule="auto"/>
        <w:ind w:firstLine="540"/>
        <w:jc w:val="both"/>
      </w:pPr>
      <w:r>
        <w:rPr>
          <w:sz w:val="20"/>
        </w:rPr>
        <w:t xml:space="preserve">поддержка и сопровождение семей, принявших на воспитание детей-сирот и детей, оставшихся без попечения родителей;</w:t>
      </w:r>
    </w:p>
    <w:p>
      <w:pPr>
        <w:pStyle w:val="0"/>
        <w:spacing w:before="200" w:line-rule="auto"/>
        <w:ind w:firstLine="540"/>
        <w:jc w:val="both"/>
      </w:pPr>
      <w:r>
        <w:rPr>
          <w:sz w:val="20"/>
        </w:rPr>
        <w:t xml:space="preserve">развитие инфраструктуры организаций, в которые временно (на период до устройства в семью) помещены дети-сироты и дети, оставшиеся без попечения родителей, в том числе создание в них благоприятных условий, приближенных к семейным;</w:t>
      </w:r>
    </w:p>
    <w:p>
      <w:pPr>
        <w:pStyle w:val="0"/>
        <w:spacing w:before="200" w:line-rule="auto"/>
        <w:ind w:firstLine="540"/>
        <w:jc w:val="both"/>
      </w:pPr>
      <w:r>
        <w:rPr>
          <w:sz w:val="20"/>
        </w:rPr>
        <w:t xml:space="preserve">обеспечение социальных гарантий детям-сиротам и детям, оставшимся без попечения родителей, лицам из их числа, предусмотренных федеральным и региональным законодательством, в том числе обеспечение жилыми помещениями;</w:t>
      </w:r>
    </w:p>
    <w:p>
      <w:pPr>
        <w:pStyle w:val="0"/>
        <w:spacing w:before="200" w:line-rule="auto"/>
        <w:ind w:firstLine="540"/>
        <w:jc w:val="both"/>
      </w:pPr>
      <w:r>
        <w:rPr>
          <w:sz w:val="20"/>
        </w:rPr>
        <w:t xml:space="preserve">укрепление материально-технической базы учреждений стационарного социального обслуживания граждан пожилого возраста и инвалидов;</w:t>
      </w:r>
    </w:p>
    <w:p>
      <w:pPr>
        <w:pStyle w:val="0"/>
        <w:spacing w:before="200" w:line-rule="auto"/>
        <w:ind w:firstLine="540"/>
        <w:jc w:val="both"/>
      </w:pPr>
      <w:r>
        <w:rPr>
          <w:sz w:val="20"/>
        </w:rPr>
        <w:t xml:space="preserve">создание и развитие системы долговременного ухода за нуждающимися в предоставлении социальных услуг в стационарной форме социального обслуживания, в форме социального обслуживания на дому и (или) полустационарной форме социального обслуживания;</w:t>
      </w:r>
    </w:p>
    <w:p>
      <w:pPr>
        <w:pStyle w:val="0"/>
        <w:spacing w:before="200" w:line-rule="auto"/>
        <w:ind w:firstLine="540"/>
        <w:jc w:val="both"/>
      </w:pPr>
      <w:r>
        <w:rPr>
          <w:sz w:val="20"/>
        </w:rPr>
        <w:t xml:space="preserve">создание регионального центра психолого-педагогической супервизии и семейного развития;</w:t>
      </w:r>
    </w:p>
    <w:p>
      <w:pPr>
        <w:pStyle w:val="0"/>
        <w:spacing w:before="200" w:line-rule="auto"/>
        <w:ind w:firstLine="540"/>
        <w:jc w:val="both"/>
      </w:pPr>
      <w:r>
        <w:rPr>
          <w:sz w:val="20"/>
        </w:rPr>
        <w:t xml:space="preserve">создание условий для социальной адаптации и интеграции в общество детей-инвалидов;</w:t>
      </w:r>
    </w:p>
    <w:p>
      <w:pPr>
        <w:pStyle w:val="0"/>
        <w:spacing w:before="200" w:line-rule="auto"/>
        <w:ind w:firstLine="540"/>
        <w:jc w:val="both"/>
      </w:pPr>
      <w:r>
        <w:rPr>
          <w:sz w:val="20"/>
        </w:rPr>
        <w:t xml:space="preserve">обеспечение доступности объектов и услуг для инвалидов и других маломобильных граждан в соответствии с требованиями Федерального </w:t>
      </w:r>
      <w:hyperlink w:history="0" r:id="rId79"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закона</w:t>
        </w:r>
      </w:hyperlink>
      <w:r>
        <w:rPr>
          <w:sz w:val="20"/>
        </w:rPr>
        <w:t xml:space="preserve"> от 24 ноября 1995 года N 181-ФЗ "О социальной защите инвалидов в Российской Федерации" (в том числе с учетом изменений, установленных Федеральным законом от 1 декабря 2014 года N 419-ФЗ);</w:t>
      </w:r>
    </w:p>
    <w:p>
      <w:pPr>
        <w:pStyle w:val="0"/>
        <w:spacing w:before="200" w:line-rule="auto"/>
        <w:ind w:firstLine="540"/>
        <w:jc w:val="both"/>
      </w:pPr>
      <w:r>
        <w:rPr>
          <w:sz w:val="20"/>
        </w:rPr>
        <w:t xml:space="preserve">совершенствование социальной инфраструктуры малых населенных пунктов, обеспечение бесперебойного доступа населения малых населенных пунктов Курской области к социальным услугам;</w:t>
      </w:r>
    </w:p>
    <w:p>
      <w:pPr>
        <w:pStyle w:val="0"/>
        <w:spacing w:before="200" w:line-rule="auto"/>
        <w:ind w:firstLine="540"/>
        <w:jc w:val="both"/>
      </w:pPr>
      <w:r>
        <w:rPr>
          <w:sz w:val="20"/>
        </w:rPr>
        <w:t xml:space="preserve">строительство стационарных учреждений социального обслуживания нового типа.</w:t>
      </w:r>
    </w:p>
    <w:p>
      <w:pPr>
        <w:pStyle w:val="0"/>
        <w:spacing w:before="200" w:line-rule="auto"/>
        <w:ind w:firstLine="540"/>
        <w:jc w:val="both"/>
      </w:pPr>
      <w:r>
        <w:rPr>
          <w:sz w:val="20"/>
        </w:rPr>
        <w:t xml:space="preserve">3. Реализация проактивной молодежной политики:</w:t>
      </w:r>
    </w:p>
    <w:p>
      <w:pPr>
        <w:pStyle w:val="0"/>
        <w:spacing w:before="200" w:line-rule="auto"/>
        <w:ind w:firstLine="540"/>
        <w:jc w:val="both"/>
      </w:pPr>
      <w:r>
        <w:rPr>
          <w:sz w:val="20"/>
        </w:rPr>
        <w:t xml:space="preserve">содействие социализации молодежи, находящейся в трудной жизненной ситуации;</w:t>
      </w:r>
    </w:p>
    <w:p>
      <w:pPr>
        <w:pStyle w:val="0"/>
        <w:spacing w:before="200" w:line-rule="auto"/>
        <w:ind w:firstLine="540"/>
        <w:jc w:val="both"/>
      </w:pPr>
      <w:r>
        <w:rPr>
          <w:sz w:val="20"/>
        </w:rPr>
        <w:t xml:space="preserve">содействие занятости молодежи, вовлечение молодежи в социальную практику;</w:t>
      </w:r>
    </w:p>
    <w:p>
      <w:pPr>
        <w:pStyle w:val="0"/>
        <w:spacing w:before="200" w:line-rule="auto"/>
        <w:ind w:firstLine="540"/>
        <w:jc w:val="both"/>
      </w:pPr>
      <w:r>
        <w:rPr>
          <w:sz w:val="20"/>
        </w:rPr>
        <w:t xml:space="preserve">финансовая, информационная и консультационная поддержка НКО, осуществляющих деятельность в сфере молодежной политики;</w:t>
      </w:r>
    </w:p>
    <w:p>
      <w:pPr>
        <w:pStyle w:val="0"/>
        <w:spacing w:before="200" w:line-rule="auto"/>
        <w:ind w:firstLine="540"/>
        <w:jc w:val="both"/>
      </w:pPr>
      <w:r>
        <w:rPr>
          <w:sz w:val="20"/>
        </w:rPr>
        <w:t xml:space="preserve">расширение участия молодежи в социально-экономическом развитии региона, в том числе поддержка молодежного предпринимательства, развитие трудовой и проектной активности молодежи, системная поддержка молодежной добровольческой (волонтерской) деятельности, развитие молодежных творческих клубов и объединений.</w:t>
      </w:r>
    </w:p>
    <w:p>
      <w:pPr>
        <w:pStyle w:val="0"/>
        <w:jc w:val="both"/>
      </w:pPr>
      <w:r>
        <w:rPr>
          <w:sz w:val="20"/>
        </w:rPr>
      </w:r>
    </w:p>
    <w:p>
      <w:pPr>
        <w:pStyle w:val="2"/>
        <w:outlineLvl w:val="2"/>
        <w:ind w:firstLine="540"/>
        <w:jc w:val="both"/>
      </w:pPr>
      <w:r>
        <w:rPr>
          <w:sz w:val="20"/>
        </w:rPr>
        <w:t xml:space="preserve">7.2. Формирование здорового образа жизни</w:t>
      </w:r>
    </w:p>
    <w:p>
      <w:pPr>
        <w:pStyle w:val="0"/>
        <w:jc w:val="both"/>
      </w:pPr>
      <w:r>
        <w:rPr>
          <w:sz w:val="20"/>
        </w:rPr>
      </w:r>
    </w:p>
    <w:p>
      <w:pPr>
        <w:pStyle w:val="0"/>
        <w:ind w:firstLine="540"/>
        <w:jc w:val="both"/>
      </w:pPr>
      <w:r>
        <w:rPr>
          <w:sz w:val="20"/>
        </w:rPr>
        <w:t xml:space="preserve">Задача. Популяризация здорового образа жизни, развитие спортивной инфраструктуры, обеспечение доступа социально ориентированных некоммерческих организаций к предоставлению услуг в рамках региональных программ в области физической культуры и спорта, обеспечение поэтапного внедрения Всероссийского физкультурно-спортивного комплекса "Готов к труду и обороне" (ГТО)", развитие базовых видов спорта, пропаганда физической культуры, спорта и здорового образа жизни.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Развитие спортивной инфраструктуры и развитие базовых видов спорта:</w:t>
      </w:r>
    </w:p>
    <w:p>
      <w:pPr>
        <w:pStyle w:val="0"/>
        <w:spacing w:before="200" w:line-rule="auto"/>
        <w:ind w:firstLine="540"/>
        <w:jc w:val="both"/>
      </w:pPr>
      <w:r>
        <w:rPr>
          <w:sz w:val="20"/>
        </w:rPr>
        <w:t xml:space="preserve">строительство, модернизация и реконструкция объектов спорта, их включение во Всероссийский реестр объектов спорта;</w:t>
      </w:r>
    </w:p>
    <w:p>
      <w:pPr>
        <w:pStyle w:val="0"/>
        <w:spacing w:before="200" w:line-rule="auto"/>
        <w:ind w:firstLine="540"/>
        <w:jc w:val="both"/>
      </w:pPr>
      <w:r>
        <w:rPr>
          <w:sz w:val="20"/>
        </w:rPr>
        <w:t xml:space="preserve">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pPr>
        <w:pStyle w:val="0"/>
        <w:spacing w:before="200" w:line-rule="auto"/>
        <w:ind w:firstLine="540"/>
        <w:jc w:val="both"/>
      </w:pPr>
      <w:r>
        <w:rPr>
          <w:sz w:val="20"/>
        </w:rPr>
        <w:t xml:space="preserve">введение нормативов по строительству и реконструкции социальной и спортивной инфраструктуры при строительстве коммерческих и жилых площадей;</w:t>
      </w:r>
    </w:p>
    <w:p>
      <w:pPr>
        <w:pStyle w:val="0"/>
        <w:spacing w:before="200" w:line-rule="auto"/>
        <w:ind w:firstLine="540"/>
        <w:jc w:val="both"/>
      </w:pPr>
      <w:r>
        <w:rPr>
          <w:sz w:val="20"/>
        </w:rPr>
        <w:t xml:space="preserve">оборудование общественных пространств и парковых зон комплексами уличных спортивных тренажеров, площадками для занятий физической культурой и спортом (включая воркаут) и скейтпарков, организация спортивных мероприятий; обеспечение шаговой доступности спортивных объектов.</w:t>
      </w:r>
    </w:p>
    <w:p>
      <w:pPr>
        <w:pStyle w:val="0"/>
        <w:spacing w:before="200" w:line-rule="auto"/>
        <w:ind w:firstLine="540"/>
        <w:jc w:val="both"/>
      </w:pPr>
      <w:r>
        <w:rPr>
          <w:sz w:val="20"/>
        </w:rPr>
        <w:t xml:space="preserve">2. Популяризация здорового образа жизни:</w:t>
      </w:r>
    </w:p>
    <w:p>
      <w:pPr>
        <w:pStyle w:val="0"/>
        <w:spacing w:before="200" w:line-rule="auto"/>
        <w:ind w:firstLine="540"/>
        <w:jc w:val="both"/>
      </w:pPr>
      <w:r>
        <w:rPr>
          <w:sz w:val="20"/>
        </w:rPr>
        <w:t xml:space="preserve">пропаганда физической культуры, спорта и здорового образа жизни;</w:t>
      </w:r>
    </w:p>
    <w:p>
      <w:pPr>
        <w:pStyle w:val="0"/>
        <w:spacing w:before="200" w:line-rule="auto"/>
        <w:ind w:firstLine="540"/>
        <w:jc w:val="both"/>
      </w:pPr>
      <w:r>
        <w:rPr>
          <w:sz w:val="20"/>
        </w:rPr>
        <w:t xml:space="preserve">обеспечение поэтапного внедрения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формирование среды, способствующей ведению гражданами здорового образа жизни, включая здоровое питание (в том числе ликвидацию микронутриентной недостаточности, сокращение потребления соли и сахара), защиту от табачного дыма, снижение потребления алкоголя, в том числе:</w:t>
      </w:r>
    </w:p>
    <w:p>
      <w:pPr>
        <w:pStyle w:val="0"/>
        <w:spacing w:before="200" w:line-rule="auto"/>
        <w:ind w:firstLine="540"/>
        <w:jc w:val="both"/>
      </w:pPr>
      <w:r>
        <w:rPr>
          <w:sz w:val="20"/>
        </w:rPr>
        <w:t xml:space="preserve">- проведение информационно-пропагандистской кампании по мотивированию граждан к ведению здорового образа жизни (информирование населения о принципах правильного питания: размещение баннеров - не менее 1 раза в квартал; размещение видеороликов в общественном транспорте; изготовление и трансляция на местных телевизионных каналах тематической передачи - не менее 1 раза в квартал; изготовление печатной продукции о принципах здорового питания; открытие кабинетов медицинской помощи при отказе от курения в 4 медицинских организациях; разработка методических рекомендаций по профилактике потребления табака и лечению табачной зависимости у женщин; введение в тематику занятий школ здоровья всех стационарных отделений темы по профилактике табакокурения, снижению потребления алкоголя; изготовление и распространение среди пациентов памяток о вреде курения, алкоголя);</w:t>
      </w:r>
    </w:p>
    <w:p>
      <w:pPr>
        <w:pStyle w:val="0"/>
        <w:spacing w:before="200" w:line-rule="auto"/>
        <w:ind w:firstLine="540"/>
        <w:jc w:val="both"/>
      </w:pPr>
      <w:r>
        <w:rPr>
          <w:sz w:val="20"/>
        </w:rPr>
        <w:t xml:space="preserve">увеличение до 70% доли граждан, систематически занимающихся физической культурой и спортом, путем создания для всех категорий и групп населения условий для занятий физической культурой и спортом;</w:t>
      </w:r>
    </w:p>
    <w:p>
      <w:pPr>
        <w:pStyle w:val="0"/>
        <w:spacing w:before="200" w:line-rule="auto"/>
        <w:ind w:firstLine="540"/>
        <w:jc w:val="both"/>
      </w:pPr>
      <w:r>
        <w:rPr>
          <w:sz w:val="20"/>
        </w:rPr>
        <w:t xml:space="preserve">создание регионального центра общественного здоровья;</w:t>
      </w:r>
    </w:p>
    <w:p>
      <w:pPr>
        <w:pStyle w:val="0"/>
        <w:spacing w:before="200" w:line-rule="auto"/>
        <w:ind w:firstLine="540"/>
        <w:jc w:val="both"/>
      </w:pPr>
      <w:r>
        <w:rPr>
          <w:sz w:val="20"/>
        </w:rPr>
        <w:t xml:space="preserve">подготовка и повышение квалификации специалистов в сфере здорового образа жизни, физической культуры и спорта;</w:t>
      </w:r>
    </w:p>
    <w:p>
      <w:pPr>
        <w:pStyle w:val="0"/>
        <w:spacing w:before="200" w:line-rule="auto"/>
        <w:ind w:firstLine="540"/>
        <w:jc w:val="both"/>
      </w:pPr>
      <w:r>
        <w:rPr>
          <w:sz w:val="20"/>
        </w:rPr>
        <w:t xml:space="preserve">использование инфраструктуры школ и других муниципальных организаций для проведения физкультурных и спортивных мероприятий;</w:t>
      </w:r>
    </w:p>
    <w:p>
      <w:pPr>
        <w:pStyle w:val="0"/>
        <w:spacing w:before="200" w:line-rule="auto"/>
        <w:ind w:firstLine="540"/>
        <w:jc w:val="both"/>
      </w:pPr>
      <w:r>
        <w:rPr>
          <w:sz w:val="20"/>
        </w:rPr>
        <w:t xml:space="preserve">проведение массовых спортивных мероприятий;</w:t>
      </w:r>
    </w:p>
    <w:p>
      <w:pPr>
        <w:pStyle w:val="0"/>
        <w:spacing w:before="200" w:line-rule="auto"/>
        <w:ind w:firstLine="540"/>
        <w:jc w:val="both"/>
      </w:pPr>
      <w:r>
        <w:rPr>
          <w:sz w:val="20"/>
        </w:rPr>
        <w:t xml:space="preserve">организация и проведение официальных физкультурных мероприятий и спортивных мероприятий межрегионального, всероссийского и международного уровней;</w:t>
      </w:r>
    </w:p>
    <w:p>
      <w:pPr>
        <w:pStyle w:val="0"/>
        <w:spacing w:before="200" w:line-rule="auto"/>
        <w:ind w:firstLine="540"/>
        <w:jc w:val="both"/>
      </w:pPr>
      <w:r>
        <w:rPr>
          <w:sz w:val="20"/>
        </w:rPr>
        <w:t xml:space="preserve">проведение кампаний по популяризации здорового образа жизни и занятий спортом;</w:t>
      </w:r>
    </w:p>
    <w:p>
      <w:pPr>
        <w:pStyle w:val="0"/>
        <w:spacing w:before="200" w:line-rule="auto"/>
        <w:ind w:firstLine="540"/>
        <w:jc w:val="both"/>
      </w:pPr>
      <w:r>
        <w:rPr>
          <w:sz w:val="20"/>
        </w:rPr>
        <w:t xml:space="preserve">развитие физической культуры и спорта в сельской местности (плоскостные спортивные сооружения в сельской местности);</w:t>
      </w:r>
    </w:p>
    <w:p>
      <w:pPr>
        <w:pStyle w:val="0"/>
        <w:spacing w:before="200" w:line-rule="auto"/>
        <w:ind w:firstLine="540"/>
        <w:jc w:val="both"/>
      </w:pPr>
      <w:r>
        <w:rPr>
          <w:sz w:val="20"/>
        </w:rPr>
        <w:t xml:space="preserve">разработка и введение в практику оценки эффективности региональных программ, направленных на побуждение граждан к ЗОЖ, показателей, характеризующих особенности питания населения;</w:t>
      </w:r>
    </w:p>
    <w:p>
      <w:pPr>
        <w:pStyle w:val="0"/>
        <w:spacing w:before="200" w:line-rule="auto"/>
        <w:ind w:firstLine="540"/>
        <w:jc w:val="both"/>
      </w:pPr>
      <w:r>
        <w:rPr>
          <w:sz w:val="20"/>
        </w:rPr>
        <w:t xml:space="preserve">реализация мер по борьбе с наркотической, алкогольной и никотиновой зависимостью, в том числе развитие центров реабилитации (включая психологическую) для граждан, попавших в алкогольную или наркотическую зависимость, предоставление квалифицированной помощи на дому;</w:t>
      </w:r>
    </w:p>
    <w:p>
      <w:pPr>
        <w:pStyle w:val="0"/>
        <w:spacing w:before="200" w:line-rule="auto"/>
        <w:ind w:firstLine="540"/>
        <w:jc w:val="both"/>
      </w:pPr>
      <w:r>
        <w:rPr>
          <w:sz w:val="20"/>
        </w:rPr>
        <w:t xml:space="preserve">обеспечение доступа социально ориентированных некоммерческих организаций к предоставлению услуг в рамках региональных программ в области физической культуры и массового спорта;</w:t>
      </w:r>
    </w:p>
    <w:p>
      <w:pPr>
        <w:pStyle w:val="0"/>
        <w:spacing w:before="200" w:line-rule="auto"/>
        <w:ind w:firstLine="540"/>
        <w:jc w:val="both"/>
      </w:pPr>
      <w:r>
        <w:rPr>
          <w:sz w:val="20"/>
        </w:rPr>
        <w:t xml:space="preserve">создание центра научно-методического сопровождения формирования культуры здорового питания;</w:t>
      </w:r>
    </w:p>
    <w:p>
      <w:pPr>
        <w:pStyle w:val="0"/>
        <w:spacing w:before="200" w:line-rule="auto"/>
        <w:ind w:firstLine="540"/>
        <w:jc w:val="both"/>
      </w:pPr>
      <w:r>
        <w:rPr>
          <w:sz w:val="20"/>
        </w:rPr>
        <w:t xml:space="preserve">создание межведомственной комиссии по разработке эффективной системы мотивации граждан к здоровому функциональному питанию;</w:t>
      </w:r>
    </w:p>
    <w:p>
      <w:pPr>
        <w:pStyle w:val="0"/>
        <w:spacing w:before="200" w:line-rule="auto"/>
        <w:ind w:firstLine="540"/>
        <w:jc w:val="both"/>
      </w:pPr>
      <w:r>
        <w:rPr>
          <w:sz w:val="20"/>
        </w:rPr>
        <w:t xml:space="preserve">реализация проекта "Создание условий для развития физической культуры и массового спорта в Курской области".</w:t>
      </w:r>
    </w:p>
    <w:p>
      <w:pPr>
        <w:pStyle w:val="0"/>
        <w:jc w:val="both"/>
      </w:pPr>
      <w:r>
        <w:rPr>
          <w:sz w:val="20"/>
        </w:rPr>
      </w:r>
    </w:p>
    <w:p>
      <w:pPr>
        <w:pStyle w:val="2"/>
        <w:outlineLvl w:val="2"/>
        <w:ind w:firstLine="540"/>
        <w:jc w:val="both"/>
      </w:pPr>
      <w:r>
        <w:rPr>
          <w:sz w:val="20"/>
        </w:rPr>
        <w:t xml:space="preserve">7.3. Развитие системы здравоохранения</w:t>
      </w:r>
    </w:p>
    <w:p>
      <w:pPr>
        <w:pStyle w:val="0"/>
        <w:jc w:val="both"/>
      </w:pPr>
      <w:r>
        <w:rPr>
          <w:sz w:val="20"/>
        </w:rPr>
      </w:r>
    </w:p>
    <w:p>
      <w:pPr>
        <w:pStyle w:val="0"/>
        <w:ind w:firstLine="540"/>
        <w:jc w:val="both"/>
      </w:pPr>
      <w:r>
        <w:rPr>
          <w:sz w:val="20"/>
        </w:rPr>
        <w:t xml:space="preserve">Задача. Формирование современной системы медицинского обслуживания на основе создания современной инфраструктуры, ранней диагностики и профилактики заболеваний, развития центров высокотехнологичной медицины.</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обеспечение охвата всех граждан профилактическими медицинскими осмотрами не реже одного раза в год;</w:t>
      </w:r>
    </w:p>
    <w:p>
      <w:pPr>
        <w:pStyle w:val="0"/>
        <w:spacing w:before="200" w:line-rule="auto"/>
        <w:ind w:firstLine="540"/>
        <w:jc w:val="both"/>
      </w:pPr>
      <w:r>
        <w:rPr>
          <w:sz w:val="20"/>
        </w:rPr>
        <w:t xml:space="preserve">обеспечение оптимальной доступности для населения медицинских организаций, оказывающих первичную медико-санитарную помощь (особенно в сельских поселениях);</w:t>
      </w:r>
    </w:p>
    <w:p>
      <w:pPr>
        <w:pStyle w:val="0"/>
        <w:spacing w:before="200" w:line-rule="auto"/>
        <w:ind w:firstLine="540"/>
        <w:jc w:val="both"/>
      </w:pPr>
      <w:r>
        <w:rPr>
          <w:sz w:val="20"/>
        </w:rPr>
        <w:t xml:space="preserve">обеспечение медицинских организаций системы здравоохранения в сельских поселениях специалистами;</w:t>
      </w:r>
    </w:p>
    <w:p>
      <w:pPr>
        <w:pStyle w:val="0"/>
        <w:spacing w:before="200" w:line-rule="auto"/>
        <w:ind w:firstLine="540"/>
        <w:jc w:val="both"/>
      </w:pPr>
      <w:r>
        <w:rPr>
          <w:sz w:val="20"/>
        </w:rPr>
        <w:t xml:space="preserve">расширение программ целевого набора в медицинских вузах и ссузах от Курской области для преодоления кадрового дефицита и обеспечения восполняемости трудовых ресурсов в сфере здравоохранения;</w:t>
      </w:r>
    </w:p>
    <w:p>
      <w:pPr>
        <w:pStyle w:val="0"/>
        <w:spacing w:before="200" w:line-rule="auto"/>
        <w:ind w:firstLine="540"/>
        <w:jc w:val="both"/>
      </w:pPr>
      <w:r>
        <w:rPr>
          <w:sz w:val="20"/>
        </w:rPr>
        <w:t xml:space="preserve">внедрение инновационных медицинских технологий, включая систему ранней диагностики и дистанционный мониторинг состояния здоровья пациентов;</w:t>
      </w:r>
    </w:p>
    <w:p>
      <w:pPr>
        <w:pStyle w:val="0"/>
        <w:spacing w:before="200" w:line-rule="auto"/>
        <w:ind w:firstLine="540"/>
        <w:jc w:val="both"/>
      </w:pPr>
      <w:r>
        <w:rPr>
          <w:sz w:val="20"/>
        </w:rPr>
        <w:t xml:space="preserve">внедрение клинических рекомендаций и протоколов лечения и их использование в целях формирования тарифов на оплату медицинской помощи;</w:t>
      </w:r>
    </w:p>
    <w:p>
      <w:pPr>
        <w:pStyle w:val="0"/>
        <w:spacing w:before="200" w:line-rule="auto"/>
        <w:ind w:firstLine="540"/>
        <w:jc w:val="both"/>
      </w:pPr>
      <w:r>
        <w:rPr>
          <w:sz w:val="20"/>
        </w:rPr>
        <w:t xml:space="preserve">разработка и реализация региональной программы по борьбе с сердечно-сосудистыми заболеваниями: популяционная профилактика, переоснащение и дооснащение сети сосудистых центров оборудованием для ранней медицинской реабилитации и проведения рентгенэндоваскулярных методов лечения;</w:t>
      </w:r>
    </w:p>
    <w:p>
      <w:pPr>
        <w:pStyle w:val="0"/>
        <w:spacing w:before="200" w:line-rule="auto"/>
        <w:ind w:firstLine="540"/>
        <w:jc w:val="both"/>
      </w:pPr>
      <w:r>
        <w:rPr>
          <w:sz w:val="20"/>
        </w:rPr>
        <w:t xml:space="preserve">разработка и реализация региональной программы борьбы с онкологическими заболеваниями: проведение информационной кампании, организация сети центров амбулаторной онкологической помощи, переоснащение сети медицинских организаций, внедрение дополнительной региональной онкологической диспансеризации для лиц моложе 50 лет и обязательной ежегодной региональной онкологической диспансеризации для лиц старше 50 лет;</w:t>
      </w:r>
    </w:p>
    <w:p>
      <w:pPr>
        <w:pStyle w:val="0"/>
        <w:spacing w:before="200" w:line-rule="auto"/>
        <w:ind w:firstLine="540"/>
        <w:jc w:val="both"/>
      </w:pPr>
      <w:r>
        <w:rPr>
          <w:sz w:val="20"/>
        </w:rPr>
        <w:t xml:space="preserve">создание регионального информационного онкологического интернет-портала для пациентов, целью которого будет: информационно-просветительская деятельность, создание площадки для общения пациентов, проведение консультаций со специалистами региона;</w:t>
      </w:r>
    </w:p>
    <w:p>
      <w:pPr>
        <w:pStyle w:val="0"/>
        <w:spacing w:before="200" w:line-rule="auto"/>
        <w:ind w:firstLine="540"/>
        <w:jc w:val="both"/>
      </w:pPr>
      <w:r>
        <w:rPr>
          <w:sz w:val="20"/>
        </w:rPr>
        <w:t xml:space="preserve">создание центра амбулаторной онкологии на базе первичного онкологического отделения ОБУЗ "Железногорская городская больница N 2";</w:t>
      </w:r>
    </w:p>
    <w:p>
      <w:pPr>
        <w:pStyle w:val="0"/>
        <w:spacing w:before="200" w:line-rule="auto"/>
        <w:ind w:firstLine="540"/>
        <w:jc w:val="both"/>
      </w:pPr>
      <w:r>
        <w:rPr>
          <w:sz w:val="20"/>
        </w:rPr>
        <w:t xml:space="preserve">внедрение научно обоснованной системы санитарно-гигиенического просвещения для обеспечения биологической безопасности населения по паразитологическим показателям;</w:t>
      </w:r>
    </w:p>
    <w:p>
      <w:pPr>
        <w:pStyle w:val="0"/>
        <w:spacing w:before="200" w:line-rule="auto"/>
        <w:ind w:firstLine="540"/>
        <w:jc w:val="both"/>
      </w:pPr>
      <w:r>
        <w:rPr>
          <w:sz w:val="20"/>
        </w:rPr>
        <w:t xml:space="preserve">развитие детского здравоохранения: модернизация материально-технической базы, строительство детских поликлиник, повышение квалификации медицинских работников в области перинатологии, неонатологии и педиатрии, использование симуляционных центров;</w:t>
      </w:r>
    </w:p>
    <w:p>
      <w:pPr>
        <w:pStyle w:val="0"/>
        <w:spacing w:before="200" w:line-rule="auto"/>
        <w:ind w:firstLine="540"/>
        <w:jc w:val="both"/>
      </w:pPr>
      <w:r>
        <w:rPr>
          <w:sz w:val="20"/>
        </w:rPr>
        <w:t xml:space="preserve">внедрение скрининговой оценки состояния опорно-двигательной системы (ОДС) у детей;</w:t>
      </w:r>
    </w:p>
    <w:p>
      <w:pPr>
        <w:pStyle w:val="0"/>
        <w:spacing w:before="200" w:line-rule="auto"/>
        <w:ind w:firstLine="540"/>
        <w:jc w:val="both"/>
      </w:pPr>
      <w:r>
        <w:rPr>
          <w:sz w:val="20"/>
        </w:rPr>
        <w:t xml:space="preserve">обеспечение медицинских организаций системы здравоохранения квалифицированными кадрами, включая внедрение системы непрерывного образования, в том числе с использованием дистанционных образовательных технологий, разработанных на основе принципов доказательной медицины;</w:t>
      </w:r>
    </w:p>
    <w:p>
      <w:pPr>
        <w:pStyle w:val="0"/>
        <w:spacing w:before="200" w:line-rule="auto"/>
        <w:ind w:firstLine="540"/>
        <w:jc w:val="both"/>
      </w:pPr>
      <w:r>
        <w:rPr>
          <w:sz w:val="20"/>
        </w:rPr>
        <w:t xml:space="preserve">внедрение и развитие медицинских информационных систем во всех медицинских организациях области, их подключение к Единой государственной информационной системе здравоохранения (ЕГИСЗ): запись граждан на прием к врачу, диспансеризация, получение сведений об оказанных медицинских услугах и их стоимости, доступ к электронным медицинским документам;</w:t>
      </w:r>
    </w:p>
    <w:p>
      <w:pPr>
        <w:pStyle w:val="0"/>
        <w:spacing w:before="200" w:line-rule="auto"/>
        <w:ind w:firstLine="540"/>
        <w:jc w:val="both"/>
      </w:pPr>
      <w:r>
        <w:rPr>
          <w:sz w:val="20"/>
        </w:rPr>
        <w:t xml:space="preserve">создание централизованных сервисов, которые обеспечат маршрутизацию пациентов и мониторинг оказания медицинской помощи по отдельным профилям заболеваний, а также организацию телемедицинских консультаций и автоматизированную диспетчеризацию санитарного транспорта;</w:t>
      </w:r>
    </w:p>
    <w:p>
      <w:pPr>
        <w:pStyle w:val="0"/>
        <w:spacing w:before="200" w:line-rule="auto"/>
        <w:ind w:firstLine="540"/>
        <w:jc w:val="both"/>
      </w:pPr>
      <w:r>
        <w:rPr>
          <w:sz w:val="20"/>
        </w:rPr>
        <w:t xml:space="preserve">внедрение системы электронных рецептов, автоматизированное управление льготным лекарственным обеспечением, телемедицинские консультации;</w:t>
      </w:r>
    </w:p>
    <w:p>
      <w:pPr>
        <w:pStyle w:val="0"/>
        <w:spacing w:before="200" w:line-rule="auto"/>
        <w:ind w:firstLine="540"/>
        <w:jc w:val="both"/>
      </w:pPr>
      <w:r>
        <w:rPr>
          <w:sz w:val="20"/>
        </w:rPr>
        <w:t xml:space="preserve">создание эффективной этапной системы медицинской реабилитации;</w:t>
      </w:r>
    </w:p>
    <w:p>
      <w:pPr>
        <w:pStyle w:val="0"/>
        <w:spacing w:before="200" w:line-rule="auto"/>
        <w:ind w:firstLine="540"/>
        <w:jc w:val="both"/>
      </w:pPr>
      <w:r>
        <w:rPr>
          <w:sz w:val="20"/>
        </w:rPr>
        <w:t xml:space="preserve">реализация проектов государственно-частного партнерства;</w:t>
      </w:r>
    </w:p>
    <w:p>
      <w:pPr>
        <w:pStyle w:val="0"/>
        <w:spacing w:before="200" w:line-rule="auto"/>
        <w:ind w:firstLine="540"/>
        <w:jc w:val="both"/>
      </w:pPr>
      <w:r>
        <w:rPr>
          <w:sz w:val="20"/>
        </w:rPr>
        <w:t xml:space="preserve">внедрение выездных методов обслуживания сельских жителей;</w:t>
      </w:r>
    </w:p>
    <w:p>
      <w:pPr>
        <w:pStyle w:val="0"/>
        <w:spacing w:before="200" w:line-rule="auto"/>
        <w:ind w:firstLine="540"/>
        <w:jc w:val="both"/>
      </w:pPr>
      <w:r>
        <w:rPr>
          <w:sz w:val="20"/>
        </w:rPr>
        <w:t xml:space="preserve">повышение доступности объектов здравоохранения для сельского населения: развитие сети амбулаторий, больниц, фельдшерско-акушерских пунктов;</w:t>
      </w:r>
    </w:p>
    <w:p>
      <w:pPr>
        <w:pStyle w:val="0"/>
        <w:spacing w:before="200" w:line-rule="auto"/>
        <w:ind w:firstLine="540"/>
        <w:jc w:val="both"/>
      </w:pPr>
      <w:r>
        <w:rPr>
          <w:sz w:val="20"/>
        </w:rPr>
        <w:t xml:space="preserve">проведение ежегодных выездных диспансеризаций населения малых населенных пунктов Курской области;</w:t>
      </w:r>
    </w:p>
    <w:p>
      <w:pPr>
        <w:pStyle w:val="0"/>
        <w:spacing w:before="200" w:line-rule="auto"/>
        <w:ind w:firstLine="540"/>
        <w:jc w:val="both"/>
      </w:pPr>
      <w:r>
        <w:rPr>
          <w:sz w:val="20"/>
        </w:rPr>
        <w:t xml:space="preserve">реализация проекта по внедрению системы "бережливые поликлиники";</w:t>
      </w:r>
    </w:p>
    <w:p>
      <w:pPr>
        <w:pStyle w:val="0"/>
        <w:spacing w:before="200" w:line-rule="auto"/>
        <w:ind w:firstLine="540"/>
        <w:jc w:val="both"/>
      </w:pPr>
      <w:r>
        <w:rPr>
          <w:sz w:val="20"/>
        </w:rPr>
        <w:t xml:space="preserve">создание виртуального центра цифровой помощи в здравоохранении для ИКТ-специалистов и медицинских работников;</w:t>
      </w:r>
    </w:p>
    <w:p>
      <w:pPr>
        <w:pStyle w:val="0"/>
        <w:spacing w:before="200" w:line-rule="auto"/>
        <w:ind w:firstLine="540"/>
        <w:jc w:val="both"/>
      </w:pPr>
      <w:r>
        <w:rPr>
          <w:sz w:val="20"/>
        </w:rPr>
        <w:t xml:space="preserve">обеспечение биологической безопасности, предусматривающее, в том числе: профилактику и лечение инфекционных заболеваний, включая заболевания, представляющие угрозу населению (туберкулез, ВИЧ-инфекция, вирусные гепатиты B и C);</w:t>
      </w:r>
    </w:p>
    <w:p>
      <w:pPr>
        <w:pStyle w:val="0"/>
        <w:spacing w:before="200" w:line-rule="auto"/>
        <w:ind w:firstLine="540"/>
        <w:jc w:val="both"/>
      </w:pPr>
      <w:r>
        <w:rPr>
          <w:sz w:val="20"/>
        </w:rPr>
        <w:t xml:space="preserve">реализация комплекса профилактических и противоэпидемических мероприятий, направленных на предупреждение ввоза и распространения опасных инфекционных заболеваний, распространение природно-очаговых инфекций и зоонозных болезней, а также обеспечение готовности к реагированию на биологические угрозы естественного и преднамеренного характера;</w:t>
      </w:r>
    </w:p>
    <w:p>
      <w:pPr>
        <w:pStyle w:val="0"/>
        <w:spacing w:before="200" w:line-rule="auto"/>
        <w:ind w:firstLine="540"/>
        <w:jc w:val="both"/>
      </w:pPr>
      <w:r>
        <w:rPr>
          <w:sz w:val="20"/>
        </w:rPr>
        <w:t xml:space="preserve">совершенствование системы охраны здоровья работающего населения, выявления и профилактики профессиональных заболеваний.</w:t>
      </w:r>
    </w:p>
    <w:p>
      <w:pPr>
        <w:pStyle w:val="0"/>
        <w:jc w:val="both"/>
      </w:pPr>
      <w:r>
        <w:rPr>
          <w:sz w:val="20"/>
        </w:rPr>
      </w:r>
    </w:p>
    <w:p>
      <w:pPr>
        <w:pStyle w:val="2"/>
        <w:outlineLvl w:val="1"/>
        <w:jc w:val="center"/>
      </w:pPr>
      <w:r>
        <w:rPr>
          <w:sz w:val="20"/>
        </w:rPr>
        <w:t xml:space="preserve">8. Приоритетное направление</w:t>
      </w:r>
    </w:p>
    <w:p>
      <w:pPr>
        <w:pStyle w:val="2"/>
        <w:jc w:val="center"/>
      </w:pPr>
      <w:r>
        <w:rPr>
          <w:sz w:val="20"/>
        </w:rPr>
        <w:t xml:space="preserve">"Человеческий капитал (образование, наука и инновации,</w:t>
      </w:r>
    </w:p>
    <w:p>
      <w:pPr>
        <w:pStyle w:val="2"/>
        <w:jc w:val="center"/>
      </w:pPr>
      <w:r>
        <w:rPr>
          <w:sz w:val="20"/>
        </w:rPr>
        <w:t xml:space="preserve">развитие институтов гражданского общества)"</w:t>
      </w:r>
    </w:p>
    <w:p>
      <w:pPr>
        <w:pStyle w:val="0"/>
        <w:jc w:val="both"/>
      </w:pPr>
      <w:r>
        <w:rPr>
          <w:sz w:val="20"/>
        </w:rPr>
      </w:r>
    </w:p>
    <w:p>
      <w:pPr>
        <w:pStyle w:val="0"/>
        <w:ind w:firstLine="540"/>
        <w:jc w:val="both"/>
      </w:pPr>
      <w:r>
        <w:rPr>
          <w:sz w:val="20"/>
        </w:rPr>
        <w:t xml:space="preserve">Стратегическая цель - обеспечение высокого качества образования, развитие науки и инновационной инфраструктуры в соответствии с меняющимися запросами населения и перспективными задачами развития общества и экономики; формирование системы кадрового обеспечения региона, позволяющей обеспечить качественную подготовку кадров; обеспечение сохранения национальной самобытности, развития национального (родного) языка и национальной культуры, укрепления единства российской нации, гармонизации межэтнических отношений, содействия межрелигиозному диалогу, а также осуществление деятельности, направленной на социальную и культурную адаптацию и интеграцию мигрантов.</w:t>
      </w:r>
    </w:p>
    <w:p>
      <w:pPr>
        <w:pStyle w:val="0"/>
        <w:spacing w:before="200" w:line-rule="auto"/>
        <w:ind w:firstLine="540"/>
        <w:jc w:val="both"/>
      </w:pPr>
      <w:r>
        <w:rPr>
          <w:sz w:val="20"/>
        </w:rPr>
        <w:t xml:space="preserve">Основные проблемы и ограничения:</w:t>
      </w:r>
    </w:p>
    <w:p>
      <w:pPr>
        <w:pStyle w:val="0"/>
        <w:spacing w:before="200" w:line-rule="auto"/>
        <w:ind w:firstLine="540"/>
        <w:jc w:val="both"/>
      </w:pPr>
      <w:r>
        <w:rPr>
          <w:sz w:val="20"/>
        </w:rPr>
        <w:t xml:space="preserve">недостаточное соответствие структуры профессионального образования потребностям регионального рынка труда;</w:t>
      </w:r>
    </w:p>
    <w:p>
      <w:pPr>
        <w:pStyle w:val="0"/>
        <w:spacing w:before="200" w:line-rule="auto"/>
        <w:ind w:firstLine="540"/>
        <w:jc w:val="both"/>
      </w:pPr>
      <w:r>
        <w:rPr>
          <w:sz w:val="20"/>
        </w:rPr>
        <w:t xml:space="preserve">недостаточно развита материально-техническая база, в том числе для реализации программ цифрового профиля, формирования современной цифровой образовательной среды;</w:t>
      </w:r>
    </w:p>
    <w:p>
      <w:pPr>
        <w:pStyle w:val="0"/>
        <w:spacing w:before="200" w:line-rule="auto"/>
        <w:ind w:firstLine="540"/>
        <w:jc w:val="both"/>
      </w:pPr>
      <w:r>
        <w:rPr>
          <w:sz w:val="20"/>
        </w:rPr>
        <w:t xml:space="preserve">необходимость формирования системы непрерывного обновления работающими гражданами своих профессиональных знаний и приобретения ими новых профессиональных навыков;</w:t>
      </w:r>
    </w:p>
    <w:p>
      <w:pPr>
        <w:pStyle w:val="0"/>
        <w:spacing w:before="200" w:line-rule="auto"/>
        <w:ind w:firstLine="540"/>
        <w:jc w:val="both"/>
      </w:pPr>
      <w:r>
        <w:rPr>
          <w:sz w:val="20"/>
        </w:rPr>
        <w:t xml:space="preserve">дефицит мест в дошкольных образовательных организациях для детей раннего возраста, неразвитость частного сектора дошкольного образования;</w:t>
      </w:r>
    </w:p>
    <w:p>
      <w:pPr>
        <w:pStyle w:val="0"/>
        <w:spacing w:before="200" w:line-rule="auto"/>
        <w:ind w:firstLine="540"/>
        <w:jc w:val="both"/>
      </w:pPr>
      <w:r>
        <w:rPr>
          <w:sz w:val="20"/>
        </w:rPr>
        <w:t xml:space="preserve">недостаточные темпы реализации проектов, направленных на раннюю профориентацию;</w:t>
      </w:r>
    </w:p>
    <w:p>
      <w:pPr>
        <w:pStyle w:val="0"/>
        <w:spacing w:before="200" w:line-rule="auto"/>
        <w:ind w:firstLine="540"/>
        <w:jc w:val="both"/>
      </w:pPr>
      <w:r>
        <w:rPr>
          <w:sz w:val="20"/>
        </w:rPr>
        <w:t xml:space="preserve">необходимость совершенствования системы профессионального роста педагогических работников;</w:t>
      </w:r>
    </w:p>
    <w:p>
      <w:pPr>
        <w:pStyle w:val="0"/>
        <w:spacing w:before="200" w:line-rule="auto"/>
        <w:ind w:firstLine="540"/>
        <w:jc w:val="both"/>
      </w:pPr>
      <w:r>
        <w:rPr>
          <w:sz w:val="20"/>
        </w:rPr>
        <w:t xml:space="preserve">недостаточная вовлеченность детей и молодежи в общественные инициативы, добровольческую деятельность, в том числе в рамках духовно-нравственного и гражданско-патриотического воспитания;</w:t>
      </w:r>
    </w:p>
    <w:p>
      <w:pPr>
        <w:pStyle w:val="0"/>
        <w:spacing w:before="200" w:line-rule="auto"/>
        <w:ind w:firstLine="540"/>
        <w:jc w:val="both"/>
      </w:pPr>
      <w:r>
        <w:rPr>
          <w:sz w:val="20"/>
        </w:rPr>
        <w:t xml:space="preserve">низкий уровень трудоустройства и социализации лиц с инвалидностью и ограниченными возможностями здоровья (ОВЗ);</w:t>
      </w:r>
    </w:p>
    <w:p>
      <w:pPr>
        <w:pStyle w:val="0"/>
        <w:spacing w:before="200" w:line-rule="auto"/>
        <w:ind w:firstLine="540"/>
        <w:jc w:val="both"/>
      </w:pPr>
      <w:r>
        <w:rPr>
          <w:sz w:val="20"/>
        </w:rPr>
        <w:t xml:space="preserve">недостаточное использование результатов научных исследований ученых Курской области в развитии экономики Курской области;</w:t>
      </w:r>
    </w:p>
    <w:p>
      <w:pPr>
        <w:pStyle w:val="0"/>
        <w:spacing w:before="200" w:line-rule="auto"/>
        <w:ind w:firstLine="540"/>
        <w:jc w:val="both"/>
      </w:pPr>
      <w:r>
        <w:rPr>
          <w:sz w:val="20"/>
        </w:rPr>
        <w:t xml:space="preserve">снижение финансирования и неконкурентоспособность заработной платы в научно-исследовательском секторе региона в сравнении с крупными агломерациями и развитыми странами;</w:t>
      </w:r>
    </w:p>
    <w:p>
      <w:pPr>
        <w:pStyle w:val="0"/>
        <w:spacing w:before="200" w:line-rule="auto"/>
        <w:ind w:firstLine="540"/>
        <w:jc w:val="both"/>
      </w:pPr>
      <w:r>
        <w:rPr>
          <w:sz w:val="20"/>
        </w:rPr>
        <w:t xml:space="preserve">недостаточная обеспеченность научной сферы кадрами среднего возраста;</w:t>
      </w:r>
    </w:p>
    <w:p>
      <w:pPr>
        <w:pStyle w:val="0"/>
        <w:spacing w:before="200" w:line-rule="auto"/>
        <w:ind w:firstLine="540"/>
        <w:jc w:val="both"/>
      </w:pPr>
      <w:r>
        <w:rPr>
          <w:sz w:val="20"/>
        </w:rPr>
        <w:t xml:space="preserve">недостаточная обеспеченность благоприятными условиями для работы и жизни, которые одновременно позволяют сохранять высококвалифицированных специалистов, в том числе выпускников вузов, а также привлечь персонал из других регионов и стран;</w:t>
      </w:r>
    </w:p>
    <w:p>
      <w:pPr>
        <w:pStyle w:val="0"/>
        <w:spacing w:before="200" w:line-rule="auto"/>
        <w:ind w:firstLine="540"/>
        <w:jc w:val="both"/>
      </w:pPr>
      <w:r>
        <w:rPr>
          <w:sz w:val="20"/>
        </w:rPr>
        <w:t xml:space="preserve">недостаточный уровень этноконфессиональной культуры в обществе;</w:t>
      </w:r>
    </w:p>
    <w:p>
      <w:pPr>
        <w:pStyle w:val="0"/>
        <w:spacing w:before="200" w:line-rule="auto"/>
        <w:ind w:firstLine="540"/>
        <w:jc w:val="both"/>
      </w:pPr>
      <w:r>
        <w:rPr>
          <w:sz w:val="20"/>
        </w:rPr>
        <w:t xml:space="preserve">необходимость формирования единой системы, обеспечивающей поддержку со стороны органов государственной власти и органов местного самоуправления в реализации национально-культурными сообществами мероприятий, способствующих сохранению национальной самобытности, развитию национальной культуры, также направленной на социальную и культурную адаптацию и интеграцию иностранных граждан;</w:t>
      </w:r>
    </w:p>
    <w:p>
      <w:pPr>
        <w:pStyle w:val="0"/>
        <w:spacing w:before="200" w:line-rule="auto"/>
        <w:ind w:firstLine="540"/>
        <w:jc w:val="both"/>
      </w:pPr>
      <w:r>
        <w:rPr>
          <w:sz w:val="20"/>
        </w:rPr>
        <w:t xml:space="preserve">недостаточность информационных ресурсов, позволяющих проводить профилактическую деятельность в среде иностранных граждан (академических и трудовых иностранных граждан) по вопросам социальной исключительности и противодействия проявлений экстремизма, этноцентризма и ксенофобии;</w:t>
      </w:r>
    </w:p>
    <w:p>
      <w:pPr>
        <w:pStyle w:val="0"/>
        <w:spacing w:before="200" w:line-rule="auto"/>
        <w:ind w:firstLine="540"/>
        <w:jc w:val="both"/>
      </w:pPr>
      <w:r>
        <w:rPr>
          <w:sz w:val="20"/>
        </w:rPr>
        <w:t xml:space="preserve">недостаточная вовлеченность национально-культурных сообществ в конкурс проектов общественно полезных программ, представленных на соискание областной государственной поддержки;</w:t>
      </w:r>
    </w:p>
    <w:p>
      <w:pPr>
        <w:pStyle w:val="0"/>
        <w:spacing w:before="200" w:line-rule="auto"/>
        <w:ind w:firstLine="540"/>
        <w:jc w:val="both"/>
      </w:pPr>
      <w:r>
        <w:rPr>
          <w:sz w:val="20"/>
        </w:rPr>
        <w:t xml:space="preserve">необходимость внедрения государственной информационной системы мониторинга в сфере межнациональных и межконфессиональных отношений и раннего предупреждения конфликтных ситуаций;</w:t>
      </w:r>
    </w:p>
    <w:p>
      <w:pPr>
        <w:pStyle w:val="0"/>
        <w:spacing w:before="200" w:line-rule="auto"/>
        <w:ind w:firstLine="540"/>
        <w:jc w:val="both"/>
      </w:pPr>
      <w:r>
        <w:rPr>
          <w:sz w:val="20"/>
        </w:rPr>
        <w:t xml:space="preserve">необходимость совершенствования государственными гражданскими служащими и муниципальными служащими своих профессиональных знаний и приобретения ими новых профессиональных навыков в сфере реализации государственной национальной политики.</w:t>
      </w:r>
    </w:p>
    <w:p>
      <w:pPr>
        <w:pStyle w:val="0"/>
        <w:spacing w:before="200" w:line-rule="auto"/>
        <w:ind w:firstLine="540"/>
        <w:jc w:val="both"/>
      </w:pPr>
      <w:r>
        <w:rPr>
          <w:sz w:val="20"/>
        </w:rPr>
        <w:t xml:space="preserve">Общемировые тренды и лучшие практики:</w:t>
      </w:r>
    </w:p>
    <w:p>
      <w:pPr>
        <w:pStyle w:val="0"/>
        <w:spacing w:before="200" w:line-rule="auto"/>
        <w:ind w:firstLine="540"/>
        <w:jc w:val="both"/>
      </w:pPr>
      <w:r>
        <w:rPr>
          <w:sz w:val="20"/>
        </w:rPr>
        <w:t xml:space="preserve">массовое внедрение цифровых технологий в сферу образования, в том числе широкое внедрение программ дистанционного обучения, цифровых средств обучения;</w:t>
      </w:r>
    </w:p>
    <w:p>
      <w:pPr>
        <w:pStyle w:val="0"/>
        <w:spacing w:before="200" w:line-rule="auto"/>
        <w:ind w:firstLine="540"/>
        <w:jc w:val="both"/>
      </w:pPr>
      <w:r>
        <w:rPr>
          <w:sz w:val="20"/>
        </w:rPr>
        <w:t xml:space="preserve">увеличение спроса на профессии, связанные с цифровыми и естественными науками (STEM);</w:t>
      </w:r>
    </w:p>
    <w:p>
      <w:pPr>
        <w:pStyle w:val="0"/>
        <w:spacing w:before="200" w:line-rule="auto"/>
        <w:ind w:firstLine="540"/>
        <w:jc w:val="both"/>
      </w:pPr>
      <w:r>
        <w:rPr>
          <w:sz w:val="20"/>
        </w:rPr>
        <w:t xml:space="preserve">персонализация и индивидуализация образования;</w:t>
      </w:r>
    </w:p>
    <w:p>
      <w:pPr>
        <w:pStyle w:val="0"/>
        <w:spacing w:before="200" w:line-rule="auto"/>
        <w:ind w:firstLine="540"/>
        <w:jc w:val="both"/>
      </w:pPr>
      <w:r>
        <w:rPr>
          <w:sz w:val="20"/>
        </w:rPr>
        <w:t xml:space="preserve">содействие формированию ранней профориентации у детей;</w:t>
      </w:r>
    </w:p>
    <w:p>
      <w:pPr>
        <w:pStyle w:val="0"/>
        <w:spacing w:before="200" w:line-rule="auto"/>
        <w:ind w:firstLine="540"/>
        <w:jc w:val="both"/>
      </w:pPr>
      <w:r>
        <w:rPr>
          <w:sz w:val="20"/>
        </w:rPr>
        <w:t xml:space="preserve">формирование глобального рынка труда и связанные с этим новые запросы к навыкам учеников;</w:t>
      </w:r>
    </w:p>
    <w:p>
      <w:pPr>
        <w:pStyle w:val="0"/>
        <w:spacing w:before="200" w:line-rule="auto"/>
        <w:ind w:firstLine="540"/>
        <w:jc w:val="both"/>
      </w:pPr>
      <w:r>
        <w:rPr>
          <w:sz w:val="20"/>
        </w:rPr>
        <w:t xml:space="preserve">распространение программ непрерывного образования, постоянное повышение качества профессиональной деятельности;</w:t>
      </w:r>
    </w:p>
    <w:p>
      <w:pPr>
        <w:pStyle w:val="0"/>
        <w:spacing w:before="200" w:line-rule="auto"/>
        <w:ind w:firstLine="540"/>
        <w:jc w:val="both"/>
      </w:pPr>
      <w:r>
        <w:rPr>
          <w:sz w:val="20"/>
        </w:rPr>
        <w:t xml:space="preserve">рост спроса на самообразование;</w:t>
      </w:r>
    </w:p>
    <w:p>
      <w:pPr>
        <w:pStyle w:val="0"/>
        <w:spacing w:before="200" w:line-rule="auto"/>
        <w:ind w:firstLine="540"/>
        <w:jc w:val="both"/>
      </w:pPr>
      <w:r>
        <w:rPr>
          <w:sz w:val="20"/>
        </w:rPr>
        <w:t xml:space="preserve">увеличение интенсивности взаимодействия между образовательными, научными организациями и бизнесом;</w:t>
      </w:r>
    </w:p>
    <w:p>
      <w:pPr>
        <w:pStyle w:val="0"/>
        <w:spacing w:before="200" w:line-rule="auto"/>
        <w:ind w:firstLine="540"/>
        <w:jc w:val="both"/>
      </w:pPr>
      <w:r>
        <w:rPr>
          <w:sz w:val="20"/>
        </w:rPr>
        <w:t xml:space="preserve">увеличение расходов на НИОКР в ВВП ведущих и быстрорастущих стран;</w:t>
      </w:r>
    </w:p>
    <w:p>
      <w:pPr>
        <w:pStyle w:val="0"/>
        <w:spacing w:before="200" w:line-rule="auto"/>
        <w:ind w:firstLine="540"/>
        <w:jc w:val="both"/>
      </w:pPr>
      <w:r>
        <w:rPr>
          <w:sz w:val="20"/>
        </w:rPr>
        <w:t xml:space="preserve">рост доли частных НИОКР до 60% от общего объема в ведущих странах.</w:t>
      </w:r>
    </w:p>
    <w:p>
      <w:pPr>
        <w:pStyle w:val="0"/>
        <w:spacing w:before="200" w:line-rule="auto"/>
        <w:ind w:firstLine="540"/>
        <w:jc w:val="both"/>
      </w:pPr>
      <w:r>
        <w:rPr>
          <w:sz w:val="20"/>
        </w:rPr>
        <w:t xml:space="preserve">Проекты "Мастерских проектов" "Народной стратегии" Курской области.</w:t>
      </w:r>
    </w:p>
    <w:p>
      <w:pPr>
        <w:pStyle w:val="0"/>
        <w:spacing w:before="200" w:line-rule="auto"/>
        <w:ind w:firstLine="540"/>
        <w:jc w:val="both"/>
      </w:pPr>
      <w:r>
        <w:rPr>
          <w:sz w:val="20"/>
        </w:rPr>
        <w:t xml:space="preserve">В рамках "Мастерской проектов" "Образование и таланты" были разработаны следующие проекты:</w:t>
      </w:r>
    </w:p>
    <w:p>
      <w:pPr>
        <w:pStyle w:val="0"/>
        <w:spacing w:before="200" w:line-rule="auto"/>
        <w:ind w:firstLine="540"/>
        <w:jc w:val="both"/>
      </w:pPr>
      <w:r>
        <w:rPr>
          <w:sz w:val="20"/>
        </w:rPr>
        <w:t xml:space="preserve">"Создание межвузовской системы "бизнес-инкубатор - бизнес-акселератор";</w:t>
      </w:r>
    </w:p>
    <w:p>
      <w:pPr>
        <w:pStyle w:val="0"/>
        <w:spacing w:before="200" w:line-rule="auto"/>
        <w:ind w:firstLine="540"/>
        <w:jc w:val="both"/>
      </w:pPr>
      <w:r>
        <w:rPr>
          <w:sz w:val="20"/>
        </w:rPr>
        <w:t xml:space="preserve">"Центр развития научной и инновационной деятельности Курской области";</w:t>
      </w:r>
    </w:p>
    <w:p>
      <w:pPr>
        <w:pStyle w:val="0"/>
        <w:spacing w:before="200" w:line-rule="auto"/>
        <w:ind w:firstLine="540"/>
        <w:jc w:val="both"/>
      </w:pPr>
      <w:r>
        <w:rPr>
          <w:sz w:val="20"/>
        </w:rPr>
        <w:t xml:space="preserve">"Региональный центр непрерывного повышения квалификации и переподготовки кадров";</w:t>
      </w:r>
    </w:p>
    <w:p>
      <w:pPr>
        <w:pStyle w:val="0"/>
        <w:spacing w:before="200" w:line-rule="auto"/>
        <w:ind w:firstLine="540"/>
        <w:jc w:val="both"/>
      </w:pPr>
      <w:r>
        <w:rPr>
          <w:sz w:val="20"/>
        </w:rPr>
        <w:t xml:space="preserve">"Региональный цифровой интерактивно-образовательный ресурс "Край родной, навек любимый";</w:t>
      </w:r>
    </w:p>
    <w:p>
      <w:pPr>
        <w:pStyle w:val="0"/>
        <w:spacing w:before="200" w:line-rule="auto"/>
        <w:ind w:firstLine="540"/>
        <w:jc w:val="both"/>
      </w:pPr>
      <w:r>
        <w:rPr>
          <w:sz w:val="20"/>
        </w:rPr>
        <w:t xml:space="preserve">"Создание центра трудоустройства выпускников образовательных организаций с инвалидностью и ОВЗ";</w:t>
      </w:r>
    </w:p>
    <w:p>
      <w:pPr>
        <w:pStyle w:val="0"/>
        <w:spacing w:before="200" w:line-rule="auto"/>
        <w:ind w:firstLine="540"/>
        <w:jc w:val="both"/>
      </w:pPr>
      <w:r>
        <w:rPr>
          <w:sz w:val="20"/>
        </w:rPr>
        <w:t xml:space="preserve">"Кластер IT-образования в Курской области";</w:t>
      </w:r>
    </w:p>
    <w:p>
      <w:pPr>
        <w:pStyle w:val="0"/>
        <w:spacing w:before="200" w:line-rule="auto"/>
        <w:ind w:firstLine="540"/>
        <w:jc w:val="both"/>
      </w:pPr>
      <w:r>
        <w:rPr>
          <w:sz w:val="20"/>
        </w:rPr>
        <w:t xml:space="preserve">"Единый информационный образовательный портал Курской области";</w:t>
      </w:r>
    </w:p>
    <w:p>
      <w:pPr>
        <w:pStyle w:val="0"/>
        <w:spacing w:before="200" w:line-rule="auto"/>
        <w:ind w:firstLine="540"/>
        <w:jc w:val="both"/>
      </w:pPr>
      <w:r>
        <w:rPr>
          <w:sz w:val="20"/>
        </w:rPr>
        <w:t xml:space="preserve">"Агроклассы".</w:t>
      </w:r>
    </w:p>
    <w:p>
      <w:pPr>
        <w:pStyle w:val="0"/>
        <w:spacing w:before="200" w:line-rule="auto"/>
        <w:ind w:firstLine="540"/>
        <w:jc w:val="both"/>
      </w:pPr>
      <w:r>
        <w:rPr>
          <w:sz w:val="20"/>
        </w:rPr>
        <w:t xml:space="preserve">Ключевые результаты:</w:t>
      </w:r>
    </w:p>
    <w:p>
      <w:pPr>
        <w:pStyle w:val="0"/>
        <w:spacing w:before="200" w:line-rule="auto"/>
        <w:ind w:firstLine="540"/>
        <w:jc w:val="both"/>
      </w:pPr>
      <w:r>
        <w:rPr>
          <w:sz w:val="20"/>
        </w:rPr>
        <w:t xml:space="preserve">реализация гарантии получения дошкольного образования, в том числе отсутствие очереди на зачисление детей в возрасте до 3 лет в дошкольные образовательные организации;</w:t>
      </w:r>
    </w:p>
    <w:p>
      <w:pPr>
        <w:pStyle w:val="0"/>
        <w:spacing w:before="200" w:line-rule="auto"/>
        <w:ind w:firstLine="540"/>
        <w:jc w:val="both"/>
      </w:pPr>
      <w:r>
        <w:rPr>
          <w:sz w:val="20"/>
        </w:rPr>
        <w:t xml:space="preserve">создание условий, соответствующих требованиям федеральных государственных образовательных стандартов, во всех общеобразовательных организациях;</w:t>
      </w:r>
    </w:p>
    <w:p>
      <w:pPr>
        <w:pStyle w:val="0"/>
        <w:spacing w:before="200" w:line-rule="auto"/>
        <w:ind w:firstLine="540"/>
        <w:jc w:val="both"/>
      </w:pPr>
      <w:r>
        <w:rPr>
          <w:sz w:val="20"/>
        </w:rPr>
        <w:t xml:space="preserve">приведение структуры образовательных программ среднего профессионального образования и высшего образования в соответствие с потребностями развития общества и экономики региона;</w:t>
      </w:r>
    </w:p>
    <w:p>
      <w:pPr>
        <w:pStyle w:val="0"/>
        <w:spacing w:before="200" w:line-rule="auto"/>
        <w:ind w:firstLine="540"/>
        <w:jc w:val="both"/>
      </w:pPr>
      <w:r>
        <w:rPr>
          <w:sz w:val="20"/>
        </w:rPr>
        <w:t xml:space="preserve">создание во всех образовательных организациях коллегиальных органов управления с участием общественности (родители, работодатели), наделенных полномочиями по принятию решений по стратегическим вопросам образовательной и финансово-хозяйственной деятельности;</w:t>
      </w:r>
    </w:p>
    <w:p>
      <w:pPr>
        <w:pStyle w:val="0"/>
        <w:spacing w:before="200" w:line-rule="auto"/>
        <w:ind w:firstLine="540"/>
        <w:jc w:val="both"/>
      </w:pPr>
      <w:r>
        <w:rPr>
          <w:sz w:val="20"/>
        </w:rPr>
        <w:t xml:space="preserve">более 20 тыс. обучающихся охвачены основными и дополнительными общеобразовательными программами цифрового, естественно-научного и гуманитарного профилей к 2030 году;</w:t>
      </w:r>
    </w:p>
    <w:p>
      <w:pPr>
        <w:pStyle w:val="0"/>
        <w:spacing w:before="200" w:line-rule="auto"/>
        <w:ind w:firstLine="540"/>
        <w:jc w:val="both"/>
      </w:pPr>
      <w:r>
        <w:rPr>
          <w:sz w:val="20"/>
        </w:rPr>
        <w:t xml:space="preserve">охват программами дополнительного образования не менее 80% детей в возрасте от 5 до 18 лет к 2024 году;</w:t>
      </w:r>
    </w:p>
    <w:p>
      <w:pPr>
        <w:pStyle w:val="0"/>
        <w:spacing w:before="200" w:line-rule="auto"/>
        <w:ind w:firstLine="540"/>
        <w:jc w:val="both"/>
      </w:pPr>
      <w:r>
        <w:rPr>
          <w:sz w:val="20"/>
        </w:rPr>
        <w:t xml:space="preserve">создание сети центров цифрового образования детей, которой охвачено не менее 4000 детей;</w:t>
      </w:r>
    </w:p>
    <w:p>
      <w:pPr>
        <w:pStyle w:val="0"/>
        <w:spacing w:before="200" w:line-rule="auto"/>
        <w:ind w:firstLine="540"/>
        <w:jc w:val="both"/>
      </w:pPr>
      <w:r>
        <w:rPr>
          <w:sz w:val="20"/>
        </w:rPr>
        <w:t xml:space="preserve">повышение уровня профессионального мастерства в форматах непрерывного образования 50% педагогических работников системы общего, дополнительного образования детей и профессионального образования;</w:t>
      </w:r>
    </w:p>
    <w:p>
      <w:pPr>
        <w:pStyle w:val="0"/>
        <w:spacing w:before="200" w:line-rule="auto"/>
        <w:ind w:firstLine="540"/>
        <w:jc w:val="both"/>
      </w:pPr>
      <w:r>
        <w:rPr>
          <w:sz w:val="20"/>
        </w:rPr>
        <w:t xml:space="preserve">не менее 35% студентов, завершающих освоение основных профессиональных образовательных программ среднего профессионального образования, прошли государственную итоговую аттестацию в виде демонстрационного экзамена к 2030 году;</w:t>
      </w:r>
    </w:p>
    <w:p>
      <w:pPr>
        <w:pStyle w:val="0"/>
        <w:spacing w:before="200" w:line-rule="auto"/>
        <w:ind w:firstLine="540"/>
        <w:jc w:val="both"/>
      </w:pPr>
      <w:r>
        <w:rPr>
          <w:sz w:val="20"/>
        </w:rPr>
        <w:t xml:space="preserve">достижение 100% обеспеченности образовательных организаций доступом к сети Интернет со скоростью не менее 100 Мб/с - для образовательных организаций, расположенных в городах, 50 Мб/с - для образовательных организаций, расположенных в сельской местности и поселках городского типа, а также гарантированным интернет-трафиком;</w:t>
      </w:r>
    </w:p>
    <w:p>
      <w:pPr>
        <w:pStyle w:val="0"/>
        <w:spacing w:before="200" w:line-rule="auto"/>
        <w:ind w:firstLine="540"/>
        <w:jc w:val="both"/>
      </w:pPr>
      <w:r>
        <w:rPr>
          <w:sz w:val="20"/>
        </w:rPr>
        <w:t xml:space="preserve">содействие увеличению доли занятых в научных исследованиях и опытно-конструкторских разработках с 0,49% в 2016 году до 1,0% в 2030 году;</w:t>
      </w:r>
    </w:p>
    <w:p>
      <w:pPr>
        <w:pStyle w:val="0"/>
        <w:spacing w:before="200" w:line-rule="auto"/>
        <w:ind w:firstLine="540"/>
        <w:jc w:val="both"/>
      </w:pPr>
      <w:r>
        <w:rPr>
          <w:sz w:val="20"/>
        </w:rPr>
        <w:t xml:space="preserve">создание условий, способствующих реализации национально-культурными сообществами своих прав на сохранение культурной самобытности, родного языка, истории;</w:t>
      </w:r>
    </w:p>
    <w:p>
      <w:pPr>
        <w:pStyle w:val="0"/>
        <w:spacing w:before="200" w:line-rule="auto"/>
        <w:ind w:firstLine="540"/>
        <w:jc w:val="both"/>
      </w:pPr>
      <w:r>
        <w:rPr>
          <w:sz w:val="20"/>
        </w:rPr>
        <w:t xml:space="preserve">создание во всех муниципальных образованиях Курской области общественных структур в целях рассмотрения вопросов, касающихся реализации государственной национальной политики, социальной и культурной адаптации и интеграции иностранных граждан;</w:t>
      </w:r>
    </w:p>
    <w:p>
      <w:pPr>
        <w:pStyle w:val="0"/>
        <w:spacing w:before="200" w:line-rule="auto"/>
        <w:ind w:firstLine="540"/>
        <w:jc w:val="both"/>
      </w:pPr>
      <w:r>
        <w:rPr>
          <w:sz w:val="20"/>
        </w:rPr>
        <w:t xml:space="preserve">посредством проведения заседаний Совета по межнациональным и межконфессиональным отношениям при Губернаторе Курской области реализация выработки единой политики в отношении сохранения духовной общности и национального культурного наследия народов, проживающих на территории Курской области, развития межнационального диалога, формирования в обществе установок толерантного отношения;</w:t>
      </w:r>
    </w:p>
    <w:p>
      <w:pPr>
        <w:pStyle w:val="0"/>
        <w:spacing w:before="200" w:line-rule="auto"/>
        <w:ind w:firstLine="540"/>
        <w:jc w:val="both"/>
      </w:pPr>
      <w:r>
        <w:rPr>
          <w:sz w:val="20"/>
        </w:rPr>
        <w:t xml:space="preserve">увеличение количества квалифицированных государственных гражданских служащих и муниципальных служащих, компетентных в вопросах построения эффективного механизма реализации государственной национальной политики;</w:t>
      </w:r>
    </w:p>
    <w:p>
      <w:pPr>
        <w:pStyle w:val="0"/>
        <w:spacing w:before="200" w:line-rule="auto"/>
        <w:ind w:firstLine="540"/>
        <w:jc w:val="both"/>
      </w:pPr>
      <w:r>
        <w:rPr>
          <w:sz w:val="20"/>
        </w:rPr>
        <w:t xml:space="preserve">оказание некоммерческим организациям государственной поддержки в виде предоставления из областного бюджета субсидии;</w:t>
      </w:r>
    </w:p>
    <w:p>
      <w:pPr>
        <w:pStyle w:val="0"/>
        <w:spacing w:before="200" w:line-rule="auto"/>
        <w:ind w:firstLine="540"/>
        <w:jc w:val="both"/>
      </w:pPr>
      <w:r>
        <w:rPr>
          <w:sz w:val="20"/>
        </w:rPr>
        <w:t xml:space="preserve">повышение мотивации участия сектора НКО в конкурсе общественно полезных программ, а также органов местного самоуправления в конкурсе "Лучшая муниципальная практика";</w:t>
      </w:r>
    </w:p>
    <w:p>
      <w:pPr>
        <w:pStyle w:val="0"/>
        <w:spacing w:before="200" w:line-rule="auto"/>
        <w:ind w:firstLine="540"/>
        <w:jc w:val="both"/>
      </w:pPr>
      <w:r>
        <w:rPr>
          <w:sz w:val="20"/>
        </w:rPr>
        <w:t xml:space="preserve">создание государственной информационной системы мониторинга в сфере межнациональных и межконфессиональных отношений и раннего предупреждения конфликтных ситуаций;</w:t>
      </w:r>
    </w:p>
    <w:p>
      <w:pPr>
        <w:pStyle w:val="0"/>
        <w:spacing w:before="200" w:line-rule="auto"/>
        <w:ind w:firstLine="540"/>
        <w:jc w:val="both"/>
      </w:pPr>
      <w:r>
        <w:rPr>
          <w:sz w:val="20"/>
        </w:rPr>
        <w:t xml:space="preserve">развитие механизмов взаимодействия органов государственной власти Курской области с гражданским обществом, в том числе в рамках проведения общественной экспертизы готовящихся решений через общественные советы и слушания;</w:t>
      </w:r>
    </w:p>
    <w:p>
      <w:pPr>
        <w:pStyle w:val="0"/>
        <w:spacing w:before="200" w:line-rule="auto"/>
        <w:ind w:firstLine="540"/>
        <w:jc w:val="both"/>
      </w:pPr>
      <w:r>
        <w:rPr>
          <w:sz w:val="20"/>
        </w:rPr>
        <w:t xml:space="preserve">повышение роли изучения общественного мнения в определении приоритетов экономической политики Правительства Курской области, оценке ее деятельности.</w:t>
      </w:r>
    </w:p>
    <w:p>
      <w:pPr>
        <w:pStyle w:val="0"/>
        <w:jc w:val="both"/>
      </w:pPr>
      <w:r>
        <w:rPr>
          <w:sz w:val="20"/>
        </w:rPr>
        <w:t xml:space="preserve">(в ред. </w:t>
      </w:r>
      <w:hyperlink w:history="0" r:id="rId80"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Ключевые результаты "Мастерских проектов":</w:t>
      </w:r>
    </w:p>
    <w:p>
      <w:pPr>
        <w:pStyle w:val="0"/>
        <w:spacing w:before="200" w:line-rule="auto"/>
        <w:ind w:firstLine="540"/>
        <w:jc w:val="both"/>
      </w:pPr>
      <w:r>
        <w:rPr>
          <w:sz w:val="20"/>
        </w:rPr>
        <w:t xml:space="preserve">рост удовлетворенности населения качеством профессионального образования с 72,3% до 90% к 2030 году;</w:t>
      </w:r>
    </w:p>
    <w:p>
      <w:pPr>
        <w:pStyle w:val="0"/>
        <w:spacing w:before="200" w:line-rule="auto"/>
        <w:ind w:firstLine="540"/>
        <w:jc w:val="both"/>
      </w:pPr>
      <w:r>
        <w:rPr>
          <w:sz w:val="20"/>
        </w:rPr>
        <w:t xml:space="preserve">увеличение удовлетворенности качеством образования: выпускниками с 62% до 87%, родителями с 71% до 89%, работодателями с 32% до 60%.</w:t>
      </w:r>
    </w:p>
    <w:p>
      <w:pPr>
        <w:pStyle w:val="0"/>
        <w:jc w:val="both"/>
      </w:pPr>
      <w:r>
        <w:rPr>
          <w:sz w:val="20"/>
        </w:rPr>
      </w:r>
    </w:p>
    <w:p>
      <w:pPr>
        <w:pStyle w:val="2"/>
        <w:outlineLvl w:val="2"/>
        <w:ind w:firstLine="540"/>
        <w:jc w:val="both"/>
      </w:pPr>
      <w:r>
        <w:rPr>
          <w:sz w:val="20"/>
        </w:rPr>
        <w:t xml:space="preserve">8.1. Развитие системы образования</w:t>
      </w:r>
    </w:p>
    <w:p>
      <w:pPr>
        <w:pStyle w:val="0"/>
        <w:jc w:val="both"/>
      </w:pPr>
      <w:r>
        <w:rPr>
          <w:sz w:val="20"/>
        </w:rPr>
      </w:r>
    </w:p>
    <w:p>
      <w:pPr>
        <w:pStyle w:val="0"/>
        <w:ind w:firstLine="540"/>
        <w:jc w:val="both"/>
      </w:pPr>
      <w:r>
        <w:rPr>
          <w:sz w:val="20"/>
        </w:rPr>
        <w:t xml:space="preserve">Задача. Обеспечение высокого качества образования в соответствии с меняющимися запросами населения и перспективными задачами развития экономики.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Развитие дошкольного образования:</w:t>
      </w:r>
    </w:p>
    <w:p>
      <w:pPr>
        <w:pStyle w:val="0"/>
        <w:spacing w:before="200" w:line-rule="auto"/>
        <w:ind w:firstLine="540"/>
        <w:jc w:val="both"/>
      </w:pPr>
      <w:r>
        <w:rPr>
          <w:sz w:val="20"/>
        </w:rPr>
        <w:t xml:space="preserve">обеспечение услугами дошкольного образования всех детей в возрасте от 2 месяцев до 7 лет путем строительства, приобретения, перепрофилирования и капитального ремонта соответствующих помещений для детских садов, увеличения численности детей в частных дошкольных образовательных организациях;</w:t>
      </w:r>
    </w:p>
    <w:p>
      <w:pPr>
        <w:pStyle w:val="0"/>
        <w:spacing w:before="200" w:line-rule="auto"/>
        <w:ind w:firstLine="540"/>
        <w:jc w:val="both"/>
      </w:pPr>
      <w:r>
        <w:rPr>
          <w:sz w:val="20"/>
        </w:rPr>
        <w:t xml:space="preserve">создание системы раннего развития детей в возрасте до трех лет, в том числе путем поддержки социального предпринимательства и в рамках государственно-частного партнерства;</w:t>
      </w:r>
    </w:p>
    <w:p>
      <w:pPr>
        <w:pStyle w:val="0"/>
        <w:spacing w:before="200" w:line-rule="auto"/>
        <w:ind w:firstLine="540"/>
        <w:jc w:val="both"/>
      </w:pPr>
      <w:r>
        <w:rPr>
          <w:sz w:val="20"/>
        </w:rPr>
        <w:t xml:space="preserve">обеспечение консультационными услугами семей, нуждающихся в поддержке в воспитании детей раннего возраста, путем создания информационно-просветительских центров, семейных групп на базе дошкольных учреждений, консультационных центров для обеспечения услугами по сопровождению раннего развития детей, групп кратковременного пребывания детей.</w:t>
      </w:r>
    </w:p>
    <w:p>
      <w:pPr>
        <w:pStyle w:val="0"/>
        <w:spacing w:before="200" w:line-rule="auto"/>
        <w:ind w:firstLine="540"/>
        <w:jc w:val="both"/>
      </w:pPr>
      <w:r>
        <w:rPr>
          <w:sz w:val="20"/>
        </w:rPr>
        <w:t xml:space="preserve">2. Развитие общего образования:</w:t>
      </w:r>
    </w:p>
    <w:p>
      <w:pPr>
        <w:pStyle w:val="0"/>
        <w:spacing w:before="200" w:line-rule="auto"/>
        <w:ind w:firstLine="540"/>
        <w:jc w:val="both"/>
      </w:pPr>
      <w:r>
        <w:rPr>
          <w:sz w:val="20"/>
        </w:rPr>
        <w:t xml:space="preserve">обеспечение односменного режима обучения в 1 - 11-х (12-х) классах общеобразовательных организаций путем строительства и капитального ремонта школ;</w:t>
      </w:r>
    </w:p>
    <w:p>
      <w:pPr>
        <w:pStyle w:val="0"/>
        <w:spacing w:before="200" w:line-rule="auto"/>
        <w:ind w:firstLine="540"/>
        <w:jc w:val="both"/>
      </w:pPr>
      <w:r>
        <w:rPr>
          <w:sz w:val="20"/>
        </w:rPr>
        <w:t xml:space="preserve">обновление и расширение инфраструктуры школьного образования, особенно сельских школ, направленное на реализацию целевой модели цифровой образовательной среды и программ цифрового, естественно-научного и гуманитарного профилей, в том числе с использованием механизма государственно-частного партнерства;</w:t>
      </w:r>
    </w:p>
    <w:p>
      <w:pPr>
        <w:pStyle w:val="0"/>
        <w:spacing w:before="200" w:line-rule="auto"/>
        <w:ind w:firstLine="540"/>
        <w:jc w:val="both"/>
      </w:pPr>
      <w:r>
        <w:rPr>
          <w:sz w:val="20"/>
        </w:rPr>
        <w:t xml:space="preserve">обеспечение общеобразовательных организаций автобусами для осуществления перевозок обучающихся;</w:t>
      </w:r>
    </w:p>
    <w:p>
      <w:pPr>
        <w:pStyle w:val="0"/>
        <w:spacing w:before="200" w:line-rule="auto"/>
        <w:ind w:firstLine="540"/>
        <w:jc w:val="both"/>
      </w:pPr>
      <w:r>
        <w:rPr>
          <w:sz w:val="20"/>
        </w:rPr>
        <w:t xml:space="preserve">создание в общеобразовательных организациях, расположенных в сельской местности, условий для занятий физической культурой и спортом;</w:t>
      </w:r>
    </w:p>
    <w:p>
      <w:pPr>
        <w:pStyle w:val="0"/>
        <w:spacing w:before="200" w:line-rule="auto"/>
        <w:ind w:firstLine="540"/>
        <w:jc w:val="both"/>
      </w:pPr>
      <w:r>
        <w:rPr>
          <w:sz w:val="20"/>
        </w:rPr>
        <w:t xml:space="preserve">внедрение дистанционных образовательных технологий;</w:t>
      </w:r>
    </w:p>
    <w:p>
      <w:pPr>
        <w:pStyle w:val="0"/>
        <w:spacing w:before="200" w:line-rule="auto"/>
        <w:ind w:firstLine="540"/>
        <w:jc w:val="both"/>
      </w:pPr>
      <w:r>
        <w:rPr>
          <w:sz w:val="20"/>
        </w:rPr>
        <w:t xml:space="preserve">обеспечение возможности доступа 100% школьников к образовательным программам дистанционного образования;</w:t>
      </w:r>
    </w:p>
    <w:p>
      <w:pPr>
        <w:pStyle w:val="0"/>
        <w:spacing w:before="200" w:line-rule="auto"/>
        <w:ind w:firstLine="540"/>
        <w:jc w:val="both"/>
      </w:pPr>
      <w:r>
        <w:rPr>
          <w:sz w:val="20"/>
        </w:rPr>
        <w:t xml:space="preserve">предоставление детям-инвалидам возможности освоения образовательных программ общего образования в форме дистанционного, интегрированного или инклюзивного образования, внедрение лучших практик;</w:t>
      </w:r>
    </w:p>
    <w:p>
      <w:pPr>
        <w:pStyle w:val="0"/>
        <w:spacing w:before="200" w:line-rule="auto"/>
        <w:ind w:firstLine="540"/>
        <w:jc w:val="both"/>
      </w:pPr>
      <w:r>
        <w:rPr>
          <w:sz w:val="20"/>
        </w:rPr>
        <w:t xml:space="preserve">создание условий для 100-процентного охвата горячим питанием обучающихся из малоимущих и многодетных семей, а также обучающихся с ОВЗ;</w:t>
      </w:r>
    </w:p>
    <w:p>
      <w:pPr>
        <w:pStyle w:val="0"/>
        <w:spacing w:before="200" w:line-rule="auto"/>
        <w:ind w:firstLine="540"/>
        <w:jc w:val="both"/>
      </w:pPr>
      <w:r>
        <w:rPr>
          <w:sz w:val="20"/>
        </w:rPr>
        <w:t xml:space="preserve">развитие школьной инфраструктуры путем строительства или реконструкции объектов общеобразовательных организаций муниципальной собственности;</w:t>
      </w:r>
    </w:p>
    <w:p>
      <w:pPr>
        <w:pStyle w:val="0"/>
        <w:spacing w:before="200" w:line-rule="auto"/>
        <w:ind w:firstLine="540"/>
        <w:jc w:val="both"/>
      </w:pPr>
      <w:r>
        <w:rPr>
          <w:sz w:val="20"/>
        </w:rPr>
        <w:t xml:space="preserve">предоставление мер социальной поддержки работникам муниципальных образовательных организаций, возмещение затрат на уплату процентов по кредитам и займам, полученным на приобретение и строительство жилья;</w:t>
      </w:r>
    </w:p>
    <w:p>
      <w:pPr>
        <w:pStyle w:val="0"/>
        <w:spacing w:before="200" w:line-rule="auto"/>
        <w:ind w:firstLine="540"/>
        <w:jc w:val="both"/>
      </w:pPr>
      <w:r>
        <w:rPr>
          <w:sz w:val="20"/>
        </w:rPr>
        <w:t xml:space="preserve">модернизация системы непрерывного профессионального развития учителей и руководителей общеобразовательных организаций путем создания правовых, организационных и финансовых механизмов перехода на новые модели повышения квалификации, в том числе использование дистанционных форм обучения, а также на создание единой базы данных о профессиональных дефицитах педагогических работников, выявляемых в ходе добровольной сертификации;</w:t>
      </w:r>
    </w:p>
    <w:p>
      <w:pPr>
        <w:pStyle w:val="0"/>
        <w:spacing w:before="200" w:line-rule="auto"/>
        <w:ind w:firstLine="540"/>
        <w:jc w:val="both"/>
      </w:pPr>
      <w:r>
        <w:rPr>
          <w:sz w:val="20"/>
        </w:rPr>
        <w:t xml:space="preserve">создание четырех центров непрерывного повышения профессионального мастерства педагогических работников и одного центра оценки профессионального мастерства и квалификации педагогов;</w:t>
      </w:r>
    </w:p>
    <w:p>
      <w:pPr>
        <w:pStyle w:val="0"/>
        <w:spacing w:before="200" w:line-rule="auto"/>
        <w:ind w:firstLine="540"/>
        <w:jc w:val="both"/>
      </w:pPr>
      <w:r>
        <w:rPr>
          <w:sz w:val="20"/>
        </w:rPr>
        <w:t xml:space="preserve">разработка программы внедрения агроклассов в сельских школах;</w:t>
      </w:r>
    </w:p>
    <w:p>
      <w:pPr>
        <w:pStyle w:val="0"/>
        <w:spacing w:before="200" w:line-rule="auto"/>
        <w:ind w:firstLine="540"/>
        <w:jc w:val="both"/>
      </w:pPr>
      <w:r>
        <w:rPr>
          <w:sz w:val="20"/>
        </w:rPr>
        <w:t xml:space="preserve">организация и проведение всероссийских спортивных соревнований среди обучающихся в образовательных организациях, внедрение Всероссийского физкультурно-спортивного комплекса "Готов к труду и обороне" (ГТО);</w:t>
      </w:r>
    </w:p>
    <w:p>
      <w:pPr>
        <w:pStyle w:val="0"/>
        <w:spacing w:before="200" w:line-rule="auto"/>
        <w:ind w:firstLine="540"/>
        <w:jc w:val="both"/>
      </w:pPr>
      <w:r>
        <w:rPr>
          <w:sz w:val="20"/>
        </w:rPr>
        <w:t xml:space="preserve">создание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pPr>
        <w:pStyle w:val="0"/>
        <w:spacing w:before="200" w:line-rule="auto"/>
        <w:ind w:firstLine="540"/>
        <w:jc w:val="both"/>
      </w:pPr>
      <w:r>
        <w:rPr>
          <w:sz w:val="20"/>
        </w:rPr>
        <w:t xml:space="preserve">реализация образовательных программ в сетевой форме, создание условий для реализации дистанционных программ обучения, в том числе на базе сетевого партнерства;</w:t>
      </w:r>
    </w:p>
    <w:p>
      <w:pPr>
        <w:pStyle w:val="0"/>
        <w:spacing w:before="200" w:line-rule="auto"/>
        <w:ind w:firstLine="540"/>
        <w:jc w:val="both"/>
      </w:pPr>
      <w:r>
        <w:rPr>
          <w:sz w:val="20"/>
        </w:rPr>
        <w:t xml:space="preserve">осуществление перехода на открытую информационную образовательную среду (современное цифровое оборудование и программное обеспечение, индивидуализация образовательного процесса, создание единой цифровой платформы, обновление информационно - коммуникационной инфраструктуры и т.д.);</w:t>
      </w:r>
    </w:p>
    <w:p>
      <w:pPr>
        <w:pStyle w:val="0"/>
        <w:spacing w:before="200" w:line-rule="auto"/>
        <w:ind w:firstLine="540"/>
        <w:jc w:val="both"/>
      </w:pPr>
      <w:r>
        <w:rPr>
          <w:sz w:val="20"/>
        </w:rPr>
        <w:t xml:space="preserve">открытие школы полного дня (индивидуализация образовательных маршрутов, единое социокультурное образовательное пространство).</w:t>
      </w:r>
    </w:p>
    <w:p>
      <w:pPr>
        <w:pStyle w:val="0"/>
        <w:spacing w:before="200" w:line-rule="auto"/>
        <w:ind w:firstLine="540"/>
        <w:jc w:val="both"/>
      </w:pPr>
      <w:r>
        <w:rPr>
          <w:sz w:val="20"/>
        </w:rPr>
        <w:t xml:space="preserve">3. Развитие профессионального образования:</w:t>
      </w:r>
    </w:p>
    <w:p>
      <w:pPr>
        <w:pStyle w:val="0"/>
        <w:spacing w:before="200" w:line-rule="auto"/>
        <w:ind w:firstLine="540"/>
        <w:jc w:val="both"/>
      </w:pPr>
      <w:r>
        <w:rPr>
          <w:sz w:val="20"/>
        </w:rPr>
        <w:t xml:space="preserve">обновление материально-технической базы, капитальный ремонт, обновление общежитий; оснащение профессиональных образовательных организаций оборудованием, в том числе учебно-наглядным оборудованием, инвентарем, расходными материалами, учебной литературой для организации лабораторно-практических занятий по востребованным специальностям в соответствии с требованиями федеральных стандартов;</w:t>
      </w:r>
    </w:p>
    <w:p>
      <w:pPr>
        <w:pStyle w:val="0"/>
        <w:spacing w:before="200" w:line-rule="auto"/>
        <w:ind w:firstLine="540"/>
        <w:jc w:val="both"/>
      </w:pPr>
      <w:r>
        <w:rPr>
          <w:sz w:val="20"/>
        </w:rPr>
        <w:t xml:space="preserve">внедрение дистанционных образовательных технологий;</w:t>
      </w:r>
    </w:p>
    <w:p>
      <w:pPr>
        <w:pStyle w:val="0"/>
        <w:spacing w:before="200" w:line-rule="auto"/>
        <w:ind w:firstLine="540"/>
        <w:jc w:val="both"/>
      </w:pPr>
      <w:r>
        <w:rPr>
          <w:sz w:val="20"/>
        </w:rPr>
        <w:t xml:space="preserve">продолжение практики ежегодного определения общего объема контрольных цифр приема на программы среднего профессионального и высшего образования в образовательные организации высшего образования и профессиональные образовательные организации, расположенные на территории Курской области, с учетом потребности экономики в современных высококвалифицированных кадрах;</w:t>
      </w:r>
    </w:p>
    <w:p>
      <w:pPr>
        <w:pStyle w:val="0"/>
        <w:spacing w:before="200" w:line-rule="auto"/>
        <w:ind w:firstLine="540"/>
        <w:jc w:val="both"/>
      </w:pPr>
      <w:r>
        <w:rPr>
          <w:sz w:val="20"/>
        </w:rPr>
        <w:t xml:space="preserve">обеспечение установления на конкурсной основе контрольных цифр приема по профессиям, направлениям подготовки (специальностям) для обучения по программам среднего профессионального и высшего образования за счет средств областного бюджета;</w:t>
      </w:r>
    </w:p>
    <w:p>
      <w:pPr>
        <w:pStyle w:val="0"/>
        <w:spacing w:before="200" w:line-rule="auto"/>
        <w:ind w:firstLine="540"/>
        <w:jc w:val="both"/>
      </w:pPr>
      <w:r>
        <w:rPr>
          <w:sz w:val="20"/>
        </w:rPr>
        <w:t xml:space="preserve">развитие практики приема на целевое обучение на направления подготовки (специальности) высшего образования, востребованные региональным рынком труда;</w:t>
      </w:r>
    </w:p>
    <w:p>
      <w:pPr>
        <w:pStyle w:val="0"/>
        <w:spacing w:before="200" w:line-rule="auto"/>
        <w:ind w:firstLine="540"/>
        <w:jc w:val="both"/>
      </w:pPr>
      <w:r>
        <w:rPr>
          <w:sz w:val="20"/>
        </w:rPr>
        <w:t xml:space="preserve">развитие механизмов вовлечения представителей реального сектора экономики в систему подготовки специалистов и оценку полученных квалификаций, в том числе создание центра сертификации профессиональных квалификаций с участием работодателей;</w:t>
      </w:r>
    </w:p>
    <w:p>
      <w:pPr>
        <w:pStyle w:val="0"/>
        <w:spacing w:before="200" w:line-rule="auto"/>
        <w:ind w:firstLine="540"/>
        <w:jc w:val="both"/>
      </w:pPr>
      <w:r>
        <w:rPr>
          <w:sz w:val="20"/>
        </w:rPr>
        <w:t xml:space="preserve">модернизация профессионального образования, в том числе посредством внедрения адаптивных, практикоориентированных и гибких образовательных программ по наиболее востребованным и перспективным профессиям на уровне, соответствующем стандартам WorldSkills, повышение квалификации преподавателей - мастеров производственного обучения по программам, основанным на опыте Союза WorldSkills Russia, внедрение демонстрационного экзамена в государственную итоговую аттестацию студентов;</w:t>
      </w:r>
    </w:p>
    <w:p>
      <w:pPr>
        <w:pStyle w:val="0"/>
        <w:spacing w:before="200" w:line-rule="auto"/>
        <w:ind w:firstLine="540"/>
        <w:jc w:val="both"/>
      </w:pPr>
      <w:r>
        <w:rPr>
          <w:sz w:val="20"/>
        </w:rPr>
        <w:t xml:space="preserve">модернизация сети организаций профессионального образования в соответствии с требованиями регионального рынка труда;</w:t>
      </w:r>
    </w:p>
    <w:p>
      <w:pPr>
        <w:pStyle w:val="0"/>
        <w:spacing w:before="200" w:line-rule="auto"/>
        <w:ind w:firstLine="540"/>
        <w:jc w:val="both"/>
      </w:pPr>
      <w:r>
        <w:rPr>
          <w:sz w:val="20"/>
        </w:rPr>
        <w:t xml:space="preserve">создание центра опережающей профессиональной подготовки и 51 мастерской, оснащенной современной материально-технической базой;</w:t>
      </w:r>
    </w:p>
    <w:p>
      <w:pPr>
        <w:pStyle w:val="0"/>
        <w:spacing w:before="200" w:line-rule="auto"/>
        <w:ind w:firstLine="540"/>
        <w:jc w:val="both"/>
      </w:pPr>
      <w:r>
        <w:rPr>
          <w:sz w:val="20"/>
        </w:rPr>
        <w:t xml:space="preserve">создание единого информационного образовательного портала Курской области, содержащего исчерпывающую и актуальную информацию о всех образовательных программах, характеристиках и потребностях рынка труда;</w:t>
      </w:r>
    </w:p>
    <w:p>
      <w:pPr>
        <w:pStyle w:val="0"/>
        <w:spacing w:before="200" w:line-rule="auto"/>
        <w:ind w:firstLine="540"/>
        <w:jc w:val="both"/>
      </w:pPr>
      <w:r>
        <w:rPr>
          <w:sz w:val="20"/>
        </w:rPr>
        <w:t xml:space="preserve">создание инновационных стажировочных площадок для производственных практик на базе промышленных предприятий;</w:t>
      </w:r>
    </w:p>
    <w:p>
      <w:pPr>
        <w:pStyle w:val="0"/>
        <w:spacing w:before="200" w:line-rule="auto"/>
        <w:ind w:firstLine="540"/>
        <w:jc w:val="both"/>
      </w:pPr>
      <w:r>
        <w:rPr>
          <w:sz w:val="20"/>
        </w:rPr>
        <w:t xml:space="preserve">расширение сети ресурсных центров и многофункциональных центров профессиональных квалификаций;</w:t>
      </w:r>
    </w:p>
    <w:p>
      <w:pPr>
        <w:pStyle w:val="0"/>
        <w:spacing w:before="200" w:line-rule="auto"/>
        <w:ind w:firstLine="540"/>
        <w:jc w:val="both"/>
      </w:pPr>
      <w:r>
        <w:rPr>
          <w:sz w:val="20"/>
        </w:rPr>
        <w:t xml:space="preserve">вовлечение работодателей и представителей иных групп интересов в деятельность попечительских (наблюдательных) советов образовательных организаций;</w:t>
      </w:r>
    </w:p>
    <w:p>
      <w:pPr>
        <w:pStyle w:val="0"/>
        <w:spacing w:before="200" w:line-rule="auto"/>
        <w:ind w:firstLine="540"/>
        <w:jc w:val="both"/>
      </w:pPr>
      <w:r>
        <w:rPr>
          <w:sz w:val="20"/>
        </w:rPr>
        <w:t xml:space="preserve">создание центра трудоустройства выпускников образовательных организаций с инвалидностью и ОВЗ;</w:t>
      </w:r>
    </w:p>
    <w:p>
      <w:pPr>
        <w:pStyle w:val="0"/>
        <w:spacing w:before="200" w:line-rule="auto"/>
        <w:ind w:firstLine="540"/>
        <w:jc w:val="both"/>
      </w:pPr>
      <w:r>
        <w:rPr>
          <w:sz w:val="20"/>
        </w:rPr>
        <w:t xml:space="preserve">проведение конкурсов профессионального мастерства среди обучающихся, в том числе региональных этапов "Абилимпикс";</w:t>
      </w:r>
    </w:p>
    <w:p>
      <w:pPr>
        <w:pStyle w:val="0"/>
        <w:spacing w:before="200" w:line-rule="auto"/>
        <w:ind w:firstLine="540"/>
        <w:jc w:val="both"/>
      </w:pPr>
      <w:r>
        <w:rPr>
          <w:sz w:val="20"/>
        </w:rPr>
        <w:t xml:space="preserve">формирование образовательного кластера в сфере информационных технологий;</w:t>
      </w:r>
    </w:p>
    <w:p>
      <w:pPr>
        <w:pStyle w:val="0"/>
        <w:spacing w:before="200" w:line-rule="auto"/>
        <w:ind w:firstLine="540"/>
        <w:jc w:val="both"/>
      </w:pPr>
      <w:r>
        <w:rPr>
          <w:sz w:val="20"/>
        </w:rPr>
        <w:t xml:space="preserve">создание условий для развития наставничества;</w:t>
      </w:r>
    </w:p>
    <w:p>
      <w:pPr>
        <w:pStyle w:val="0"/>
        <w:spacing w:before="200" w:line-rule="auto"/>
        <w:ind w:firstLine="540"/>
        <w:jc w:val="both"/>
      </w:pPr>
      <w:r>
        <w:rPr>
          <w:sz w:val="20"/>
        </w:rPr>
        <w:t xml:space="preserve">внедрение механизмов эффективного контракта с педагогическими работниками и мастерами производственного обучения организаций, реализующих программы профессиональной подготовки и среднего профессионального образования, и научно-педагогическими работниками образовательной организации высшего образования;</w:t>
      </w:r>
    </w:p>
    <w:p>
      <w:pPr>
        <w:pStyle w:val="0"/>
        <w:spacing w:before="200" w:line-rule="auto"/>
        <w:ind w:firstLine="540"/>
        <w:jc w:val="both"/>
      </w:pPr>
      <w:r>
        <w:rPr>
          <w:sz w:val="20"/>
        </w:rPr>
        <w:t xml:space="preserve">предоставление мер социальной поддержки работникам муниципальных образовательных организаций, возмещение затрат на уплату процентов по кредитам и займам, полученным на приобретение и строительство жилья;</w:t>
      </w:r>
    </w:p>
    <w:p>
      <w:pPr>
        <w:pStyle w:val="0"/>
        <w:spacing w:before="200" w:line-rule="auto"/>
        <w:ind w:firstLine="540"/>
        <w:jc w:val="both"/>
      </w:pPr>
      <w:r>
        <w:rPr>
          <w:sz w:val="20"/>
        </w:rPr>
        <w:t xml:space="preserve">конкурсная поддержка профессиональных образовательных организаций, обеспечивающих высокие показатели качества подготовки и трудоустройства выпускников;</w:t>
      </w:r>
    </w:p>
    <w:p>
      <w:pPr>
        <w:pStyle w:val="0"/>
        <w:spacing w:before="200" w:line-rule="auto"/>
        <w:ind w:firstLine="540"/>
        <w:jc w:val="both"/>
      </w:pPr>
      <w:r>
        <w:rPr>
          <w:sz w:val="20"/>
        </w:rPr>
        <w:t xml:space="preserve">реализация стратегической инициативы "Кадры будущего для регионов", включающая обучение навыкам проектного управления, прохождение под руководством наставников профессиональных проб, внедрение новых инструментов и механизмов выявления высокомотивированных и социально активных детей и молодежи, проведение "Региональной школы" в форме лагерного сбора по обучению участников инициативы: студентов образовательных организаций высшего образования, профессиональных образовательных организаций, школьников и наставников;</w:t>
      </w:r>
    </w:p>
    <w:p>
      <w:pPr>
        <w:pStyle w:val="0"/>
        <w:spacing w:before="200" w:line-rule="auto"/>
        <w:ind w:firstLine="540"/>
        <w:jc w:val="both"/>
      </w:pPr>
      <w:r>
        <w:rPr>
          <w:sz w:val="20"/>
        </w:rPr>
        <w:t xml:space="preserve">разработка программы адаптации к рискам цифровой экономики, направленной на опережающее обучение работников, имеющих риск попасть под сокращение, на ускоренную профессиональную подготовку, переподготовку и повышение квалификации работающих и ищущих работу;</w:t>
      </w:r>
    </w:p>
    <w:p>
      <w:pPr>
        <w:pStyle w:val="0"/>
        <w:spacing w:before="200" w:line-rule="auto"/>
        <w:ind w:firstLine="540"/>
        <w:jc w:val="both"/>
      </w:pPr>
      <w:r>
        <w:rPr>
          <w:sz w:val="20"/>
        </w:rPr>
        <w:t xml:space="preserve">создание современной системы оценки качества профессионального образования на основе принципов открытости, объективности, прозрачности, общественно-профессионального участия, в том числе внедрение независимой оценки и системы самооценки качества предоставляемых услуг;</w:t>
      </w:r>
    </w:p>
    <w:p>
      <w:pPr>
        <w:pStyle w:val="0"/>
        <w:spacing w:before="200" w:line-rule="auto"/>
        <w:ind w:firstLine="540"/>
        <w:jc w:val="both"/>
      </w:pPr>
      <w:r>
        <w:rPr>
          <w:sz w:val="20"/>
        </w:rPr>
        <w:t xml:space="preserve">создание центра сертификации профессиональных квалификаций с участием работодателей;</w:t>
      </w:r>
    </w:p>
    <w:p>
      <w:pPr>
        <w:pStyle w:val="0"/>
        <w:spacing w:before="200" w:line-rule="auto"/>
        <w:ind w:firstLine="540"/>
        <w:jc w:val="both"/>
      </w:pPr>
      <w:r>
        <w:rPr>
          <w:sz w:val="20"/>
        </w:rPr>
        <w:t xml:space="preserve">создание коллегиальных органов управления с участием общественности (родители, работодатели), наделенных полномочиями по принятию решений по стратегическим вопросам образовательной и финансово-хозяйственной деятельности;</w:t>
      </w:r>
    </w:p>
    <w:p>
      <w:pPr>
        <w:pStyle w:val="0"/>
        <w:spacing w:before="200" w:line-rule="auto"/>
        <w:ind w:firstLine="540"/>
        <w:jc w:val="both"/>
      </w:pPr>
      <w:r>
        <w:rPr>
          <w:sz w:val="20"/>
        </w:rPr>
        <w:t xml:space="preserve">подготовка общественно-профессиональных экспертов.</w:t>
      </w:r>
    </w:p>
    <w:p>
      <w:pPr>
        <w:pStyle w:val="0"/>
        <w:spacing w:before="200" w:line-rule="auto"/>
        <w:ind w:firstLine="540"/>
        <w:jc w:val="both"/>
      </w:pPr>
      <w:r>
        <w:rPr>
          <w:sz w:val="20"/>
        </w:rPr>
        <w:t xml:space="preserve">4. Развитие системы дополнительного образования:</w:t>
      </w:r>
    </w:p>
    <w:p>
      <w:pPr>
        <w:pStyle w:val="0"/>
        <w:spacing w:before="200" w:line-rule="auto"/>
        <w:ind w:firstLine="540"/>
        <w:jc w:val="both"/>
      </w:pPr>
      <w:r>
        <w:rPr>
          <w:sz w:val="20"/>
        </w:rPr>
        <w:t xml:space="preserve">модернизация и устойчивое развитие сферы дополнительного образования детей и системы воспитания в целях их социальной адаптации, личностного развития и самореализации, в том числе путем внедрения новых образовательных программ и форм воспитания, связанных социальной проектной деятельностью;</w:t>
      </w:r>
    </w:p>
    <w:p>
      <w:pPr>
        <w:pStyle w:val="0"/>
        <w:spacing w:before="200" w:line-rule="auto"/>
        <w:ind w:firstLine="540"/>
        <w:jc w:val="both"/>
      </w:pPr>
      <w:r>
        <w:rPr>
          <w:sz w:val="20"/>
        </w:rPr>
        <w:t xml:space="preserve">создание региональной системы непрерывной воспитательной работы и социализации, направленной на личностное саморазвитие за счет обеспечения взаимодействия организаций общего, профессионального и дополнительного образования;</w:t>
      </w:r>
    </w:p>
    <w:p>
      <w:pPr>
        <w:pStyle w:val="0"/>
        <w:spacing w:before="200" w:line-rule="auto"/>
        <w:ind w:firstLine="540"/>
        <w:jc w:val="both"/>
      </w:pPr>
      <w:r>
        <w:rPr>
          <w:sz w:val="20"/>
        </w:rPr>
        <w:t xml:space="preserve">создание условий для расширения дополнительных образовательных услуг, в том числе дистанционных;</w:t>
      </w:r>
    </w:p>
    <w:p>
      <w:pPr>
        <w:pStyle w:val="0"/>
        <w:spacing w:before="200" w:line-rule="auto"/>
        <w:ind w:firstLine="540"/>
        <w:jc w:val="both"/>
      </w:pPr>
      <w:r>
        <w:rPr>
          <w:sz w:val="20"/>
        </w:rPr>
        <w:t xml:space="preserve">создание условий для формирования эффективной системы выявления и развития молодых талантов и детей с высокой мотивацией к обучению;</w:t>
      </w:r>
    </w:p>
    <w:p>
      <w:pPr>
        <w:pStyle w:val="0"/>
        <w:spacing w:before="200" w:line-rule="auto"/>
        <w:ind w:firstLine="540"/>
        <w:jc w:val="both"/>
      </w:pPr>
      <w:r>
        <w:rPr>
          <w:sz w:val="20"/>
        </w:rPr>
        <w:t xml:space="preserve">внедрение инновационных форм, методов, технологий подготовки педагогов на основе персонифицированной модульно-накопительной системы повышения квалификации;</w:t>
      </w:r>
    </w:p>
    <w:p>
      <w:pPr>
        <w:pStyle w:val="0"/>
        <w:spacing w:before="200" w:line-rule="auto"/>
        <w:ind w:firstLine="540"/>
        <w:jc w:val="both"/>
      </w:pPr>
      <w:r>
        <w:rPr>
          <w:sz w:val="20"/>
        </w:rPr>
        <w:t xml:space="preserve">обновление содержания и совершенствование методов обучения предметной области "Технология";</w:t>
      </w:r>
    </w:p>
    <w:p>
      <w:pPr>
        <w:pStyle w:val="0"/>
        <w:spacing w:before="200" w:line-rule="auto"/>
        <w:ind w:firstLine="540"/>
        <w:jc w:val="both"/>
      </w:pPr>
      <w:r>
        <w:rPr>
          <w:sz w:val="20"/>
        </w:rPr>
        <w:t xml:space="preserve">развитие молодежного научно-технического творчества, в частности поддержка научных обществ, организация специализированных классов, усиление исследовательской компоненты в учебной и внеурочной деятельности, внедрение виртуальных научно-образовательных лабораторий, взаимодействие с сетевыми школами и организациями (лига "РОСНАНО", "Школа реальных дел", "Яндекс-Лицей" и пр.);</w:t>
      </w:r>
    </w:p>
    <w:p>
      <w:pPr>
        <w:pStyle w:val="0"/>
        <w:spacing w:before="200" w:line-rule="auto"/>
        <w:ind w:firstLine="540"/>
        <w:jc w:val="both"/>
      </w:pPr>
      <w:r>
        <w:rPr>
          <w:sz w:val="20"/>
        </w:rPr>
        <w:t xml:space="preserve">создание 2 детских технопарков "Кванториум" в г. Железногорске и г. Курске, 10 мобильных технопарков "Кванториум";</w:t>
      </w:r>
    </w:p>
    <w:p>
      <w:pPr>
        <w:pStyle w:val="0"/>
        <w:spacing w:before="200" w:line-rule="auto"/>
        <w:ind w:firstLine="540"/>
        <w:jc w:val="both"/>
      </w:pPr>
      <w:r>
        <w:rPr>
          <w:sz w:val="20"/>
        </w:rPr>
        <w:t xml:space="preserve">создание 2 центров цифрового образования детей "IT-куб" в городах Курске и Железногорске, что позволит обеспечить продвижение компетенций в области цифровизации, а также станет эффективным механизмом ранней профориентации;</w:t>
      </w:r>
    </w:p>
    <w:p>
      <w:pPr>
        <w:pStyle w:val="0"/>
        <w:spacing w:before="200" w:line-rule="auto"/>
        <w:ind w:firstLine="540"/>
        <w:jc w:val="both"/>
      </w:pPr>
      <w:r>
        <w:rPr>
          <w:sz w:val="20"/>
        </w:rPr>
        <w:t xml:space="preserve">создание полифункционального образовательного инновационного эколого-биологического парка "Экопарк";</w:t>
      </w:r>
    </w:p>
    <w:p>
      <w:pPr>
        <w:pStyle w:val="0"/>
        <w:spacing w:before="200" w:line-rule="auto"/>
        <w:ind w:firstLine="540"/>
        <w:jc w:val="both"/>
      </w:pPr>
      <w:r>
        <w:rPr>
          <w:sz w:val="20"/>
        </w:rPr>
        <w:t xml:space="preserve">развитие системы ранней профориентации, в том числе участие в реализации российского проекта "Билет в будущее";</w:t>
      </w:r>
    </w:p>
    <w:p>
      <w:pPr>
        <w:pStyle w:val="0"/>
        <w:spacing w:before="200" w:line-rule="auto"/>
        <w:ind w:firstLine="540"/>
        <w:jc w:val="both"/>
      </w:pPr>
      <w:r>
        <w:rPr>
          <w:sz w:val="20"/>
        </w:rPr>
        <w:t xml:space="preserve">развитие системы выявления и поддержки способностей и талантов у детей и молодежи: создание регионального банка данных, учреждение именных стипендий, создание центра по работе с одаренными детьми по образцу "Сириуса";</w:t>
      </w:r>
    </w:p>
    <w:p>
      <w:pPr>
        <w:pStyle w:val="0"/>
        <w:spacing w:before="200" w:line-rule="auto"/>
        <w:ind w:firstLine="540"/>
        <w:jc w:val="both"/>
      </w:pPr>
      <w:r>
        <w:rPr>
          <w:sz w:val="20"/>
        </w:rPr>
        <w:t xml:space="preserve">развитие добровольчества (волонтерства), развитие талантов и способностей у детей и молодежи путем поддержки общественных инициатив и проектов, создания центров поддержки добровольчества на базе образовательных организаций, некоммерческих организаций, государственных и муниципальных учреждений;</w:t>
      </w:r>
    </w:p>
    <w:p>
      <w:pPr>
        <w:pStyle w:val="0"/>
        <w:spacing w:before="200" w:line-rule="auto"/>
        <w:ind w:firstLine="540"/>
        <w:jc w:val="both"/>
      </w:pPr>
      <w:r>
        <w:rPr>
          <w:sz w:val="20"/>
        </w:rPr>
        <w:t xml:space="preserve">создание регионального цифрового интерактивно-образовательного ресурса "Край родной, навек любимый".</w:t>
      </w:r>
    </w:p>
    <w:p>
      <w:pPr>
        <w:pStyle w:val="0"/>
        <w:spacing w:before="200" w:line-rule="auto"/>
        <w:ind w:firstLine="540"/>
        <w:jc w:val="both"/>
      </w:pPr>
      <w:r>
        <w:rPr>
          <w:sz w:val="20"/>
        </w:rPr>
        <w:t xml:space="preserve">5. Повышение доступности общеобразовательных и дошкольных организаций для сельского населения (школы, детские сады в сельской местности).</w:t>
      </w:r>
    </w:p>
    <w:p>
      <w:pPr>
        <w:pStyle w:val="0"/>
        <w:spacing w:before="200" w:line-rule="auto"/>
        <w:ind w:firstLine="540"/>
        <w:jc w:val="both"/>
      </w:pPr>
      <w:r>
        <w:rPr>
          <w:sz w:val="20"/>
        </w:rPr>
        <w:t xml:space="preserve">6. Организация системы обучения граждан предпенсионного и пенсионного возраста, в том числе по программам высшего образования и дополнительного профессионального образования.</w:t>
      </w:r>
    </w:p>
    <w:p>
      <w:pPr>
        <w:pStyle w:val="0"/>
        <w:jc w:val="both"/>
      </w:pPr>
      <w:r>
        <w:rPr>
          <w:sz w:val="20"/>
        </w:rPr>
      </w:r>
    </w:p>
    <w:p>
      <w:pPr>
        <w:pStyle w:val="2"/>
        <w:outlineLvl w:val="2"/>
        <w:ind w:firstLine="540"/>
        <w:jc w:val="both"/>
      </w:pPr>
      <w:r>
        <w:rPr>
          <w:sz w:val="20"/>
        </w:rPr>
        <w:t xml:space="preserve">8.2. Научно-образовательный комплекс</w:t>
      </w:r>
    </w:p>
    <w:p>
      <w:pPr>
        <w:pStyle w:val="0"/>
        <w:jc w:val="both"/>
      </w:pPr>
      <w:r>
        <w:rPr>
          <w:sz w:val="20"/>
        </w:rPr>
      </w:r>
    </w:p>
    <w:p>
      <w:pPr>
        <w:pStyle w:val="0"/>
        <w:ind w:firstLine="540"/>
        <w:jc w:val="both"/>
      </w:pPr>
      <w:r>
        <w:rPr>
          <w:sz w:val="20"/>
        </w:rPr>
        <w:t xml:space="preserve">Задача. Формирование конкурентоспособного научно-образовательного комплекса, реализующего проекты для реального сектора экономики и создающего условия для развития технологического предпринимательства.</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определение перечня научных исследований, востребованных реальным сектором экономики Курской области;</w:t>
      </w:r>
    </w:p>
    <w:p>
      <w:pPr>
        <w:pStyle w:val="0"/>
        <w:spacing w:before="200" w:line-rule="auto"/>
        <w:ind w:firstLine="540"/>
        <w:jc w:val="both"/>
      </w:pPr>
      <w:r>
        <w:rPr>
          <w:sz w:val="20"/>
        </w:rPr>
        <w:t xml:space="preserve">осуществление поддержки перспективных научных исследований, проводимых учеными Курской области, в том числе региональное софинансирование научных исследований, востребованных экономикой Курской области;</w:t>
      </w:r>
    </w:p>
    <w:p>
      <w:pPr>
        <w:pStyle w:val="0"/>
        <w:spacing w:before="200" w:line-rule="auto"/>
        <w:ind w:firstLine="540"/>
        <w:jc w:val="both"/>
      </w:pPr>
      <w:r>
        <w:rPr>
          <w:sz w:val="20"/>
        </w:rPr>
        <w:t xml:space="preserve">содействие созданию научно-образовательных центров на основе взаимодействия образовательных организаций и предприятий реального сектора экономики, деятельность которых направлена на поддержку реализации программ развития образовательных организаций высшего образования, расположенных на территории Курской области, использование результатов научных исследований в реальном секторе экономики и привлечение в научную сферу региона внебюджетного финансирования;</w:t>
      </w:r>
    </w:p>
    <w:p>
      <w:pPr>
        <w:pStyle w:val="0"/>
        <w:spacing w:before="200" w:line-rule="auto"/>
        <w:ind w:firstLine="540"/>
        <w:jc w:val="both"/>
      </w:pPr>
      <w:r>
        <w:rPr>
          <w:sz w:val="20"/>
        </w:rPr>
        <w:t xml:space="preserve">создание региональной системы поддержки технологических предпринимателей, в том числе содействие созданию системы "бизнес-инкубатор - бизнес-акселератор" для обеспечения масштабирования малого инновационного бизнеса, в том числе внедрение системы инновационных ваучеров при выполнении НИОКР для малых и средних компаний;</w:t>
      </w:r>
    </w:p>
    <w:p>
      <w:pPr>
        <w:pStyle w:val="0"/>
        <w:spacing w:before="200" w:line-rule="auto"/>
        <w:ind w:firstLine="540"/>
        <w:jc w:val="both"/>
      </w:pPr>
      <w:r>
        <w:rPr>
          <w:sz w:val="20"/>
        </w:rPr>
        <w:t xml:space="preserve">увеличение размера именных стипендий Губернатора Курской области для студентов, слушателей, аспирантов и адъюнктов, имеющих значимые достижения в учебной и научно-исследовательской деятельности;</w:t>
      </w:r>
    </w:p>
    <w:p>
      <w:pPr>
        <w:pStyle w:val="0"/>
        <w:spacing w:before="200" w:line-rule="auto"/>
        <w:ind w:firstLine="540"/>
        <w:jc w:val="both"/>
      </w:pPr>
      <w:r>
        <w:rPr>
          <w:sz w:val="20"/>
        </w:rPr>
        <w:t xml:space="preserve">проведение выставок, конференций, семинаров, "круглых столов", мастер-классов с привлечением представителей научного сообщества региона и реального сектора экономики;</w:t>
      </w:r>
    </w:p>
    <w:p>
      <w:pPr>
        <w:pStyle w:val="0"/>
        <w:spacing w:before="200" w:line-rule="auto"/>
        <w:ind w:firstLine="540"/>
        <w:jc w:val="both"/>
      </w:pPr>
      <w:r>
        <w:rPr>
          <w:sz w:val="20"/>
        </w:rPr>
        <w:t xml:space="preserve">организация обучающих и консалтинговых мероприятий в области повышения производительности труда, внедрения технологий бережливого производства, цифровизации технологических процессов на базе областных центров компетенций;</w:t>
      </w:r>
    </w:p>
    <w:p>
      <w:pPr>
        <w:pStyle w:val="0"/>
        <w:spacing w:before="200" w:line-rule="auto"/>
        <w:ind w:firstLine="540"/>
        <w:jc w:val="both"/>
      </w:pPr>
      <w:r>
        <w:rPr>
          <w:sz w:val="20"/>
        </w:rPr>
        <w:t xml:space="preserve">поддержка и финансирование создания фаблабов и мейкерспейсов, расширение сети частных бизнес-инкубаторов;</w:t>
      </w:r>
    </w:p>
    <w:p>
      <w:pPr>
        <w:pStyle w:val="0"/>
        <w:spacing w:before="200" w:line-rule="auto"/>
        <w:ind w:firstLine="540"/>
        <w:jc w:val="both"/>
      </w:pPr>
      <w:r>
        <w:rPr>
          <w:sz w:val="20"/>
        </w:rPr>
        <w:t xml:space="preserve">создание ассоциации наставников Курской области и обеспечение их участия в обучении начинающих предпринимателей;</w:t>
      </w:r>
    </w:p>
    <w:p>
      <w:pPr>
        <w:pStyle w:val="0"/>
        <w:spacing w:before="200" w:line-rule="auto"/>
        <w:ind w:firstLine="540"/>
        <w:jc w:val="both"/>
      </w:pPr>
      <w:r>
        <w:rPr>
          <w:sz w:val="20"/>
        </w:rPr>
        <w:t xml:space="preserve">создание "Креативного кластера" на ревитализированном старом объекте промышленности большой площади и характерной архитектуры, на территории которого будут концентрироваться компании творческой, высокотехнологичной и IT - индустрии;</w:t>
      </w:r>
    </w:p>
    <w:p>
      <w:pPr>
        <w:pStyle w:val="0"/>
        <w:spacing w:before="200" w:line-rule="auto"/>
        <w:ind w:firstLine="540"/>
        <w:jc w:val="both"/>
      </w:pPr>
      <w:r>
        <w:rPr>
          <w:sz w:val="20"/>
        </w:rPr>
        <w:t xml:space="preserve">содействие образовательной миграции и поддержка академической мобильности.</w:t>
      </w:r>
    </w:p>
    <w:p>
      <w:pPr>
        <w:pStyle w:val="0"/>
        <w:spacing w:before="200" w:line-rule="auto"/>
        <w:ind w:firstLine="540"/>
        <w:jc w:val="both"/>
      </w:pPr>
      <w:r>
        <w:rPr>
          <w:sz w:val="20"/>
        </w:rPr>
        <w:t xml:space="preserve">Основными формами участия образовательных организаций высшего образования, расположенных на территории Курской области, в мероприятиях, направленных на развитие науки в регионе и ее кооперацию с системой высшего образования, являются следующие:</w:t>
      </w:r>
    </w:p>
    <w:p>
      <w:pPr>
        <w:pStyle w:val="0"/>
        <w:spacing w:before="200" w:line-rule="auto"/>
        <w:ind w:firstLine="540"/>
        <w:jc w:val="both"/>
      </w:pPr>
      <w:r>
        <w:rPr>
          <w:sz w:val="20"/>
        </w:rPr>
        <w:t xml:space="preserve">- разработка учеными Курской области перспективных научных исследований, востребованных экономикой Курской области;</w:t>
      </w:r>
    </w:p>
    <w:p>
      <w:pPr>
        <w:pStyle w:val="0"/>
        <w:spacing w:before="200" w:line-rule="auto"/>
        <w:ind w:firstLine="540"/>
        <w:jc w:val="both"/>
      </w:pPr>
      <w:r>
        <w:rPr>
          <w:sz w:val="20"/>
        </w:rPr>
        <w:t xml:space="preserve">- подбор и выдвижение кандидатов для назначения именных стипендий Губернатора Курской области;</w:t>
      </w:r>
    </w:p>
    <w:p>
      <w:pPr>
        <w:pStyle w:val="0"/>
        <w:spacing w:before="200" w:line-rule="auto"/>
        <w:ind w:firstLine="540"/>
        <w:jc w:val="both"/>
      </w:pPr>
      <w:r>
        <w:rPr>
          <w:sz w:val="20"/>
        </w:rPr>
        <w:t xml:space="preserve">- непосредственное участие образовательных организаций высшего образования и представителей научного сообщества региона и реального сектора экономики в проведении выставок, конференций, семинаров, "круглых столов", мастер-классов.</w:t>
      </w:r>
    </w:p>
    <w:p>
      <w:pPr>
        <w:pStyle w:val="0"/>
        <w:jc w:val="both"/>
      </w:pPr>
      <w:r>
        <w:rPr>
          <w:sz w:val="20"/>
        </w:rPr>
      </w:r>
    </w:p>
    <w:p>
      <w:pPr>
        <w:pStyle w:val="2"/>
        <w:outlineLvl w:val="2"/>
        <w:ind w:firstLine="540"/>
        <w:jc w:val="both"/>
      </w:pPr>
      <w:r>
        <w:rPr>
          <w:sz w:val="20"/>
        </w:rPr>
        <w:t xml:space="preserve">8.3. Кадровое обеспечение экономики региона</w:t>
      </w:r>
    </w:p>
    <w:p>
      <w:pPr>
        <w:pStyle w:val="0"/>
        <w:jc w:val="both"/>
      </w:pPr>
      <w:r>
        <w:rPr>
          <w:sz w:val="20"/>
        </w:rPr>
      </w:r>
    </w:p>
    <w:p>
      <w:pPr>
        <w:pStyle w:val="0"/>
        <w:ind w:firstLine="540"/>
        <w:jc w:val="both"/>
      </w:pPr>
      <w:r>
        <w:rPr>
          <w:sz w:val="20"/>
        </w:rPr>
        <w:t xml:space="preserve">Задача - выстраивание модели управления кадровым потенциалом региона на основе регионального стандарта кадрового обеспечения промышленного роста, развитие системы прогнозирования потребности региональной экономики в кадрах на среднесрочную и долгосрочную перспективу; развитие инфраструктуры подготовки профессиональных кадров; создание механизмов управления содержанием и качеством подготовки кадров.</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реализация плана мероприятий ("дорожной карты") внедрения регионального стандарта кадрового обеспечения промышленного роста в Курской области;</w:t>
      </w:r>
    </w:p>
    <w:p>
      <w:pPr>
        <w:pStyle w:val="0"/>
        <w:spacing w:before="200" w:line-rule="auto"/>
        <w:ind w:firstLine="540"/>
        <w:jc w:val="both"/>
      </w:pPr>
      <w:r>
        <w:rPr>
          <w:sz w:val="20"/>
        </w:rPr>
        <w:t xml:space="preserve">совершенствование системы прогнозирования кадровых потребностей на среднесрочную и долгосрочную перспективы;</w:t>
      </w:r>
    </w:p>
    <w:p>
      <w:pPr>
        <w:pStyle w:val="0"/>
        <w:spacing w:before="200" w:line-rule="auto"/>
        <w:ind w:firstLine="540"/>
        <w:jc w:val="both"/>
      </w:pPr>
      <w:r>
        <w:rPr>
          <w:sz w:val="20"/>
        </w:rPr>
        <w:t xml:space="preserve">формирование кадровой потребности и осуществление кадрового планирования с участием образовательных организаций, исполнительных органов Курской области, работодателей;</w:t>
      </w:r>
    </w:p>
    <w:p>
      <w:pPr>
        <w:pStyle w:val="0"/>
        <w:jc w:val="both"/>
      </w:pPr>
      <w:r>
        <w:rPr>
          <w:sz w:val="20"/>
        </w:rPr>
        <w:t xml:space="preserve">(в ред. </w:t>
      </w:r>
      <w:hyperlink w:history="0" r:id="rId81"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осуществление мониторинга системы кадрового обеспечения экономики Курской области;</w:t>
      </w:r>
    </w:p>
    <w:p>
      <w:pPr>
        <w:pStyle w:val="0"/>
        <w:spacing w:before="200" w:line-rule="auto"/>
        <w:ind w:firstLine="540"/>
        <w:jc w:val="both"/>
      </w:pPr>
      <w:r>
        <w:rPr>
          <w:sz w:val="20"/>
        </w:rPr>
        <w:t xml:space="preserve">ежегодная корректировка регионального перечня перспективных и востребованных профессий и специальностей и перечня новых профессий и специальностей;</w:t>
      </w:r>
    </w:p>
    <w:p>
      <w:pPr>
        <w:pStyle w:val="0"/>
        <w:spacing w:before="200" w:line-rule="auto"/>
        <w:ind w:firstLine="540"/>
        <w:jc w:val="both"/>
      </w:pPr>
      <w:r>
        <w:rPr>
          <w:sz w:val="20"/>
        </w:rPr>
        <w:t xml:space="preserve">создание центра опережающей подготовки, разработка региональной модели деятельности данного центра;</w:t>
      </w:r>
    </w:p>
    <w:p>
      <w:pPr>
        <w:pStyle w:val="0"/>
        <w:spacing w:before="200" w:line-rule="auto"/>
        <w:ind w:firstLine="540"/>
        <w:jc w:val="both"/>
      </w:pPr>
      <w:r>
        <w:rPr>
          <w:sz w:val="20"/>
        </w:rPr>
        <w:t xml:space="preserve">разработка показателей эффективности системы кадрового обеспечения промышленного роста в Курской области; проведение оценки;</w:t>
      </w:r>
    </w:p>
    <w:p>
      <w:pPr>
        <w:pStyle w:val="0"/>
        <w:spacing w:before="200" w:line-rule="auto"/>
        <w:ind w:firstLine="540"/>
        <w:jc w:val="both"/>
      </w:pPr>
      <w:r>
        <w:rPr>
          <w:sz w:val="20"/>
        </w:rPr>
        <w:t xml:space="preserve">развитие региональной системы независимой оценки качества образования, одним из элементов которой является профессионально-общественная аккредитация максимально возможного количества образовательных программ, реализуемых организациями высшего и среднего профессионального образования с привлечением объединений работодателей, крупнейших предприятий региона;</w:t>
      </w:r>
    </w:p>
    <w:p>
      <w:pPr>
        <w:pStyle w:val="0"/>
        <w:spacing w:before="200" w:line-rule="auto"/>
        <w:ind w:firstLine="540"/>
        <w:jc w:val="both"/>
      </w:pPr>
      <w:r>
        <w:rPr>
          <w:sz w:val="20"/>
        </w:rPr>
        <w:t xml:space="preserve">информационная поддержка открытости информации о внедрении кадрового обеспечения промышленного роста Курской области.</w:t>
      </w:r>
    </w:p>
    <w:p>
      <w:pPr>
        <w:pStyle w:val="0"/>
        <w:spacing w:before="200" w:line-rule="auto"/>
        <w:ind w:firstLine="540"/>
        <w:jc w:val="both"/>
      </w:pPr>
      <w:r>
        <w:rPr>
          <w:sz w:val="20"/>
        </w:rPr>
        <w:t xml:space="preserve">Дополнительные материалы по вопросам кадрового обеспечения экономики региона приведены в </w:t>
      </w:r>
      <w:hyperlink w:history="0" w:anchor="P7650" w:tooltip="ДОПОЛНИТЕЛЬНЫЕ МАТЕРИАЛЫ">
        <w:r>
          <w:rPr>
            <w:sz w:val="20"/>
            <w:color w:val="0000ff"/>
          </w:rPr>
          <w:t xml:space="preserve">приложении N 6</w:t>
        </w:r>
      </w:hyperlink>
      <w:r>
        <w:rPr>
          <w:sz w:val="20"/>
        </w:rPr>
        <w:t xml:space="preserve"> к Стратегии социально-экономического развития Курской области на период до 2030 года.</w:t>
      </w:r>
    </w:p>
    <w:p>
      <w:pPr>
        <w:pStyle w:val="0"/>
        <w:jc w:val="both"/>
      </w:pPr>
      <w:r>
        <w:rPr>
          <w:sz w:val="20"/>
        </w:rPr>
      </w:r>
    </w:p>
    <w:p>
      <w:pPr>
        <w:pStyle w:val="2"/>
        <w:outlineLvl w:val="2"/>
        <w:ind w:firstLine="540"/>
        <w:jc w:val="both"/>
      </w:pPr>
      <w:r>
        <w:rPr>
          <w:sz w:val="20"/>
        </w:rPr>
        <w:t xml:space="preserve">8.4. Развитие институтов гражданского общества</w:t>
      </w:r>
    </w:p>
    <w:p>
      <w:pPr>
        <w:pStyle w:val="0"/>
        <w:jc w:val="both"/>
      </w:pPr>
      <w:r>
        <w:rPr>
          <w:sz w:val="20"/>
        </w:rPr>
      </w:r>
    </w:p>
    <w:p>
      <w:pPr>
        <w:pStyle w:val="0"/>
        <w:ind w:firstLine="540"/>
        <w:jc w:val="both"/>
      </w:pPr>
      <w:r>
        <w:rPr>
          <w:sz w:val="20"/>
        </w:rPr>
        <w:t xml:space="preserve">Задача. Повышение эффективности взаимодействия органов власти с институтами гражданского общества, расширение участия общественности в реализации государственной национальной политики Российской Федерации; содействие укреплению общероссийского гражданского единства, создание условий для сохранения и развития этнокультурного многообразия народов России.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организация и проведение мероприятий в дни государственных праздников, дни воинской славы и памятных дат истории Российской Федерации и Курской области;</w:t>
      </w:r>
    </w:p>
    <w:p>
      <w:pPr>
        <w:pStyle w:val="0"/>
        <w:spacing w:before="200" w:line-rule="auto"/>
        <w:ind w:firstLine="540"/>
        <w:jc w:val="both"/>
      </w:pPr>
      <w:r>
        <w:rPr>
          <w:sz w:val="20"/>
        </w:rPr>
        <w:t xml:space="preserve">оказание содействия в организации и проведении национальных, культурных и религиозных мероприятий в целях укрепления гражданского единства и межнациональной дружбы;</w:t>
      </w:r>
    </w:p>
    <w:p>
      <w:pPr>
        <w:pStyle w:val="0"/>
        <w:spacing w:before="200" w:line-rule="auto"/>
        <w:ind w:firstLine="540"/>
        <w:jc w:val="both"/>
      </w:pPr>
      <w:r>
        <w:rPr>
          <w:sz w:val="20"/>
        </w:rPr>
        <w:t xml:space="preserve">проведение заседаний Совета по межнациональным и межконфессиональным отношениям при Губернаторе Курской области, "круглых столов" и конференций по вопросам реализации государственной национальной политики на территории Курской области и вопросам профилактики ксенофобии, этноцентризма, экстремистских проявлений и недопустимости распространения идеологии терроризма;</w:t>
      </w:r>
    </w:p>
    <w:p>
      <w:pPr>
        <w:pStyle w:val="0"/>
        <w:spacing w:before="200" w:line-rule="auto"/>
        <w:ind w:firstLine="540"/>
        <w:jc w:val="both"/>
      </w:pPr>
      <w:r>
        <w:rPr>
          <w:sz w:val="20"/>
        </w:rPr>
        <w:t xml:space="preserve">проведение конкурса проектов общественно полезных программ, представленных общественными объединениями на соискание областной государственной поддержки (</w:t>
      </w:r>
      <w:hyperlink w:history="0" r:id="rId82" w:tooltip="Закон Курской области от 22.11.2007 N 115-ЗКО (ред. от 07.10.2022) &quot;Об областной государственной поддержке общественных объединений в Курской области&quot; (принят Курской областной Думой 15.11.2007) {КонсультантПлюс}">
        <w:r>
          <w:rPr>
            <w:sz w:val="20"/>
            <w:color w:val="0000ff"/>
          </w:rPr>
          <w:t xml:space="preserve">Закон</w:t>
        </w:r>
      </w:hyperlink>
      <w:r>
        <w:rPr>
          <w:sz w:val="20"/>
        </w:rPr>
        <w:t xml:space="preserve"> Курской области от 22 ноября 2007 года N 115-ЗКО "Об областной государственной поддержке общественных объединений в Курской области");</w:t>
      </w:r>
    </w:p>
    <w:p>
      <w:pPr>
        <w:pStyle w:val="0"/>
        <w:spacing w:before="200" w:line-rule="auto"/>
        <w:ind w:firstLine="540"/>
        <w:jc w:val="both"/>
      </w:pPr>
      <w:r>
        <w:rPr>
          <w:sz w:val="20"/>
        </w:rPr>
        <w:t xml:space="preserve">проведение регионального этапа конкурса "Лучшая муниципальная практика" в номинации "Укрепление межнационального мира и согласия, реализация иных мероприятий в сфере национальной политики на муниципальном уровне";</w:t>
      </w:r>
    </w:p>
    <w:p>
      <w:pPr>
        <w:pStyle w:val="0"/>
        <w:spacing w:before="200" w:line-rule="auto"/>
        <w:ind w:firstLine="540"/>
        <w:jc w:val="both"/>
      </w:pPr>
      <w:r>
        <w:rPr>
          <w:sz w:val="20"/>
        </w:rPr>
        <w:t xml:space="preserve">проведение конференций и обучающих семинаров по вопросам состояния межэтнических и межконфессиональных отношений в Курской области, изучения лучших практик, внесения изменений в нормативные правовые акты Курской области для государственных гражданских служащих и муниципальных служащих, в компетенции которых находятся данные вопросы;</w:t>
      </w:r>
    </w:p>
    <w:p>
      <w:pPr>
        <w:pStyle w:val="0"/>
        <w:spacing w:before="200" w:line-rule="auto"/>
        <w:ind w:firstLine="540"/>
        <w:jc w:val="both"/>
      </w:pPr>
      <w:r>
        <w:rPr>
          <w:sz w:val="20"/>
        </w:rPr>
        <w:t xml:space="preserve">проведение пресс-конференций с участием представителей общественных организаций по вопросам деятельности и проведения мероприятий и акций на территории Курской области;</w:t>
      </w:r>
    </w:p>
    <w:p>
      <w:pPr>
        <w:pStyle w:val="0"/>
        <w:spacing w:before="200" w:line-rule="auto"/>
        <w:ind w:firstLine="540"/>
        <w:jc w:val="both"/>
      </w:pPr>
      <w:r>
        <w:rPr>
          <w:sz w:val="20"/>
        </w:rPr>
        <w:t xml:space="preserve">социологические исследования по вопросам межнациональных и межконфессиональных отношений в Курской области (экспертный опрос);</w:t>
      </w:r>
    </w:p>
    <w:p>
      <w:pPr>
        <w:pStyle w:val="0"/>
        <w:spacing w:before="200" w:line-rule="auto"/>
        <w:ind w:firstLine="540"/>
        <w:jc w:val="both"/>
      </w:pPr>
      <w:r>
        <w:rPr>
          <w:sz w:val="20"/>
        </w:rPr>
        <w:t xml:space="preserve">выпуск доклада "О состоянии гражданского общества в Курской области";</w:t>
      </w:r>
    </w:p>
    <w:p>
      <w:pPr>
        <w:pStyle w:val="0"/>
        <w:spacing w:before="200" w:line-rule="auto"/>
        <w:ind w:firstLine="540"/>
        <w:jc w:val="both"/>
      </w:pPr>
      <w:r>
        <w:rPr>
          <w:sz w:val="20"/>
        </w:rPr>
        <w:t xml:space="preserve">развитие механизмов взаимодействия Правительства Курской области, населения, предпринимательского сообщества и структур гражданского общества, в том числе:</w:t>
      </w:r>
    </w:p>
    <w:p>
      <w:pPr>
        <w:pStyle w:val="0"/>
        <w:jc w:val="both"/>
      </w:pPr>
      <w:r>
        <w:rPr>
          <w:sz w:val="20"/>
        </w:rPr>
        <w:t xml:space="preserve">(в ред. </w:t>
      </w:r>
      <w:hyperlink w:history="0" r:id="rId83"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 поддержка самоорганизации граждан, объединяющихся с целью совместной защиты своих конституционных прав, взаимопомощи и добровольного участия в решении социальных проблем, развитии гражданского общества;</w:t>
      </w:r>
    </w:p>
    <w:p>
      <w:pPr>
        <w:pStyle w:val="0"/>
        <w:spacing w:before="200" w:line-rule="auto"/>
        <w:ind w:firstLine="540"/>
        <w:jc w:val="both"/>
      </w:pPr>
      <w:r>
        <w:rPr>
          <w:sz w:val="20"/>
        </w:rPr>
        <w:t xml:space="preserve">- сотрудничество Правительства Курской области с общественными структурами, которое содействует утверждению законности, искоренению коррупции и произвола недобросовестных чиновников;</w:t>
      </w:r>
    </w:p>
    <w:p>
      <w:pPr>
        <w:pStyle w:val="0"/>
        <w:jc w:val="both"/>
      </w:pPr>
      <w:r>
        <w:rPr>
          <w:sz w:val="20"/>
        </w:rPr>
        <w:t xml:space="preserve">(в ред. </w:t>
      </w:r>
      <w:hyperlink w:history="0" r:id="rId84"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 повышение открытости исполнительных органов Курской области, усиление влияния общественных организаций на подготовку и принятие управленческих решений;</w:t>
      </w:r>
    </w:p>
    <w:p>
      <w:pPr>
        <w:pStyle w:val="0"/>
        <w:jc w:val="both"/>
      </w:pPr>
      <w:r>
        <w:rPr>
          <w:sz w:val="20"/>
        </w:rPr>
        <w:t xml:space="preserve">(в ред. </w:t>
      </w:r>
      <w:hyperlink w:history="0" r:id="rId85"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 обеспечение равноправного диалога общественных организаций, бизнеса и власти Курской области по ключевым вопросам социально-экономического развития региона, результаты которого станут основой решений, принимаемых Правительством Курской области и органами местного самоуправления;</w:t>
      </w:r>
    </w:p>
    <w:p>
      <w:pPr>
        <w:pStyle w:val="0"/>
        <w:jc w:val="both"/>
      </w:pPr>
      <w:r>
        <w:rPr>
          <w:sz w:val="20"/>
        </w:rPr>
        <w:t xml:space="preserve">(в ред. </w:t>
      </w:r>
      <w:hyperlink w:history="0" r:id="rId86"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 обеспечение широкого общественного консенсуса по основным вопросам развития Курской области;</w:t>
      </w:r>
    </w:p>
    <w:p>
      <w:pPr>
        <w:pStyle w:val="0"/>
        <w:spacing w:before="200" w:line-rule="auto"/>
        <w:ind w:firstLine="540"/>
        <w:jc w:val="both"/>
      </w:pPr>
      <w:r>
        <w:rPr>
          <w:sz w:val="20"/>
        </w:rPr>
        <w:t xml:space="preserve">расширение сферы деятельности членов казачьих обществ, привлекаемых к несению государственной и иной службы;</w:t>
      </w:r>
    </w:p>
    <w:p>
      <w:pPr>
        <w:pStyle w:val="0"/>
        <w:spacing w:before="200" w:line-rule="auto"/>
        <w:ind w:firstLine="540"/>
        <w:jc w:val="both"/>
      </w:pPr>
      <w:r>
        <w:rPr>
          <w:sz w:val="20"/>
        </w:rPr>
        <w:t xml:space="preserve">содействие организации государственной и иной службы, поддержка российского казачества в Курской области;</w:t>
      </w:r>
    </w:p>
    <w:p>
      <w:pPr>
        <w:pStyle w:val="0"/>
        <w:spacing w:before="200" w:line-rule="auto"/>
        <w:ind w:firstLine="540"/>
        <w:jc w:val="both"/>
      </w:pPr>
      <w:r>
        <w:rPr>
          <w:sz w:val="20"/>
        </w:rPr>
        <w:t xml:space="preserve">привлечение членов казачьих обществ Курской области к оказанию содействия органам местного самоуправления в реализации установленных задач и функций;</w:t>
      </w:r>
    </w:p>
    <w:p>
      <w:pPr>
        <w:pStyle w:val="0"/>
        <w:spacing w:before="200" w:line-rule="auto"/>
        <w:ind w:firstLine="540"/>
        <w:jc w:val="both"/>
      </w:pPr>
      <w:r>
        <w:rPr>
          <w:sz w:val="20"/>
        </w:rPr>
        <w:t xml:space="preserve">привлечение членов казачьих обществ Курской области к оказанию содействия органам исполнительной власти Курской области;</w:t>
      </w:r>
    </w:p>
    <w:p>
      <w:pPr>
        <w:pStyle w:val="0"/>
        <w:spacing w:before="200" w:line-rule="auto"/>
        <w:ind w:firstLine="540"/>
        <w:jc w:val="both"/>
      </w:pPr>
      <w:r>
        <w:rPr>
          <w:sz w:val="20"/>
        </w:rPr>
        <w:t xml:space="preserve">поддержка казачьих молодежных организаций как механизма патриотического воспитания и реализации социального потенциала казачьей молодежи Курской области;</w:t>
      </w:r>
    </w:p>
    <w:p>
      <w:pPr>
        <w:pStyle w:val="0"/>
        <w:spacing w:before="200" w:line-rule="auto"/>
        <w:ind w:firstLine="540"/>
        <w:jc w:val="both"/>
      </w:pPr>
      <w:r>
        <w:rPr>
          <w:sz w:val="20"/>
        </w:rPr>
        <w:t xml:space="preserve">увеличение численности молодежи, вовлеченной в деятельность казачьих обществ Курской области;</w:t>
      </w:r>
    </w:p>
    <w:p>
      <w:pPr>
        <w:pStyle w:val="0"/>
        <w:spacing w:before="200" w:line-rule="auto"/>
        <w:ind w:firstLine="540"/>
        <w:jc w:val="both"/>
      </w:pPr>
      <w:r>
        <w:rPr>
          <w:sz w:val="20"/>
        </w:rPr>
        <w:t xml:space="preserve">выработка подходов и методов организации активного участия казачьей молодежи Курской области в проектировании развития казачьих обществ;</w:t>
      </w:r>
    </w:p>
    <w:p>
      <w:pPr>
        <w:pStyle w:val="0"/>
        <w:spacing w:before="200" w:line-rule="auto"/>
        <w:ind w:firstLine="540"/>
        <w:jc w:val="both"/>
      </w:pPr>
      <w:r>
        <w:rPr>
          <w:sz w:val="20"/>
        </w:rPr>
        <w:t xml:space="preserve">расширение сети образовательных организаций казачьей направленности в Курской области;</w:t>
      </w:r>
    </w:p>
    <w:p>
      <w:pPr>
        <w:pStyle w:val="0"/>
        <w:spacing w:before="200" w:line-rule="auto"/>
        <w:ind w:firstLine="540"/>
        <w:jc w:val="both"/>
      </w:pPr>
      <w:r>
        <w:rPr>
          <w:sz w:val="20"/>
        </w:rPr>
        <w:t xml:space="preserve">расширение сети центров казачьей культуры на территории Курской области;</w:t>
      </w:r>
    </w:p>
    <w:p>
      <w:pPr>
        <w:pStyle w:val="0"/>
        <w:spacing w:before="200" w:line-rule="auto"/>
        <w:ind w:firstLine="540"/>
        <w:jc w:val="both"/>
      </w:pPr>
      <w:r>
        <w:rPr>
          <w:sz w:val="20"/>
        </w:rPr>
        <w:t xml:space="preserve">содействие разработке и реализации общественно полезных программ казачьих обществ и казачьих инновационных проектов;</w:t>
      </w:r>
    </w:p>
    <w:p>
      <w:pPr>
        <w:pStyle w:val="0"/>
        <w:spacing w:before="200" w:line-rule="auto"/>
        <w:ind w:firstLine="540"/>
        <w:jc w:val="both"/>
      </w:pPr>
      <w:r>
        <w:rPr>
          <w:sz w:val="20"/>
        </w:rPr>
        <w:t xml:space="preserve">анализ действующих механизмов грантовой и иной финансовой поддержки и содействия их освоению казачьими обществами Курской области в уставных сферах деятельности;</w:t>
      </w:r>
    </w:p>
    <w:p>
      <w:pPr>
        <w:pStyle w:val="0"/>
        <w:spacing w:before="200" w:line-rule="auto"/>
        <w:ind w:firstLine="540"/>
        <w:jc w:val="both"/>
      </w:pPr>
      <w:r>
        <w:rPr>
          <w:sz w:val="20"/>
        </w:rPr>
        <w:t xml:space="preserve">содействие становлению процессов экономической самоорганизации в среде казачьих обществ;</w:t>
      </w:r>
    </w:p>
    <w:p>
      <w:pPr>
        <w:pStyle w:val="0"/>
        <w:spacing w:before="200" w:line-rule="auto"/>
        <w:ind w:firstLine="540"/>
        <w:jc w:val="both"/>
      </w:pPr>
      <w:r>
        <w:rPr>
          <w:sz w:val="20"/>
        </w:rPr>
        <w:t xml:space="preserve">формирование системы теоретической и практической подготовки дружинников из числа казачьих обществ Курской области, способствующей повышению их квалификации и освоению навыков, необходимых для оказания содействия в осуществлении установленных задач и функций федеральным органам исполнительной власти и (или) их территориальным органам, органам исполнительной власти Курской области и органам местного самоуправления;</w:t>
      </w:r>
    </w:p>
    <w:p>
      <w:pPr>
        <w:pStyle w:val="0"/>
        <w:spacing w:before="200" w:line-rule="auto"/>
        <w:ind w:firstLine="540"/>
        <w:jc w:val="both"/>
      </w:pPr>
      <w:r>
        <w:rPr>
          <w:sz w:val="20"/>
        </w:rPr>
        <w:t xml:space="preserve">поддержка традиционных казачьих форм хозяйствования на территории Курской области.</w:t>
      </w:r>
    </w:p>
    <w:p>
      <w:pPr>
        <w:pStyle w:val="0"/>
        <w:jc w:val="both"/>
      </w:pPr>
      <w:r>
        <w:rPr>
          <w:sz w:val="20"/>
        </w:rPr>
      </w:r>
    </w:p>
    <w:p>
      <w:pPr>
        <w:pStyle w:val="2"/>
        <w:outlineLvl w:val="1"/>
        <w:jc w:val="center"/>
      </w:pPr>
      <w:r>
        <w:rPr>
          <w:sz w:val="20"/>
        </w:rPr>
        <w:t xml:space="preserve">9. Приоритетное направление</w:t>
      </w:r>
    </w:p>
    <w:p>
      <w:pPr>
        <w:pStyle w:val="2"/>
        <w:jc w:val="center"/>
      </w:pPr>
      <w:r>
        <w:rPr>
          <w:sz w:val="20"/>
        </w:rPr>
        <w:t xml:space="preserve">"Инфраструктура и пространственное развитие"</w:t>
      </w:r>
    </w:p>
    <w:p>
      <w:pPr>
        <w:pStyle w:val="0"/>
        <w:jc w:val="both"/>
      </w:pPr>
      <w:r>
        <w:rPr>
          <w:sz w:val="20"/>
        </w:rPr>
      </w:r>
    </w:p>
    <w:p>
      <w:pPr>
        <w:pStyle w:val="0"/>
        <w:ind w:firstLine="540"/>
        <w:jc w:val="both"/>
      </w:pPr>
      <w:r>
        <w:rPr>
          <w:sz w:val="20"/>
        </w:rPr>
        <w:t xml:space="preserve">Стратегическая цель - эффективное пространственное развитие Курской области, включая развитие Курской агломерации, формирование современного транспортного каркаса, поддержку геостратегических территорий, малых и средних населенных пунктов.</w:t>
      </w:r>
    </w:p>
    <w:p>
      <w:pPr>
        <w:pStyle w:val="0"/>
        <w:spacing w:before="200" w:line-rule="auto"/>
        <w:ind w:firstLine="540"/>
        <w:jc w:val="both"/>
      </w:pPr>
      <w:r>
        <w:rPr>
          <w:sz w:val="20"/>
        </w:rPr>
        <w:t xml:space="preserve">Основные проблемы и ограничения:</w:t>
      </w:r>
    </w:p>
    <w:p>
      <w:pPr>
        <w:pStyle w:val="0"/>
        <w:spacing w:before="200" w:line-rule="auto"/>
        <w:ind w:firstLine="540"/>
        <w:jc w:val="both"/>
      </w:pPr>
      <w:r>
        <w:rPr>
          <w:sz w:val="20"/>
        </w:rPr>
        <w:t xml:space="preserve">высокая степень концентрации внутриобластного расселения и размещения производительных сил в пределах трех городских зон (Курской, Железногорской и Курчатовской);</w:t>
      </w:r>
    </w:p>
    <w:p>
      <w:pPr>
        <w:pStyle w:val="0"/>
        <w:spacing w:before="200" w:line-rule="auto"/>
        <w:ind w:firstLine="540"/>
        <w:jc w:val="both"/>
      </w:pPr>
      <w:r>
        <w:rPr>
          <w:sz w:val="20"/>
        </w:rPr>
        <w:t xml:space="preserve">зависимость отдельных муниципальных образований от деятельности одного градообразующего предприятия;</w:t>
      </w:r>
    </w:p>
    <w:p>
      <w:pPr>
        <w:pStyle w:val="0"/>
        <w:spacing w:before="200" w:line-rule="auto"/>
        <w:ind w:firstLine="540"/>
        <w:jc w:val="both"/>
      </w:pPr>
      <w:r>
        <w:rPr>
          <w:sz w:val="20"/>
        </w:rPr>
        <w:t xml:space="preserve">отсутствие сбалансированности в отношении бюджетной нагрузки в рамках реализации инфраструктурных решений в районах;</w:t>
      </w:r>
    </w:p>
    <w:p>
      <w:pPr>
        <w:pStyle w:val="0"/>
        <w:spacing w:before="200" w:line-rule="auto"/>
        <w:ind w:firstLine="540"/>
        <w:jc w:val="both"/>
      </w:pPr>
      <w:r>
        <w:rPr>
          <w:sz w:val="20"/>
        </w:rPr>
        <w:t xml:space="preserve">недостаточная связанность территорий;</w:t>
      </w:r>
    </w:p>
    <w:p>
      <w:pPr>
        <w:pStyle w:val="0"/>
        <w:spacing w:before="200" w:line-rule="auto"/>
        <w:ind w:firstLine="540"/>
        <w:jc w:val="both"/>
      </w:pPr>
      <w:r>
        <w:rPr>
          <w:sz w:val="20"/>
        </w:rPr>
        <w:t xml:space="preserve">высокая степень дифференциации между муниципальными образованиями в рамках привлечения инвестиций;</w:t>
      </w:r>
    </w:p>
    <w:p>
      <w:pPr>
        <w:pStyle w:val="0"/>
        <w:spacing w:before="200" w:line-rule="auto"/>
        <w:ind w:firstLine="540"/>
        <w:jc w:val="both"/>
      </w:pPr>
      <w:r>
        <w:rPr>
          <w:sz w:val="20"/>
        </w:rPr>
        <w:t xml:space="preserve">недостаточно высокий уровень обеспеченности современной инфраструктурой;</w:t>
      </w:r>
    </w:p>
    <w:p>
      <w:pPr>
        <w:pStyle w:val="0"/>
        <w:spacing w:before="200" w:line-rule="auto"/>
        <w:ind w:firstLine="540"/>
        <w:jc w:val="both"/>
      </w:pPr>
      <w:r>
        <w:rPr>
          <w:sz w:val="20"/>
        </w:rPr>
        <w:t xml:space="preserve">недостаточная степень обеспеченности безопасности жизнедеятельности;</w:t>
      </w:r>
    </w:p>
    <w:p>
      <w:pPr>
        <w:pStyle w:val="0"/>
        <w:spacing w:before="200" w:line-rule="auto"/>
        <w:ind w:firstLine="540"/>
        <w:jc w:val="both"/>
      </w:pPr>
      <w:r>
        <w:rPr>
          <w:sz w:val="20"/>
        </w:rPr>
        <w:t xml:space="preserve">высокий уровень внутриобластных различий в отношении доступности и качества предоставляемых услуг.</w:t>
      </w:r>
    </w:p>
    <w:p>
      <w:pPr>
        <w:pStyle w:val="0"/>
        <w:spacing w:before="200" w:line-rule="auto"/>
        <w:ind w:firstLine="540"/>
        <w:jc w:val="both"/>
      </w:pPr>
      <w:r>
        <w:rPr>
          <w:sz w:val="20"/>
        </w:rPr>
        <w:t xml:space="preserve">Общемировые тренды и лучшие практики:</w:t>
      </w:r>
    </w:p>
    <w:p>
      <w:pPr>
        <w:pStyle w:val="0"/>
        <w:spacing w:before="200" w:line-rule="auto"/>
        <w:ind w:firstLine="540"/>
        <w:jc w:val="both"/>
      </w:pPr>
      <w:r>
        <w:rPr>
          <w:sz w:val="20"/>
        </w:rPr>
        <w:t xml:space="preserve">разработка проектов "умной специализации" для муниципальных образований;</w:t>
      </w:r>
    </w:p>
    <w:p>
      <w:pPr>
        <w:pStyle w:val="0"/>
        <w:spacing w:before="200" w:line-rule="auto"/>
        <w:ind w:firstLine="540"/>
        <w:jc w:val="both"/>
      </w:pPr>
      <w:r>
        <w:rPr>
          <w:sz w:val="20"/>
        </w:rPr>
        <w:t xml:space="preserve">разработка стратегий социально-экономического развития муниципальных образований;</w:t>
      </w:r>
    </w:p>
    <w:p>
      <w:pPr>
        <w:pStyle w:val="0"/>
        <w:spacing w:before="200" w:line-rule="auto"/>
        <w:ind w:firstLine="540"/>
        <w:jc w:val="both"/>
      </w:pPr>
      <w:r>
        <w:rPr>
          <w:sz w:val="20"/>
        </w:rPr>
        <w:t xml:space="preserve">формирование стратегических советов или проектных команд при главах муниципальных образований для реализации функции стратегического развития;</w:t>
      </w:r>
    </w:p>
    <w:p>
      <w:pPr>
        <w:pStyle w:val="0"/>
        <w:spacing w:before="200" w:line-rule="auto"/>
        <w:ind w:firstLine="540"/>
        <w:jc w:val="both"/>
      </w:pPr>
      <w:r>
        <w:rPr>
          <w:sz w:val="20"/>
        </w:rPr>
        <w:t xml:space="preserve">запуск проектов общественного участия, развития местных инициатив;</w:t>
      </w:r>
    </w:p>
    <w:p>
      <w:pPr>
        <w:pStyle w:val="0"/>
        <w:spacing w:before="200" w:line-rule="auto"/>
        <w:ind w:firstLine="540"/>
        <w:jc w:val="both"/>
      </w:pPr>
      <w:r>
        <w:rPr>
          <w:sz w:val="20"/>
        </w:rPr>
        <w:t xml:space="preserve">диверсификация экономического развития с упором на развитие малого и среднего предпринимательства, сферы услуг;</w:t>
      </w:r>
    </w:p>
    <w:p>
      <w:pPr>
        <w:pStyle w:val="0"/>
        <w:spacing w:before="200" w:line-rule="auto"/>
        <w:ind w:firstLine="540"/>
        <w:jc w:val="both"/>
      </w:pPr>
      <w:r>
        <w:rPr>
          <w:sz w:val="20"/>
        </w:rPr>
        <w:t xml:space="preserve">интенсификация процессов субурбанизации;</w:t>
      </w:r>
    </w:p>
    <w:p>
      <w:pPr>
        <w:pStyle w:val="0"/>
        <w:spacing w:before="200" w:line-rule="auto"/>
        <w:ind w:firstLine="540"/>
        <w:jc w:val="both"/>
      </w:pPr>
      <w:r>
        <w:rPr>
          <w:sz w:val="20"/>
        </w:rPr>
        <w:t xml:space="preserve">реализация подхода транзитно-ориентированного проектирования при создании магистральной межагломерационной инфраструктуры;</w:t>
      </w:r>
    </w:p>
    <w:p>
      <w:pPr>
        <w:pStyle w:val="0"/>
        <w:spacing w:before="200" w:line-rule="auto"/>
        <w:ind w:firstLine="540"/>
        <w:jc w:val="both"/>
      </w:pPr>
      <w:r>
        <w:rPr>
          <w:sz w:val="20"/>
        </w:rPr>
        <w:t xml:space="preserve">рост пригородов;</w:t>
      </w:r>
    </w:p>
    <w:p>
      <w:pPr>
        <w:pStyle w:val="0"/>
        <w:spacing w:before="200" w:line-rule="auto"/>
        <w:ind w:firstLine="540"/>
        <w:jc w:val="both"/>
      </w:pPr>
      <w:r>
        <w:rPr>
          <w:sz w:val="20"/>
        </w:rPr>
        <w:t xml:space="preserve">развитие системы платных магистральных дорог.</w:t>
      </w:r>
    </w:p>
    <w:p>
      <w:pPr>
        <w:pStyle w:val="0"/>
        <w:spacing w:before="200" w:line-rule="auto"/>
        <w:ind w:firstLine="540"/>
        <w:jc w:val="both"/>
      </w:pPr>
      <w:r>
        <w:rPr>
          <w:sz w:val="20"/>
        </w:rPr>
        <w:t xml:space="preserve">Результаты "Мастерских проектов" "Народной стратегии" Курской области:</w:t>
      </w:r>
    </w:p>
    <w:p>
      <w:pPr>
        <w:pStyle w:val="0"/>
        <w:spacing w:before="200" w:line-rule="auto"/>
        <w:ind w:firstLine="540"/>
        <w:jc w:val="both"/>
      </w:pPr>
      <w:r>
        <w:rPr>
          <w:sz w:val="20"/>
        </w:rPr>
        <w:t xml:space="preserve">В рамках "Мастерской проектов" "Безопасные и качественные автомобильные дороги" были разработаны следующие проекты:</w:t>
      </w:r>
    </w:p>
    <w:p>
      <w:pPr>
        <w:pStyle w:val="0"/>
        <w:spacing w:before="200" w:line-rule="auto"/>
        <w:ind w:firstLine="540"/>
        <w:jc w:val="both"/>
      </w:pPr>
      <w:r>
        <w:rPr>
          <w:sz w:val="20"/>
        </w:rPr>
        <w:t xml:space="preserve">"Оптимизация и модернизация сети общественного транспорта, дорог и парковок";</w:t>
      </w:r>
    </w:p>
    <w:p>
      <w:pPr>
        <w:pStyle w:val="0"/>
        <w:spacing w:before="200" w:line-rule="auto"/>
        <w:ind w:firstLine="540"/>
        <w:jc w:val="both"/>
      </w:pPr>
      <w:r>
        <w:rPr>
          <w:sz w:val="20"/>
        </w:rPr>
        <w:t xml:space="preserve">"Центр управления процессами в дорожной отрасли региона";</w:t>
      </w:r>
    </w:p>
    <w:p>
      <w:pPr>
        <w:pStyle w:val="0"/>
        <w:spacing w:before="200" w:line-rule="auto"/>
        <w:ind w:firstLine="540"/>
        <w:jc w:val="both"/>
      </w:pPr>
      <w:r>
        <w:rPr>
          <w:sz w:val="20"/>
        </w:rPr>
        <w:t xml:space="preserve">"Ответственность за содержание дорог в нормативном состоянии";</w:t>
      </w:r>
    </w:p>
    <w:p>
      <w:pPr>
        <w:pStyle w:val="0"/>
        <w:spacing w:before="200" w:line-rule="auto"/>
        <w:ind w:firstLine="540"/>
        <w:jc w:val="both"/>
      </w:pPr>
      <w:r>
        <w:rPr>
          <w:sz w:val="20"/>
        </w:rPr>
        <w:t xml:space="preserve">"Единый заказ в дорогах Курской области";</w:t>
      </w:r>
    </w:p>
    <w:p>
      <w:pPr>
        <w:pStyle w:val="0"/>
        <w:spacing w:before="200" w:line-rule="auto"/>
        <w:ind w:firstLine="540"/>
        <w:jc w:val="both"/>
      </w:pPr>
      <w:r>
        <w:rPr>
          <w:sz w:val="20"/>
        </w:rPr>
        <w:t xml:space="preserve">"Средства пассивной безопасности";</w:t>
      </w:r>
    </w:p>
    <w:p>
      <w:pPr>
        <w:pStyle w:val="0"/>
        <w:spacing w:before="200" w:line-rule="auto"/>
        <w:ind w:firstLine="540"/>
        <w:jc w:val="both"/>
      </w:pPr>
      <w:r>
        <w:rPr>
          <w:sz w:val="20"/>
        </w:rPr>
        <w:t xml:space="preserve">"Системное повышение безопасности и эффективности использования дорог Курской области";</w:t>
      </w:r>
    </w:p>
    <w:p>
      <w:pPr>
        <w:pStyle w:val="0"/>
        <w:spacing w:before="200" w:line-rule="auto"/>
        <w:ind w:firstLine="540"/>
        <w:jc w:val="both"/>
      </w:pPr>
      <w:r>
        <w:rPr>
          <w:sz w:val="20"/>
        </w:rPr>
        <w:t xml:space="preserve">"Дороги за налоги";</w:t>
      </w:r>
    </w:p>
    <w:p>
      <w:pPr>
        <w:pStyle w:val="0"/>
        <w:spacing w:before="200" w:line-rule="auto"/>
        <w:ind w:firstLine="540"/>
        <w:jc w:val="both"/>
      </w:pPr>
      <w:r>
        <w:rPr>
          <w:sz w:val="20"/>
        </w:rPr>
        <w:t xml:space="preserve">"Современные технологии строительства, ремонта и содержания дорог";</w:t>
      </w:r>
    </w:p>
    <w:p>
      <w:pPr>
        <w:pStyle w:val="0"/>
        <w:spacing w:before="200" w:line-rule="auto"/>
        <w:ind w:firstLine="540"/>
        <w:jc w:val="both"/>
      </w:pPr>
      <w:r>
        <w:rPr>
          <w:sz w:val="20"/>
        </w:rPr>
        <w:t xml:space="preserve">"Информационная система "Общественный мониторинг дорог";</w:t>
      </w:r>
    </w:p>
    <w:p>
      <w:pPr>
        <w:pStyle w:val="0"/>
        <w:spacing w:before="200" w:line-rule="auto"/>
        <w:ind w:firstLine="540"/>
        <w:jc w:val="both"/>
      </w:pPr>
      <w:r>
        <w:rPr>
          <w:sz w:val="20"/>
        </w:rPr>
        <w:t xml:space="preserve">"Создание центра организации дорожного движения".</w:t>
      </w:r>
    </w:p>
    <w:p>
      <w:pPr>
        <w:pStyle w:val="0"/>
        <w:spacing w:before="200" w:line-rule="auto"/>
        <w:ind w:firstLine="540"/>
        <w:jc w:val="both"/>
      </w:pPr>
      <w:r>
        <w:rPr>
          <w:sz w:val="20"/>
        </w:rPr>
        <w:t xml:space="preserve">Ключевые результаты:</w:t>
      </w:r>
    </w:p>
    <w:p>
      <w:pPr>
        <w:pStyle w:val="0"/>
        <w:spacing w:before="200" w:line-rule="auto"/>
        <w:ind w:firstLine="540"/>
        <w:jc w:val="both"/>
      </w:pPr>
      <w:r>
        <w:rPr>
          <w:sz w:val="20"/>
        </w:rPr>
        <w:t xml:space="preserve">укрепление транспортного каркаса региона за счет реконструкции автодорог, а также строительства автомобильных дорог в обход населенных пунктов;</w:t>
      </w:r>
    </w:p>
    <w:p>
      <w:pPr>
        <w:pStyle w:val="0"/>
        <w:spacing w:before="200" w:line-rule="auto"/>
        <w:ind w:firstLine="540"/>
        <w:jc w:val="both"/>
      </w:pPr>
      <w:r>
        <w:rPr>
          <w:sz w:val="20"/>
        </w:rPr>
        <w:t xml:space="preserve">повышение связанности территорий, входящих в состав Курской агломерации;</w:t>
      </w:r>
    </w:p>
    <w:p>
      <w:pPr>
        <w:pStyle w:val="0"/>
        <w:spacing w:before="200" w:line-rule="auto"/>
        <w:ind w:firstLine="540"/>
        <w:jc w:val="both"/>
      </w:pPr>
      <w:r>
        <w:rPr>
          <w:sz w:val="20"/>
        </w:rPr>
        <w:t xml:space="preserve">рост мобильности трудовых ресурсов;</w:t>
      </w:r>
    </w:p>
    <w:p>
      <w:pPr>
        <w:pStyle w:val="0"/>
        <w:spacing w:before="200" w:line-rule="auto"/>
        <w:ind w:firstLine="540"/>
        <w:jc w:val="both"/>
      </w:pPr>
      <w:r>
        <w:rPr>
          <w:sz w:val="20"/>
        </w:rPr>
        <w:t xml:space="preserve">сохранение доли сельского населения в общей численности населения Курской области на уровне не менее 32,1% в 2030 году;</w:t>
      </w:r>
    </w:p>
    <w:p>
      <w:pPr>
        <w:pStyle w:val="0"/>
        <w:spacing w:before="200" w:line-rule="auto"/>
        <w:ind w:firstLine="540"/>
        <w:jc w:val="both"/>
      </w:pPr>
      <w:r>
        <w:rPr>
          <w:sz w:val="20"/>
        </w:rPr>
        <w:t xml:space="preserve">повышение доли общей площади благоустроенных жилых помещений в сельских населенных пунктах до 41,3% в 2030 году;</w:t>
      </w:r>
    </w:p>
    <w:p>
      <w:pPr>
        <w:pStyle w:val="0"/>
        <w:spacing w:before="200" w:line-rule="auto"/>
        <w:ind w:firstLine="540"/>
        <w:jc w:val="both"/>
      </w:pPr>
      <w:r>
        <w:rPr>
          <w:sz w:val="20"/>
        </w:rPr>
        <w:t xml:space="preserve">сокращение числа поселений, не обеспеченных надлежащими системами водоснабжения, водоотведения и утилизации коммунальных бытовых отходов;</w:t>
      </w:r>
    </w:p>
    <w:p>
      <w:pPr>
        <w:pStyle w:val="0"/>
        <w:spacing w:before="200" w:line-rule="auto"/>
        <w:ind w:firstLine="540"/>
        <w:jc w:val="both"/>
      </w:pPr>
      <w:r>
        <w:rPr>
          <w:sz w:val="20"/>
        </w:rPr>
        <w:t xml:space="preserve">обеспечение круглогодичного транспортного сообщения для всех населенных пунктов Курской области;</w:t>
      </w:r>
    </w:p>
    <w:p>
      <w:pPr>
        <w:pStyle w:val="0"/>
        <w:spacing w:before="200" w:line-rule="auto"/>
        <w:ind w:firstLine="540"/>
        <w:jc w:val="both"/>
      </w:pPr>
      <w:r>
        <w:rPr>
          <w:sz w:val="20"/>
        </w:rPr>
        <w:t xml:space="preserve">повышение уровня благосостояния и снижение уровня бедности сельского населения;</w:t>
      </w:r>
    </w:p>
    <w:p>
      <w:pPr>
        <w:pStyle w:val="0"/>
        <w:spacing w:before="200" w:line-rule="auto"/>
        <w:ind w:firstLine="540"/>
        <w:jc w:val="both"/>
      </w:pPr>
      <w:r>
        <w:rPr>
          <w:sz w:val="20"/>
        </w:rPr>
        <w:t xml:space="preserve">повышение эффективности муниципального управления, оптимизации местных бюджетов, укрепление кадрового потенциала; развитие хозяйственной и социальной инфраструктуры муниципальных образований;</w:t>
      </w:r>
    </w:p>
    <w:p>
      <w:pPr>
        <w:pStyle w:val="0"/>
        <w:spacing w:before="200" w:line-rule="auto"/>
        <w:ind w:firstLine="540"/>
        <w:jc w:val="both"/>
      </w:pPr>
      <w:r>
        <w:rPr>
          <w:sz w:val="20"/>
        </w:rPr>
        <w:t xml:space="preserve">активизация межрегионального сотрудничества;</w:t>
      </w:r>
    </w:p>
    <w:p>
      <w:pPr>
        <w:pStyle w:val="0"/>
        <w:spacing w:before="200" w:line-rule="auto"/>
        <w:ind w:firstLine="540"/>
        <w:jc w:val="both"/>
      </w:pPr>
      <w:r>
        <w:rPr>
          <w:sz w:val="20"/>
        </w:rPr>
        <w:t xml:space="preserve">создание 5 инновационных объектов культуры;</w:t>
      </w:r>
    </w:p>
    <w:p>
      <w:pPr>
        <w:pStyle w:val="0"/>
        <w:spacing w:before="200" w:line-rule="auto"/>
        <w:ind w:firstLine="540"/>
        <w:jc w:val="both"/>
      </w:pPr>
      <w:r>
        <w:rPr>
          <w:sz w:val="20"/>
        </w:rPr>
        <w:t xml:space="preserve">реконструкция и модернизация 100 учреждений культурно-досугового типа в сельской местности, 90 сельских и районных библиотек в статусе модельных, 30 детских школ искусств;</w:t>
      </w:r>
    </w:p>
    <w:p>
      <w:pPr>
        <w:pStyle w:val="0"/>
        <w:spacing w:before="200" w:line-rule="auto"/>
        <w:ind w:firstLine="540"/>
        <w:jc w:val="both"/>
      </w:pPr>
      <w:r>
        <w:rPr>
          <w:sz w:val="20"/>
        </w:rPr>
        <w:t xml:space="preserve">открытие 13 новых цифровых кинозалов в малых населенных пунктах;</w:t>
      </w:r>
    </w:p>
    <w:p>
      <w:pPr>
        <w:pStyle w:val="0"/>
        <w:spacing w:before="200" w:line-rule="auto"/>
        <w:ind w:firstLine="540"/>
        <w:jc w:val="both"/>
      </w:pPr>
      <w:r>
        <w:rPr>
          <w:sz w:val="20"/>
        </w:rPr>
        <w:t xml:space="preserve">создание 5 новых музейных и объектов культурно-познавательного туризма.</w:t>
      </w:r>
    </w:p>
    <w:p>
      <w:pPr>
        <w:pStyle w:val="0"/>
        <w:spacing w:before="200" w:line-rule="auto"/>
        <w:ind w:firstLine="540"/>
        <w:jc w:val="both"/>
      </w:pPr>
      <w:r>
        <w:rPr>
          <w:sz w:val="20"/>
        </w:rPr>
        <w:t xml:space="preserve">Ключевые результаты "Мастерских проектов":</w:t>
      </w:r>
    </w:p>
    <w:p>
      <w:pPr>
        <w:pStyle w:val="0"/>
        <w:spacing w:before="200" w:line-rule="auto"/>
        <w:ind w:firstLine="540"/>
        <w:jc w:val="both"/>
      </w:pPr>
      <w:r>
        <w:rPr>
          <w:sz w:val="20"/>
        </w:rPr>
        <w:t xml:space="preserve">рост удовлетворенности населения дорожной инфраструктурой;</w:t>
      </w:r>
    </w:p>
    <w:p>
      <w:pPr>
        <w:pStyle w:val="0"/>
        <w:spacing w:before="200" w:line-rule="auto"/>
        <w:ind w:firstLine="540"/>
        <w:jc w:val="both"/>
      </w:pPr>
      <w:r>
        <w:rPr>
          <w:sz w:val="20"/>
        </w:rPr>
        <w:t xml:space="preserve">рост количества автодорог в нормативном состоянии;</w:t>
      </w:r>
    </w:p>
    <w:p>
      <w:pPr>
        <w:pStyle w:val="0"/>
        <w:spacing w:before="200" w:line-rule="auto"/>
        <w:ind w:firstLine="540"/>
        <w:jc w:val="both"/>
      </w:pPr>
      <w:r>
        <w:rPr>
          <w:sz w:val="20"/>
        </w:rPr>
        <w:t xml:space="preserve">снижение смертности на дорогах в 3,5 раза;</w:t>
      </w:r>
    </w:p>
    <w:p>
      <w:pPr>
        <w:pStyle w:val="0"/>
        <w:spacing w:before="200" w:line-rule="auto"/>
        <w:ind w:firstLine="540"/>
        <w:jc w:val="both"/>
      </w:pPr>
      <w:r>
        <w:rPr>
          <w:sz w:val="20"/>
        </w:rPr>
        <w:t xml:space="preserve">снижение количества мест концентрации ДТП в 2 раза;</w:t>
      </w:r>
    </w:p>
    <w:p>
      <w:pPr>
        <w:pStyle w:val="0"/>
        <w:spacing w:before="200" w:line-rule="auto"/>
        <w:ind w:firstLine="540"/>
        <w:jc w:val="both"/>
      </w:pPr>
      <w:r>
        <w:rPr>
          <w:sz w:val="20"/>
        </w:rPr>
        <w:t xml:space="preserve">рост эффективности использования бюджетных средств.</w:t>
      </w:r>
    </w:p>
    <w:p>
      <w:pPr>
        <w:pStyle w:val="0"/>
        <w:jc w:val="both"/>
      </w:pPr>
      <w:r>
        <w:rPr>
          <w:sz w:val="20"/>
        </w:rPr>
      </w:r>
    </w:p>
    <w:p>
      <w:pPr>
        <w:pStyle w:val="2"/>
        <w:outlineLvl w:val="2"/>
        <w:ind w:firstLine="540"/>
        <w:jc w:val="both"/>
      </w:pPr>
      <w:r>
        <w:rPr>
          <w:sz w:val="20"/>
        </w:rPr>
        <w:t xml:space="preserve">9.1. Транспортная связанность</w:t>
      </w:r>
    </w:p>
    <w:p>
      <w:pPr>
        <w:pStyle w:val="0"/>
        <w:jc w:val="both"/>
      </w:pPr>
      <w:r>
        <w:rPr>
          <w:sz w:val="20"/>
        </w:rPr>
      </w:r>
    </w:p>
    <w:p>
      <w:pPr>
        <w:pStyle w:val="0"/>
        <w:ind w:firstLine="540"/>
        <w:jc w:val="both"/>
      </w:pPr>
      <w:r>
        <w:rPr>
          <w:sz w:val="20"/>
        </w:rPr>
        <w:t xml:space="preserve">Задача. Увеличение транспортной связанности Курской области.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Развитие федеральных автомобильных дорог на территории Курской области, снятие инфраструктурных ограничений вдоль ключевых зон роста Курской области, обеспечение качества транспортной инфраструктуры, связывающей Российскую Федерацию с Украиной:</w:t>
      </w:r>
    </w:p>
    <w:p>
      <w:pPr>
        <w:pStyle w:val="0"/>
        <w:spacing w:before="200" w:line-rule="auto"/>
        <w:ind w:firstLine="540"/>
        <w:jc w:val="both"/>
      </w:pPr>
      <w:r>
        <w:rPr>
          <w:sz w:val="20"/>
        </w:rPr>
        <w:t xml:space="preserve">расширение федеральной автомобильной дороги М-2 "Крым" (Москва - Тула - Орел - Курск - Белгород - государственная граница с Украиной);</w:t>
      </w:r>
    </w:p>
    <w:p>
      <w:pPr>
        <w:pStyle w:val="0"/>
        <w:spacing w:before="200" w:line-rule="auto"/>
        <w:ind w:firstLine="540"/>
        <w:jc w:val="both"/>
      </w:pPr>
      <w:r>
        <w:rPr>
          <w:sz w:val="20"/>
        </w:rPr>
        <w:t xml:space="preserve">расширение федеральной автомобильной дороги М-3 "Украина" (Москва - Калуга - Брянск - государственная граница с Украиной);</w:t>
      </w:r>
    </w:p>
    <w:p>
      <w:pPr>
        <w:pStyle w:val="0"/>
        <w:spacing w:before="200" w:line-rule="auto"/>
        <w:ind w:firstLine="540"/>
        <w:jc w:val="both"/>
      </w:pPr>
      <w:r>
        <w:rPr>
          <w:sz w:val="20"/>
        </w:rPr>
        <w:t xml:space="preserve">расширение и приведение в нормативное состояние автомобильной дороги Р-298 (автомобильная дорога федерального значения Курск - Воронеж - Р 22 "Каспий").</w:t>
      </w:r>
    </w:p>
    <w:p>
      <w:pPr>
        <w:pStyle w:val="0"/>
        <w:spacing w:before="200" w:line-rule="auto"/>
        <w:ind w:firstLine="540"/>
        <w:jc w:val="both"/>
      </w:pPr>
      <w:r>
        <w:rPr>
          <w:sz w:val="20"/>
        </w:rPr>
        <w:t xml:space="preserve">2. Модернизация ключевых международных пунктов пропуска в Курской области в Рыльском и Суджанском районах Курской области в случае определения источника бюджетного финансирования или иных источников финансирования.</w:t>
      </w:r>
    </w:p>
    <w:p>
      <w:pPr>
        <w:pStyle w:val="0"/>
        <w:spacing w:before="200" w:line-rule="auto"/>
        <w:ind w:firstLine="540"/>
        <w:jc w:val="both"/>
      </w:pPr>
      <w:r>
        <w:rPr>
          <w:sz w:val="20"/>
        </w:rPr>
        <w:t xml:space="preserve">3. Реконструкция и строительство автомобильных дорог регионального значения, включая строительство новых объектов транспортной инфраструктуры (мосты, транспортные развязки и т.д.) в соответствии со Схемой территориального планирования Курской области.</w:t>
      </w:r>
    </w:p>
    <w:p>
      <w:pPr>
        <w:pStyle w:val="0"/>
        <w:spacing w:before="200" w:line-rule="auto"/>
        <w:ind w:firstLine="540"/>
        <w:jc w:val="both"/>
      </w:pPr>
      <w:r>
        <w:rPr>
          <w:sz w:val="20"/>
        </w:rPr>
        <w:t xml:space="preserve">4. Строительство объекта "Путепровод через железную дорогу" в городе Курчатове Курской области.</w:t>
      </w:r>
    </w:p>
    <w:p>
      <w:pPr>
        <w:pStyle w:val="0"/>
        <w:spacing w:before="200" w:line-rule="auto"/>
        <w:ind w:firstLine="540"/>
        <w:jc w:val="both"/>
      </w:pPr>
      <w:r>
        <w:rPr>
          <w:sz w:val="20"/>
        </w:rPr>
        <w:t xml:space="preserve">5. Реконструкция и строительство автомобильных дорог, включая искусственные сооружения, для обеспечения развития Курской агломерации в соответствии с Генеральным планом г. Курска (утвержден </w:t>
      </w:r>
      <w:hyperlink w:history="0" r:id="rId87" w:tooltip="Решение Курского городского Собрания от 22.12.2016 N 326-5-ОС &quot;О корректуре Генерального плана города Курска&quot; {КонсультантПлюс}">
        <w:r>
          <w:rPr>
            <w:sz w:val="20"/>
            <w:color w:val="0000ff"/>
          </w:rPr>
          <w:t xml:space="preserve">решением</w:t>
        </w:r>
      </w:hyperlink>
      <w:r>
        <w:rPr>
          <w:sz w:val="20"/>
        </w:rPr>
        <w:t xml:space="preserve"> Курского городского Собрания N 326-5-ОС от 22 декабря 2016 года).</w:t>
      </w:r>
    </w:p>
    <w:p>
      <w:pPr>
        <w:pStyle w:val="0"/>
        <w:spacing w:before="200" w:line-rule="auto"/>
        <w:ind w:firstLine="540"/>
        <w:jc w:val="both"/>
      </w:pPr>
      <w:r>
        <w:rPr>
          <w:sz w:val="20"/>
        </w:rPr>
        <w:t xml:space="preserve">6. Снятие инфраструктурных ограничений в области авиационного транспорта: расширение маршрутной сети Курского международного аэропорта (включая сезонные рейсы в города Краснодарского края, Республики Крым, другие ключевые туристические направления).</w:t>
      </w:r>
    </w:p>
    <w:p>
      <w:pPr>
        <w:pStyle w:val="0"/>
        <w:spacing w:before="200" w:line-rule="auto"/>
        <w:ind w:firstLine="540"/>
        <w:jc w:val="both"/>
      </w:pPr>
      <w:r>
        <w:rPr>
          <w:sz w:val="20"/>
        </w:rPr>
        <w:t xml:space="preserve">7. Снятие инфраструктурных ограничений в области железнодорожного транспорта:</w:t>
      </w:r>
    </w:p>
    <w:p>
      <w:pPr>
        <w:pStyle w:val="0"/>
        <w:spacing w:before="200" w:line-rule="auto"/>
        <w:ind w:firstLine="540"/>
        <w:jc w:val="both"/>
      </w:pPr>
      <w:r>
        <w:rPr>
          <w:sz w:val="20"/>
        </w:rPr>
        <w:t xml:space="preserve">развитие скоростного железнодорожного сообщения с Москвой и Санкт-Петербургом (увеличение числа существующих скоростных маршрутов);</w:t>
      </w:r>
    </w:p>
    <w:p>
      <w:pPr>
        <w:pStyle w:val="0"/>
        <w:spacing w:before="200" w:line-rule="auto"/>
        <w:ind w:firstLine="540"/>
        <w:jc w:val="both"/>
      </w:pPr>
      <w:r>
        <w:rPr>
          <w:sz w:val="20"/>
        </w:rPr>
        <w:t xml:space="preserve">развитие пригородного железнодорожного сообщения в Курской области, включая железнодорожное сообщение между основными ядрами Курской агломерации;</w:t>
      </w:r>
    </w:p>
    <w:p>
      <w:pPr>
        <w:pStyle w:val="0"/>
        <w:spacing w:before="200" w:line-rule="auto"/>
        <w:ind w:firstLine="540"/>
        <w:jc w:val="both"/>
      </w:pPr>
      <w:r>
        <w:rPr>
          <w:sz w:val="20"/>
        </w:rPr>
        <w:t xml:space="preserve">ликвидация "узких мест" в железнодорожной инфраструктуре Курской области;</w:t>
      </w:r>
    </w:p>
    <w:p>
      <w:pPr>
        <w:pStyle w:val="0"/>
        <w:spacing w:before="200" w:line-rule="auto"/>
        <w:ind w:firstLine="540"/>
        <w:jc w:val="both"/>
      </w:pPr>
      <w:r>
        <w:rPr>
          <w:sz w:val="20"/>
        </w:rPr>
        <w:t xml:space="preserve">обеспечение безубыточности деятельности перевозчиков; субсидии на полную компенсацию потерь в доходах перевозчиков, возникающих в результате установления тарифов на пригородные железнодорожные перевозки ниже экономически обоснованного уровня.</w:t>
      </w:r>
    </w:p>
    <w:p>
      <w:pPr>
        <w:pStyle w:val="0"/>
        <w:spacing w:before="200" w:line-rule="auto"/>
        <w:ind w:firstLine="540"/>
        <w:jc w:val="both"/>
      </w:pPr>
      <w:r>
        <w:rPr>
          <w:sz w:val="20"/>
        </w:rPr>
        <w:t xml:space="preserve">8. Создание центра управления процессами в дорожной отрасли региона, координирующего деятельность заинтересованных организаций, в частности, консолидирующего и представляющего в цифровом виде информацию о состоянии процессов строительства и эксплуатации дорог.</w:t>
      </w:r>
    </w:p>
    <w:p>
      <w:pPr>
        <w:pStyle w:val="0"/>
        <w:spacing w:before="200" w:line-rule="auto"/>
        <w:ind w:firstLine="540"/>
        <w:jc w:val="both"/>
      </w:pPr>
      <w:r>
        <w:rPr>
          <w:sz w:val="20"/>
        </w:rPr>
        <w:t xml:space="preserve">9. Применение контрактов жизненного цикла дорог на период их расчетного срока службы, что позволит повысить качество работ.</w:t>
      </w:r>
    </w:p>
    <w:p>
      <w:pPr>
        <w:pStyle w:val="0"/>
        <w:spacing w:before="200" w:line-rule="auto"/>
        <w:ind w:firstLine="540"/>
        <w:jc w:val="both"/>
      </w:pPr>
      <w:r>
        <w:rPr>
          <w:sz w:val="20"/>
        </w:rPr>
        <w:t xml:space="preserve">10. Наделение ОКУ "Комитет автодорог Курской области" функциями по координации дорожной деятельности на автомобильных дорогах регионального, межмуниципального и местного значений.</w:t>
      </w:r>
    </w:p>
    <w:p>
      <w:pPr>
        <w:pStyle w:val="0"/>
        <w:spacing w:before="200" w:line-rule="auto"/>
        <w:ind w:firstLine="540"/>
        <w:jc w:val="both"/>
      </w:pPr>
      <w:r>
        <w:rPr>
          <w:sz w:val="20"/>
        </w:rPr>
        <w:t xml:space="preserve">11. Проработка вопросов по проекту "Дороги за налоги" (включает предложение гражданам и юридическим лицам вносить добровольные пожертвования в дорожные фонды для ремонта в приоритетном порядке (в том числе на условиях софинансирования) выбранных ими дорог с последующей компенсацией таких расходов; предложение частным лицам самостоятельно осуществлять финансирование строительства и ремонта дорог в согласованном с властями объеме и месте с последующей компенсацией расходов и предложение частным лицам производить авансовые отчисления по налогам, которые поступают в региональный бюджет, для целевого использования в ремонте или строительстве конкретных участков дорог).</w:t>
      </w:r>
    </w:p>
    <w:p>
      <w:pPr>
        <w:pStyle w:val="0"/>
        <w:spacing w:before="200" w:line-rule="auto"/>
        <w:ind w:firstLine="540"/>
        <w:jc w:val="both"/>
      </w:pPr>
      <w:r>
        <w:rPr>
          <w:sz w:val="20"/>
        </w:rPr>
        <w:t xml:space="preserve">12. Использование современных технологий строительства, ремонта и содержания дорог: технологии содержания дорог, применение технологий рап, рециклизат конвекторных шлаков и безасфальтного метода в дорожном строительстве, проектирование и строительство дорог методом применения нерудных материалов (сталеплавильный щебень из конверторных шлаков черной металлургии (твердость М1200) и другие технологии).</w:t>
      </w:r>
    </w:p>
    <w:p>
      <w:pPr>
        <w:pStyle w:val="0"/>
        <w:spacing w:before="200" w:line-rule="auto"/>
        <w:ind w:firstLine="540"/>
        <w:jc w:val="both"/>
      </w:pPr>
      <w:r>
        <w:rPr>
          <w:sz w:val="20"/>
        </w:rPr>
        <w:t xml:space="preserve">13. Создание единой информационной системы в форме сайта (веб-приложения), включающей в себя все дороги области, доступ к которой есть как у граждан, так и у прочих заинтересованных сторон.</w:t>
      </w:r>
    </w:p>
    <w:p>
      <w:pPr>
        <w:pStyle w:val="0"/>
        <w:spacing w:before="200" w:line-rule="auto"/>
        <w:ind w:firstLine="540"/>
        <w:jc w:val="both"/>
      </w:pPr>
      <w:r>
        <w:rPr>
          <w:sz w:val="20"/>
        </w:rPr>
        <w:t xml:space="preserve">14. Создание центра организации дорожного движения:</w:t>
      </w:r>
    </w:p>
    <w:p>
      <w:pPr>
        <w:pStyle w:val="0"/>
        <w:spacing w:before="200" w:line-rule="auto"/>
        <w:ind w:firstLine="540"/>
        <w:jc w:val="both"/>
      </w:pPr>
      <w:r>
        <w:rPr>
          <w:sz w:val="20"/>
        </w:rPr>
        <w:t xml:space="preserve">применение автоматизированных систем управления дорожным движением, создание интеллектуальной транспортной системы, которая позволит увеличить пропускную способность городской транспортной системы; моделировать и оценивать влияние на транспортную систему города новых транспортных объектов, объектов жилищного и делового строительства, схем организации движения, а также выработать наиболее эффективные решения при возникновении чрезвычайных ситуаций;</w:t>
      </w:r>
    </w:p>
    <w:p>
      <w:pPr>
        <w:pStyle w:val="0"/>
        <w:spacing w:before="200" w:line-rule="auto"/>
        <w:ind w:firstLine="540"/>
        <w:jc w:val="both"/>
      </w:pPr>
      <w:r>
        <w:rPr>
          <w:sz w:val="20"/>
        </w:rPr>
        <w:t xml:space="preserve">внедрение интеллектуальных систем в условиях растущего количества транспортных средств;</w:t>
      </w:r>
    </w:p>
    <w:p>
      <w:pPr>
        <w:pStyle w:val="0"/>
        <w:spacing w:before="200" w:line-rule="auto"/>
        <w:ind w:firstLine="540"/>
        <w:jc w:val="both"/>
      </w:pPr>
      <w:r>
        <w:rPr>
          <w:sz w:val="20"/>
        </w:rPr>
        <w:t xml:space="preserve">применение технологий видеоконтроля и видео-весового контроля.</w:t>
      </w:r>
    </w:p>
    <w:p>
      <w:pPr>
        <w:pStyle w:val="0"/>
        <w:spacing w:before="200" w:line-rule="auto"/>
        <w:ind w:firstLine="540"/>
        <w:jc w:val="both"/>
      </w:pPr>
      <w:r>
        <w:rPr>
          <w:sz w:val="20"/>
        </w:rPr>
        <w:t xml:space="preserve">15. Применение средств пассивной безопасности при строительстве и эксплуатации автомобильных дорог.</w:t>
      </w:r>
    </w:p>
    <w:p>
      <w:pPr>
        <w:pStyle w:val="0"/>
        <w:spacing w:before="200" w:line-rule="auto"/>
        <w:ind w:firstLine="540"/>
        <w:jc w:val="both"/>
      </w:pPr>
      <w:r>
        <w:rPr>
          <w:sz w:val="20"/>
        </w:rPr>
        <w:t xml:space="preserve">16. Оптимизация и модернизация сети общественного транспорта, парковок.</w:t>
      </w:r>
    </w:p>
    <w:p>
      <w:pPr>
        <w:pStyle w:val="0"/>
        <w:spacing w:before="200" w:line-rule="auto"/>
        <w:ind w:firstLine="540"/>
        <w:jc w:val="both"/>
      </w:pPr>
      <w:r>
        <w:rPr>
          <w:sz w:val="20"/>
        </w:rPr>
        <w:t xml:space="preserve">17. Проработка вопроса о развитии Курско-Курчатовской агломерации на основе запуска скоростного внеуличного транспорта (городской электрички) "Курск - Курчатов".</w:t>
      </w:r>
    </w:p>
    <w:p>
      <w:pPr>
        <w:pStyle w:val="0"/>
        <w:spacing w:before="200" w:line-rule="auto"/>
        <w:ind w:firstLine="540"/>
        <w:jc w:val="both"/>
      </w:pPr>
      <w:r>
        <w:rPr>
          <w:sz w:val="20"/>
        </w:rPr>
        <w:t xml:space="preserve">18. Создание межведомственной рабочей группы оперативного реагирования на дорожные происшествия с тяжелыми последствиями.</w:t>
      </w:r>
    </w:p>
    <w:p>
      <w:pPr>
        <w:pStyle w:val="0"/>
        <w:spacing w:before="200" w:line-rule="auto"/>
        <w:ind w:firstLine="540"/>
        <w:jc w:val="both"/>
      </w:pPr>
      <w:r>
        <w:rPr>
          <w:sz w:val="20"/>
        </w:rPr>
        <w:t xml:space="preserve">19. Создание региональных центров мониторинга стоимости строительных материалов, эксплуатации машин и механизмов, транспортных издержек и фонда оплаты труда с целью актуализации единичных расценок и сметных цен на строительные ресурсы.</w:t>
      </w:r>
    </w:p>
    <w:p>
      <w:pPr>
        <w:pStyle w:val="0"/>
        <w:spacing w:before="200" w:line-rule="auto"/>
        <w:ind w:firstLine="540"/>
        <w:jc w:val="both"/>
      </w:pPr>
      <w:r>
        <w:rPr>
          <w:sz w:val="20"/>
        </w:rPr>
        <w:t xml:space="preserve">20. Развитие транспортной инфраструктуры и инфраструктуры связи сельских территорий:</w:t>
      </w:r>
    </w:p>
    <w:p>
      <w:pPr>
        <w:pStyle w:val="0"/>
        <w:spacing w:before="200" w:line-rule="auto"/>
        <w:ind w:firstLine="540"/>
        <w:jc w:val="both"/>
      </w:pPr>
      <w:r>
        <w:rPr>
          <w:sz w:val="20"/>
        </w:rPr>
        <w:t xml:space="preserve">обеспечение транспортной доступности малых населенных пунктов, включая общественный транспорт;</w:t>
      </w:r>
    </w:p>
    <w:p>
      <w:pPr>
        <w:pStyle w:val="0"/>
        <w:spacing w:before="200" w:line-rule="auto"/>
        <w:ind w:firstLine="540"/>
        <w:jc w:val="both"/>
      </w:pPr>
      <w:r>
        <w:rPr>
          <w:sz w:val="20"/>
        </w:rPr>
        <w:t xml:space="preserve">обеспечение бесперебойной связи и качественного сигнала (мобильная связь, Интернет, телевидение, радио).</w:t>
      </w:r>
    </w:p>
    <w:p>
      <w:pPr>
        <w:pStyle w:val="0"/>
        <w:jc w:val="both"/>
      </w:pPr>
      <w:r>
        <w:rPr>
          <w:sz w:val="20"/>
        </w:rPr>
      </w:r>
    </w:p>
    <w:p>
      <w:pPr>
        <w:pStyle w:val="2"/>
        <w:outlineLvl w:val="2"/>
        <w:ind w:firstLine="540"/>
        <w:jc w:val="both"/>
      </w:pPr>
      <w:r>
        <w:rPr>
          <w:sz w:val="20"/>
        </w:rPr>
        <w:t xml:space="preserve">9.2. Курская городская агломерация</w:t>
      </w:r>
    </w:p>
    <w:p>
      <w:pPr>
        <w:pStyle w:val="0"/>
        <w:jc w:val="both"/>
      </w:pPr>
      <w:r>
        <w:rPr>
          <w:sz w:val="20"/>
        </w:rPr>
      </w:r>
    </w:p>
    <w:p>
      <w:pPr>
        <w:pStyle w:val="0"/>
        <w:ind w:firstLine="540"/>
        <w:jc w:val="both"/>
      </w:pPr>
      <w:r>
        <w:rPr>
          <w:sz w:val="20"/>
        </w:rPr>
        <w:t xml:space="preserve">Задача. Формирование развитой Курской городской агломерации в целях обеспечения устойчивого развития территории, обеспечивающей трудовыми ресурсами ядро агломерации - город Курск.</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Эффективное управление пространственным развитием Курской агломерации:</w:t>
      </w:r>
    </w:p>
    <w:p>
      <w:pPr>
        <w:pStyle w:val="0"/>
        <w:spacing w:before="200" w:line-rule="auto"/>
        <w:ind w:firstLine="540"/>
        <w:jc w:val="both"/>
      </w:pPr>
      <w:r>
        <w:rPr>
          <w:sz w:val="20"/>
        </w:rPr>
        <w:t xml:space="preserve">формирование перспективного транспортного, экологического и расселенческого каркаса Курской агломерации;</w:t>
      </w:r>
    </w:p>
    <w:p>
      <w:pPr>
        <w:pStyle w:val="0"/>
        <w:spacing w:before="200" w:line-rule="auto"/>
        <w:ind w:firstLine="540"/>
        <w:jc w:val="both"/>
      </w:pPr>
      <w:r>
        <w:rPr>
          <w:sz w:val="20"/>
        </w:rPr>
        <w:t xml:space="preserve">выделение ядер первого и второго порядка, выделение зон опережающего развития внутри агломерации;</w:t>
      </w:r>
    </w:p>
    <w:p>
      <w:pPr>
        <w:pStyle w:val="0"/>
        <w:spacing w:before="200" w:line-rule="auto"/>
        <w:ind w:firstLine="540"/>
        <w:jc w:val="both"/>
      </w:pPr>
      <w:r>
        <w:rPr>
          <w:sz w:val="20"/>
        </w:rPr>
        <w:t xml:space="preserve">выявление существующей и потенциальной специализации отдельных территорий Курской агломерации;</w:t>
      </w:r>
    </w:p>
    <w:p>
      <w:pPr>
        <w:pStyle w:val="0"/>
        <w:spacing w:before="200" w:line-rule="auto"/>
        <w:ind w:firstLine="540"/>
        <w:jc w:val="both"/>
      </w:pPr>
      <w:r>
        <w:rPr>
          <w:sz w:val="20"/>
        </w:rPr>
        <w:t xml:space="preserve">внедрение механизмов распределения финансирования инфраструктурных проектов по развитию агломерации с учетом численности населения ядер агломерации;</w:t>
      </w:r>
    </w:p>
    <w:p>
      <w:pPr>
        <w:pStyle w:val="0"/>
        <w:spacing w:before="200" w:line-rule="auto"/>
        <w:ind w:firstLine="540"/>
        <w:jc w:val="both"/>
      </w:pPr>
      <w:r>
        <w:rPr>
          <w:sz w:val="20"/>
        </w:rPr>
        <w:t xml:space="preserve">обеспечение доступности социальной инфраструктуры в рамках Курской агломерации независимо от места жительства граждан в рамках агломерации;</w:t>
      </w:r>
    </w:p>
    <w:p>
      <w:pPr>
        <w:pStyle w:val="0"/>
        <w:spacing w:before="200" w:line-rule="auto"/>
        <w:ind w:firstLine="540"/>
        <w:jc w:val="both"/>
      </w:pPr>
      <w:r>
        <w:rPr>
          <w:sz w:val="20"/>
        </w:rPr>
        <w:t xml:space="preserve">развитие сети автомобильных дорог в составе агломерации.</w:t>
      </w:r>
    </w:p>
    <w:p>
      <w:pPr>
        <w:pStyle w:val="0"/>
        <w:spacing w:before="200" w:line-rule="auto"/>
        <w:ind w:firstLine="540"/>
        <w:jc w:val="both"/>
      </w:pPr>
      <w:r>
        <w:rPr>
          <w:sz w:val="20"/>
        </w:rPr>
        <w:t xml:space="preserve">2. Обеспечение повышения связанности территорий, входящих в состав Курской агломерации:</w:t>
      </w:r>
    </w:p>
    <w:p>
      <w:pPr>
        <w:pStyle w:val="0"/>
        <w:spacing w:before="200" w:line-rule="auto"/>
        <w:ind w:firstLine="540"/>
        <w:jc w:val="both"/>
      </w:pPr>
      <w:r>
        <w:rPr>
          <w:sz w:val="20"/>
        </w:rPr>
        <w:t xml:space="preserve">обеспечение часовой доступности между ядрами Курской агломерации к 2030 году в пределах сформированного транспортного каркаса Курской агломерации за счет создания единой системы общественного транспорта с единым проездным билетом, оптимизация расписания движения общественного транспорта, внедрение пересадочной модели;</w:t>
      </w:r>
    </w:p>
    <w:p>
      <w:pPr>
        <w:pStyle w:val="0"/>
        <w:spacing w:before="200" w:line-rule="auto"/>
        <w:ind w:firstLine="540"/>
        <w:jc w:val="both"/>
      </w:pPr>
      <w:r>
        <w:rPr>
          <w:sz w:val="20"/>
        </w:rPr>
        <w:t xml:space="preserve">развитие скоростного железнодорожного сообщения (городской трамвай, электричка) между основными ядрами Курской агломерации, обновление подвижного состава;</w:t>
      </w:r>
    </w:p>
    <w:p>
      <w:pPr>
        <w:pStyle w:val="0"/>
        <w:spacing w:before="200" w:line-rule="auto"/>
        <w:ind w:firstLine="540"/>
        <w:jc w:val="both"/>
      </w:pPr>
      <w:r>
        <w:rPr>
          <w:sz w:val="20"/>
        </w:rPr>
        <w:t xml:space="preserve">развитие выделенных полос для общественного транспорта между ядрами Курской агломерации после расширения соответствующих автомобильных дорог.</w:t>
      </w:r>
    </w:p>
    <w:p>
      <w:pPr>
        <w:pStyle w:val="0"/>
        <w:jc w:val="both"/>
      </w:pPr>
      <w:r>
        <w:rPr>
          <w:sz w:val="20"/>
        </w:rPr>
      </w:r>
    </w:p>
    <w:p>
      <w:pPr>
        <w:pStyle w:val="2"/>
        <w:outlineLvl w:val="2"/>
        <w:ind w:firstLine="540"/>
        <w:jc w:val="both"/>
      </w:pPr>
      <w:r>
        <w:rPr>
          <w:sz w:val="20"/>
        </w:rPr>
        <w:t xml:space="preserve">9.3. Развитие муниципальных образований</w:t>
      </w:r>
    </w:p>
    <w:p>
      <w:pPr>
        <w:pStyle w:val="0"/>
        <w:jc w:val="both"/>
      </w:pPr>
      <w:r>
        <w:rPr>
          <w:sz w:val="20"/>
        </w:rPr>
      </w:r>
    </w:p>
    <w:p>
      <w:pPr>
        <w:pStyle w:val="0"/>
        <w:ind w:firstLine="540"/>
        <w:jc w:val="both"/>
      </w:pPr>
      <w:r>
        <w:rPr>
          <w:sz w:val="20"/>
        </w:rPr>
        <w:t xml:space="preserve">Задача. Сбалансированное развитие муниципальных образований, сельских и городских поселений на основе утвержденных документов территориального планирования и градостроительного зонирования.</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Поддержка приграничных территорий:</w:t>
      </w:r>
    </w:p>
    <w:p>
      <w:pPr>
        <w:pStyle w:val="0"/>
        <w:spacing w:before="200" w:line-rule="auto"/>
        <w:ind w:firstLine="540"/>
        <w:jc w:val="both"/>
      </w:pPr>
      <w:r>
        <w:rPr>
          <w:sz w:val="20"/>
        </w:rPr>
        <w:t xml:space="preserve">в проекте Стратегии пространственного развития России до 2025 года Курская область рассматривается как геостратегический регион, имеющий существенное значение для обеспечения территориальной целостности страны и безопасности государства. Курская область входит в перечень приграничных геостратегических территорий как регион, граничащий с другими странами;</w:t>
      </w:r>
    </w:p>
    <w:p>
      <w:pPr>
        <w:pStyle w:val="0"/>
        <w:spacing w:before="200" w:line-rule="auto"/>
        <w:ind w:firstLine="540"/>
        <w:jc w:val="both"/>
      </w:pPr>
      <w:r>
        <w:rPr>
          <w:sz w:val="20"/>
        </w:rPr>
        <w:t xml:space="preserve">размещение объектов "двойного" применения (транспортных, энергетических и пр.) в приграничных муниципальных образованиях Курской области;</w:t>
      </w:r>
    </w:p>
    <w:p>
      <w:pPr>
        <w:pStyle w:val="0"/>
        <w:spacing w:before="200" w:line-rule="auto"/>
        <w:ind w:firstLine="540"/>
        <w:jc w:val="both"/>
      </w:pPr>
      <w:r>
        <w:rPr>
          <w:sz w:val="20"/>
        </w:rPr>
        <w:t xml:space="preserve">закрепление за приграничными муниципальными образованиями Курской области статуса геополитических зон (для проработки).</w:t>
      </w:r>
    </w:p>
    <w:p>
      <w:pPr>
        <w:pStyle w:val="0"/>
        <w:spacing w:before="200" w:line-rule="auto"/>
        <w:ind w:firstLine="540"/>
        <w:jc w:val="both"/>
      </w:pPr>
      <w:r>
        <w:rPr>
          <w:sz w:val="20"/>
        </w:rPr>
        <w:t xml:space="preserve">2. Активизация межрегионального и международного сотрудничества:</w:t>
      </w:r>
    </w:p>
    <w:p>
      <w:pPr>
        <w:pStyle w:val="0"/>
        <w:spacing w:before="200" w:line-rule="auto"/>
        <w:ind w:firstLine="540"/>
        <w:jc w:val="both"/>
      </w:pPr>
      <w:r>
        <w:rPr>
          <w:sz w:val="20"/>
        </w:rPr>
        <w:t xml:space="preserve">реализация транспортных коридоров Центрального (трасса М2), Восточного (Старый Оскол - Горшечное - Касторное - Елец), Запад - Восток (Сумы - Рыльск - Льгов - Курчатов - Курск - Воронеж);</w:t>
      </w:r>
    </w:p>
    <w:p>
      <w:pPr>
        <w:pStyle w:val="0"/>
        <w:spacing w:before="200" w:line-rule="auto"/>
        <w:ind w:firstLine="540"/>
        <w:jc w:val="both"/>
      </w:pPr>
      <w:r>
        <w:rPr>
          <w:sz w:val="20"/>
        </w:rPr>
        <w:t xml:space="preserve">содействие сотрудничеству организаций научно-образовательного комплекса Курской области с зарубежными организациями.</w:t>
      </w:r>
    </w:p>
    <w:p>
      <w:pPr>
        <w:pStyle w:val="0"/>
        <w:spacing w:before="200" w:line-rule="auto"/>
        <w:ind w:firstLine="540"/>
        <w:jc w:val="both"/>
      </w:pPr>
      <w:r>
        <w:rPr>
          <w:sz w:val="20"/>
        </w:rPr>
        <w:t xml:space="preserve">3. Обеспечение стратегического развития муниципальных образований:</w:t>
      </w:r>
    </w:p>
    <w:p>
      <w:pPr>
        <w:pStyle w:val="0"/>
        <w:spacing w:before="200" w:line-rule="auto"/>
        <w:ind w:firstLine="540"/>
        <w:jc w:val="both"/>
      </w:pPr>
      <w:r>
        <w:rPr>
          <w:sz w:val="20"/>
        </w:rPr>
        <w:t xml:space="preserve">разработка и актуализация стратегий социально-экономического развития муниципальных образований;</w:t>
      </w:r>
    </w:p>
    <w:p>
      <w:pPr>
        <w:pStyle w:val="0"/>
        <w:spacing w:before="200" w:line-rule="auto"/>
        <w:ind w:firstLine="540"/>
        <w:jc w:val="both"/>
      </w:pPr>
      <w:r>
        <w:rPr>
          <w:sz w:val="20"/>
        </w:rPr>
        <w:t xml:space="preserve">актуализация перспективных точек роста и специализации для каждого района;</w:t>
      </w:r>
    </w:p>
    <w:p>
      <w:pPr>
        <w:pStyle w:val="0"/>
        <w:spacing w:before="200" w:line-rule="auto"/>
        <w:ind w:firstLine="540"/>
        <w:jc w:val="both"/>
      </w:pPr>
      <w:r>
        <w:rPr>
          <w:sz w:val="20"/>
        </w:rPr>
        <w:t xml:space="preserve">внедрение программы обучения глав муниципальных районов, глав поселений, в том числе современным подходам к развитию городской среды, проектному управлению;</w:t>
      </w:r>
    </w:p>
    <w:p>
      <w:pPr>
        <w:pStyle w:val="0"/>
        <w:spacing w:before="200" w:line-rule="auto"/>
        <w:ind w:firstLine="540"/>
        <w:jc w:val="both"/>
      </w:pPr>
      <w:r>
        <w:rPr>
          <w:sz w:val="20"/>
        </w:rPr>
        <w:t xml:space="preserve">выделение проектных офисов или стратегических советов в структуре администраций муниципальных образований с целью передачи им функций стратегического развития.</w:t>
      </w:r>
    </w:p>
    <w:p>
      <w:pPr>
        <w:pStyle w:val="0"/>
        <w:spacing w:before="200" w:line-rule="auto"/>
        <w:ind w:firstLine="540"/>
        <w:jc w:val="both"/>
      </w:pPr>
      <w:r>
        <w:rPr>
          <w:sz w:val="20"/>
        </w:rPr>
        <w:t xml:space="preserve">4. Развитие сельских территорий Курской области, в том числе в рамках реализации государственной программы Курской области "Комплексное развитие сельских территорий Курской области":</w:t>
      </w:r>
    </w:p>
    <w:p>
      <w:pPr>
        <w:pStyle w:val="0"/>
        <w:spacing w:before="200" w:line-rule="auto"/>
        <w:ind w:firstLine="540"/>
        <w:jc w:val="both"/>
      </w:pPr>
      <w:r>
        <w:rPr>
          <w:sz w:val="20"/>
        </w:rPr>
        <w:t xml:space="preserve">развитие сельскохозяйственной составляющей, создание инфраструктуры хранения и переработки сельскохозяйственной продукции;</w:t>
      </w:r>
    </w:p>
    <w:p>
      <w:pPr>
        <w:pStyle w:val="0"/>
        <w:spacing w:before="200" w:line-rule="auto"/>
        <w:ind w:firstLine="540"/>
        <w:jc w:val="both"/>
      </w:pPr>
      <w:r>
        <w:rPr>
          <w:sz w:val="20"/>
        </w:rPr>
        <w:t xml:space="preserve">улучшение жилищных условий граждан, проживающих на сельской территории;</w:t>
      </w:r>
    </w:p>
    <w:p>
      <w:pPr>
        <w:pStyle w:val="0"/>
        <w:spacing w:before="200" w:line-rule="auto"/>
        <w:ind w:firstLine="540"/>
        <w:jc w:val="both"/>
      </w:pPr>
      <w:r>
        <w:rPr>
          <w:sz w:val="20"/>
        </w:rPr>
        <w:t xml:space="preserve">оказание финансовой поддержки при исполнении расходных обязательств муниципальных образований по строительству жилья, предоставляемого по договору найма жилого помещения;</w:t>
      </w:r>
    </w:p>
    <w:p>
      <w:pPr>
        <w:pStyle w:val="0"/>
        <w:spacing w:before="200" w:line-rule="auto"/>
        <w:ind w:firstLine="540"/>
        <w:jc w:val="both"/>
      </w:pPr>
      <w:r>
        <w:rPr>
          <w:sz w:val="20"/>
        </w:rPr>
        <w:t xml:space="preserve">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pPr>
        <w:pStyle w:val="0"/>
        <w:spacing w:before="200" w:line-rule="auto"/>
        <w:ind w:firstLine="540"/>
        <w:jc w:val="both"/>
      </w:pPr>
      <w:r>
        <w:rPr>
          <w:sz w:val="20"/>
        </w:rPr>
        <w:t xml:space="preserve">содействие занятости сельского населения;</w:t>
      </w:r>
    </w:p>
    <w:p>
      <w:pPr>
        <w:pStyle w:val="0"/>
        <w:spacing w:before="200" w:line-rule="auto"/>
        <w:ind w:firstLine="540"/>
        <w:jc w:val="both"/>
      </w:pPr>
      <w:r>
        <w:rPr>
          <w:sz w:val="20"/>
        </w:rPr>
        <w:t xml:space="preserve">формирование современного облика сельских территорий;</w:t>
      </w:r>
    </w:p>
    <w:p>
      <w:pPr>
        <w:pStyle w:val="0"/>
        <w:spacing w:before="200" w:line-rule="auto"/>
        <w:ind w:firstLine="540"/>
        <w:jc w:val="both"/>
      </w:pPr>
      <w:r>
        <w:rPr>
          <w:sz w:val="20"/>
        </w:rPr>
        <w:t xml:space="preserve">благоустройство сельских территорий;</w:t>
      </w:r>
    </w:p>
    <w:p>
      <w:pPr>
        <w:pStyle w:val="0"/>
        <w:spacing w:before="200" w:line-rule="auto"/>
        <w:ind w:firstLine="540"/>
        <w:jc w:val="both"/>
      </w:pPr>
      <w:r>
        <w:rPr>
          <w:sz w:val="20"/>
        </w:rPr>
        <w:t xml:space="preserve">развитие транспортной инфраструктуры в сельской местности;</w:t>
      </w:r>
    </w:p>
    <w:p>
      <w:pPr>
        <w:pStyle w:val="0"/>
        <w:spacing w:before="200" w:line-rule="auto"/>
        <w:ind w:firstLine="540"/>
        <w:jc w:val="both"/>
      </w:pPr>
      <w:r>
        <w:rPr>
          <w:sz w:val="20"/>
        </w:rPr>
        <w:t xml:space="preserve">развитие инженерной инфраструктуры на сельских территориях;</w:t>
      </w:r>
    </w:p>
    <w:p>
      <w:pPr>
        <w:pStyle w:val="0"/>
        <w:spacing w:before="200" w:line-rule="auto"/>
        <w:ind w:firstLine="540"/>
        <w:jc w:val="both"/>
      </w:pPr>
      <w:r>
        <w:rPr>
          <w:sz w:val="20"/>
        </w:rPr>
        <w:t xml:space="preserve">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ЖКХ;</w:t>
      </w:r>
    </w:p>
    <w:p>
      <w:pPr>
        <w:pStyle w:val="0"/>
        <w:spacing w:before="200" w:line-rule="auto"/>
        <w:ind w:firstLine="540"/>
        <w:jc w:val="both"/>
      </w:pPr>
      <w:r>
        <w:rPr>
          <w:sz w:val="20"/>
        </w:rPr>
        <w:t xml:space="preserve">организация центра оперативного мониторинга развития малых населенных пунктов Курской области, оперативное реагирование на аварии в инженерных сетях, проблемы в области социального развития и работы социальной инфраструктуры в рамках концепции бережливого производства;</w:t>
      </w:r>
    </w:p>
    <w:p>
      <w:pPr>
        <w:pStyle w:val="0"/>
        <w:spacing w:before="200" w:line-rule="auto"/>
        <w:ind w:firstLine="540"/>
        <w:jc w:val="both"/>
      </w:pPr>
      <w:r>
        <w:rPr>
          <w:sz w:val="20"/>
        </w:rPr>
        <w:t xml:space="preserve">совершенствование социальной инфраструктуры малых населенных пунктов, проведение ежегодных выездных диспансеризаций населения, поддержка ярмарок;</w:t>
      </w:r>
    </w:p>
    <w:p>
      <w:pPr>
        <w:pStyle w:val="0"/>
        <w:spacing w:before="200" w:line-rule="auto"/>
        <w:ind w:firstLine="540"/>
        <w:jc w:val="both"/>
      </w:pPr>
      <w:r>
        <w:rPr>
          <w:sz w:val="20"/>
        </w:rPr>
        <w:t xml:space="preserve">совершенствование сбора твердых коммунальных отходов в малых населенных пунктах по схемам такого сбора;</w:t>
      </w:r>
    </w:p>
    <w:p>
      <w:pPr>
        <w:pStyle w:val="0"/>
        <w:spacing w:before="200" w:line-rule="auto"/>
        <w:ind w:firstLine="540"/>
        <w:jc w:val="both"/>
      </w:pPr>
      <w:r>
        <w:rPr>
          <w:sz w:val="20"/>
        </w:rPr>
        <w:t xml:space="preserve">обеспечение бесперебойной связи и качественного сигнала (мобильная связь, Интернет, телевидение, радио) на территориях муниципальных образований, граничащих с Украиной.</w:t>
      </w:r>
    </w:p>
    <w:p>
      <w:pPr>
        <w:pStyle w:val="0"/>
        <w:spacing w:before="200" w:line-rule="auto"/>
        <w:ind w:firstLine="540"/>
        <w:jc w:val="both"/>
      </w:pPr>
      <w:r>
        <w:rPr>
          <w:sz w:val="20"/>
        </w:rPr>
        <w:t xml:space="preserve">4. Сохранение исторического облика городов:</w:t>
      </w:r>
    </w:p>
    <w:p>
      <w:pPr>
        <w:pStyle w:val="0"/>
        <w:spacing w:before="200" w:line-rule="auto"/>
        <w:ind w:firstLine="540"/>
        <w:jc w:val="both"/>
      </w:pPr>
      <w:r>
        <w:rPr>
          <w:sz w:val="20"/>
        </w:rPr>
        <w:t xml:space="preserve">разработка узнаваемых муниципальных туристических брендов, а также продуктовых и корпоративных брендов с привязкой к конкретным муниципальным образованиям;</w:t>
      </w:r>
    </w:p>
    <w:p>
      <w:pPr>
        <w:pStyle w:val="0"/>
        <w:spacing w:before="200" w:line-rule="auto"/>
        <w:ind w:firstLine="540"/>
        <w:jc w:val="both"/>
      </w:pPr>
      <w:r>
        <w:rPr>
          <w:sz w:val="20"/>
        </w:rPr>
        <w:t xml:space="preserve">реставрация объектов культурного наследия;</w:t>
      </w:r>
    </w:p>
    <w:p>
      <w:pPr>
        <w:pStyle w:val="0"/>
        <w:spacing w:before="200" w:line-rule="auto"/>
        <w:ind w:firstLine="540"/>
        <w:jc w:val="both"/>
      </w:pPr>
      <w:r>
        <w:rPr>
          <w:sz w:val="20"/>
        </w:rPr>
        <w:t xml:space="preserve">поддержка малых исторических городов Курской области, восстановление культурного наследия, популяризация объектов показа, организация экскурсий.</w:t>
      </w:r>
    </w:p>
    <w:p>
      <w:pPr>
        <w:pStyle w:val="0"/>
        <w:spacing w:before="200" w:line-rule="auto"/>
        <w:ind w:firstLine="540"/>
        <w:jc w:val="both"/>
      </w:pPr>
      <w:r>
        <w:rPr>
          <w:sz w:val="20"/>
        </w:rPr>
        <w:t xml:space="preserve">5. Создание территории с особым экономическим статусом промышленно-производственного типа на территории г. Железногорска и Железногорского района как одного из значимых инструментов привлечения инвестиций в развитие города Железногорска и в целом региона.</w:t>
      </w:r>
    </w:p>
    <w:p>
      <w:pPr>
        <w:pStyle w:val="0"/>
        <w:spacing w:before="200" w:line-rule="auto"/>
        <w:ind w:firstLine="540"/>
        <w:jc w:val="both"/>
      </w:pPr>
      <w:r>
        <w:rPr>
          <w:sz w:val="20"/>
        </w:rPr>
        <w:t xml:space="preserve">6. Формирование условий для использования механизмов инициативного бюджетирования и развития территориального общественного самоуправления при решении задач текущего жизнеобеспечения и перспективного развития муниципальных образований.</w:t>
      </w:r>
    </w:p>
    <w:p>
      <w:pPr>
        <w:pStyle w:val="0"/>
        <w:spacing w:before="200" w:line-rule="auto"/>
        <w:ind w:firstLine="540"/>
        <w:jc w:val="both"/>
      </w:pPr>
      <w:r>
        <w:rPr>
          <w:sz w:val="20"/>
        </w:rPr>
        <w:t xml:space="preserve">7. Оптимизация, развитие и совершенствование системы организации муниципальных образований Курской области.</w:t>
      </w:r>
    </w:p>
    <w:p>
      <w:pPr>
        <w:pStyle w:val="0"/>
        <w:jc w:val="both"/>
      </w:pPr>
      <w:r>
        <w:rPr>
          <w:sz w:val="20"/>
        </w:rPr>
      </w:r>
    </w:p>
    <w:p>
      <w:pPr>
        <w:pStyle w:val="2"/>
        <w:outlineLvl w:val="2"/>
        <w:ind w:firstLine="540"/>
        <w:jc w:val="both"/>
      </w:pPr>
      <w:r>
        <w:rPr>
          <w:sz w:val="20"/>
        </w:rPr>
        <w:t xml:space="preserve">9.4. 1000-летие города Курска</w:t>
      </w:r>
    </w:p>
    <w:p>
      <w:pPr>
        <w:pStyle w:val="0"/>
        <w:jc w:val="both"/>
      </w:pPr>
      <w:r>
        <w:rPr>
          <w:sz w:val="20"/>
        </w:rPr>
      </w:r>
    </w:p>
    <w:p>
      <w:pPr>
        <w:pStyle w:val="0"/>
        <w:ind w:firstLine="540"/>
        <w:jc w:val="both"/>
      </w:pPr>
      <w:r>
        <w:rPr>
          <w:sz w:val="20"/>
        </w:rPr>
        <w:t xml:space="preserve">Задача. Развитие административного центра Курской области.</w:t>
      </w:r>
    </w:p>
    <w:p>
      <w:pPr>
        <w:pStyle w:val="0"/>
        <w:spacing w:before="200" w:line-rule="auto"/>
        <w:ind w:firstLine="540"/>
        <w:jc w:val="both"/>
      </w:pPr>
      <w:r>
        <w:rPr>
          <w:sz w:val="20"/>
        </w:rPr>
        <w:t xml:space="preserve">Перспективное видение развития:</w:t>
      </w:r>
    </w:p>
    <w:p>
      <w:pPr>
        <w:pStyle w:val="0"/>
        <w:spacing w:before="200" w:line-rule="auto"/>
        <w:ind w:firstLine="540"/>
        <w:jc w:val="both"/>
      </w:pPr>
      <w:r>
        <w:rPr>
          <w:sz w:val="20"/>
        </w:rPr>
        <w:t xml:space="preserve">Курск - один из ведущих общероссийских научно-образовательных центров, центр экономического развития Курской области, инновационное ядро Курской агломерации, один из инновационно-экономических центров Курско-Белгородской конурбации, современный "умный", зеленый и комфортный для жизни город.</w:t>
      </w:r>
    </w:p>
    <w:p>
      <w:pPr>
        <w:pStyle w:val="0"/>
        <w:spacing w:before="200" w:line-rule="auto"/>
        <w:ind w:firstLine="540"/>
        <w:jc w:val="both"/>
      </w:pPr>
      <w:r>
        <w:rPr>
          <w:sz w:val="20"/>
        </w:rPr>
        <w:t xml:space="preserve">Основные мероприятия (во исполнение Указа Президента Российской Федерации от 10 октября 2019 года N 491 "О праздновании 1000-летия основания г. Курска"):</w:t>
      </w:r>
    </w:p>
    <w:p>
      <w:pPr>
        <w:pStyle w:val="0"/>
        <w:spacing w:before="200" w:line-rule="auto"/>
        <w:ind w:firstLine="540"/>
        <w:jc w:val="both"/>
      </w:pPr>
      <w:r>
        <w:rPr>
          <w:sz w:val="20"/>
        </w:rPr>
        <w:t xml:space="preserve">сохранение и восстановление памятников истории и культуры, развитие культурно-исторического туризма, привлечение в город иностранных туристов;</w:t>
      </w:r>
    </w:p>
    <w:p>
      <w:pPr>
        <w:pStyle w:val="0"/>
        <w:spacing w:before="200" w:line-rule="auto"/>
        <w:ind w:firstLine="540"/>
        <w:jc w:val="both"/>
      </w:pPr>
      <w:r>
        <w:rPr>
          <w:sz w:val="20"/>
        </w:rPr>
        <w:t xml:space="preserve">воссоздание исторического облика древнего Курска;</w:t>
      </w:r>
    </w:p>
    <w:p>
      <w:pPr>
        <w:pStyle w:val="0"/>
        <w:spacing w:before="200" w:line-rule="auto"/>
        <w:ind w:firstLine="540"/>
        <w:jc w:val="both"/>
      </w:pPr>
      <w:r>
        <w:rPr>
          <w:sz w:val="20"/>
        </w:rPr>
        <w:t xml:space="preserve">восстановление курского Кремля;</w:t>
      </w:r>
    </w:p>
    <w:p>
      <w:pPr>
        <w:pStyle w:val="0"/>
        <w:spacing w:before="200" w:line-rule="auto"/>
        <w:ind w:firstLine="540"/>
        <w:jc w:val="both"/>
      </w:pPr>
      <w:r>
        <w:rPr>
          <w:sz w:val="20"/>
        </w:rPr>
        <w:t xml:space="preserve">реконструкция ансамбля Красной площади и пешеходной зоны ул. Ленина;</w:t>
      </w:r>
    </w:p>
    <w:p>
      <w:pPr>
        <w:pStyle w:val="0"/>
        <w:spacing w:before="200" w:line-rule="auto"/>
        <w:ind w:firstLine="540"/>
        <w:jc w:val="both"/>
      </w:pPr>
      <w:r>
        <w:rPr>
          <w:sz w:val="20"/>
        </w:rPr>
        <w:t xml:space="preserve">создание 3D-модели города Курска;</w:t>
      </w:r>
    </w:p>
    <w:p>
      <w:pPr>
        <w:pStyle w:val="0"/>
        <w:spacing w:before="200" w:line-rule="auto"/>
        <w:ind w:firstLine="540"/>
        <w:jc w:val="both"/>
      </w:pPr>
      <w:r>
        <w:rPr>
          <w:sz w:val="20"/>
        </w:rPr>
        <w:t xml:space="preserve">развитие прибрежной территории реки Тускарь (со строительством набережной, реконструкцией парка им. 50-летия ВЛКСМ, урочищ "Пасека" и "Хохлов лес");</w:t>
      </w:r>
    </w:p>
    <w:p>
      <w:pPr>
        <w:pStyle w:val="0"/>
        <w:spacing w:before="200" w:line-rule="auto"/>
        <w:ind w:firstLine="540"/>
        <w:jc w:val="both"/>
      </w:pPr>
      <w:r>
        <w:rPr>
          <w:sz w:val="20"/>
        </w:rPr>
        <w:t xml:space="preserve">содействие развитию экскурсионной сети речных трамваев;</w:t>
      </w:r>
    </w:p>
    <w:p>
      <w:pPr>
        <w:pStyle w:val="0"/>
        <w:spacing w:before="200" w:line-rule="auto"/>
        <w:ind w:firstLine="540"/>
        <w:jc w:val="both"/>
      </w:pPr>
      <w:r>
        <w:rPr>
          <w:sz w:val="20"/>
        </w:rPr>
        <w:t xml:space="preserve">создание музея К. Малевича и других известных земляков;</w:t>
      </w:r>
    </w:p>
    <w:p>
      <w:pPr>
        <w:pStyle w:val="0"/>
        <w:spacing w:before="200" w:line-rule="auto"/>
        <w:ind w:firstLine="540"/>
        <w:jc w:val="both"/>
      </w:pPr>
      <w:r>
        <w:rPr>
          <w:sz w:val="20"/>
        </w:rPr>
        <w:t xml:space="preserve">строительство новых зданий картинной галереи и кукольного театра;</w:t>
      </w:r>
    </w:p>
    <w:p>
      <w:pPr>
        <w:pStyle w:val="0"/>
        <w:spacing w:before="200" w:line-rule="auto"/>
        <w:ind w:firstLine="540"/>
        <w:jc w:val="both"/>
      </w:pPr>
      <w:r>
        <w:rPr>
          <w:sz w:val="20"/>
        </w:rPr>
        <w:t xml:space="preserve">строительство Дворца семейных торжеств;</w:t>
      </w:r>
    </w:p>
    <w:p>
      <w:pPr>
        <w:pStyle w:val="0"/>
        <w:spacing w:before="200" w:line-rule="auto"/>
        <w:ind w:firstLine="540"/>
        <w:jc w:val="both"/>
      </w:pPr>
      <w:r>
        <w:rPr>
          <w:sz w:val="20"/>
        </w:rPr>
        <w:t xml:space="preserve">строительство здания под архив муниципального образования "Город Курск";</w:t>
      </w:r>
    </w:p>
    <w:p>
      <w:pPr>
        <w:pStyle w:val="0"/>
        <w:spacing w:before="200" w:line-rule="auto"/>
        <w:ind w:firstLine="540"/>
        <w:jc w:val="both"/>
      </w:pPr>
      <w:r>
        <w:rPr>
          <w:sz w:val="20"/>
        </w:rPr>
        <w:t xml:space="preserve">обеспечение потребности населения в детских садах и школах (сокращение второй смены), обеспечение пешеходной доступности социальной инфраструктуры, в том числе для строящихся районов; строительство новых школ и детских садов в новых микрорайонах города (проспект Вячеслава Клыкова, проспект Надежды Плевицкой, проспект им. А.Ф. Дериглазова и т.д.);</w:t>
      </w:r>
    </w:p>
    <w:p>
      <w:pPr>
        <w:pStyle w:val="0"/>
        <w:spacing w:before="200" w:line-rule="auto"/>
        <w:ind w:firstLine="540"/>
        <w:jc w:val="both"/>
      </w:pPr>
      <w:r>
        <w:rPr>
          <w:sz w:val="20"/>
        </w:rPr>
        <w:t xml:space="preserve">интеграция научно-образовательной и производственной деятельности, развитие инновационной инфраструктуры и инфраструктуры молодежного технического творчества;</w:t>
      </w:r>
    </w:p>
    <w:p>
      <w:pPr>
        <w:pStyle w:val="0"/>
        <w:spacing w:before="200" w:line-rule="auto"/>
        <w:ind w:firstLine="540"/>
        <w:jc w:val="both"/>
      </w:pPr>
      <w:r>
        <w:rPr>
          <w:sz w:val="20"/>
        </w:rPr>
        <w:t xml:space="preserve">строительство, модернизация и капитальный ремонт учреждений образования (включая школы искусств и художественные школы), культуры, спорта и учреждений, относящихся к сфере молодежной политики;</w:t>
      </w:r>
    </w:p>
    <w:p>
      <w:pPr>
        <w:pStyle w:val="0"/>
        <w:spacing w:before="200" w:line-rule="auto"/>
        <w:ind w:firstLine="540"/>
        <w:jc w:val="both"/>
      </w:pPr>
      <w:r>
        <w:rPr>
          <w:sz w:val="20"/>
        </w:rPr>
        <w:t xml:space="preserve">строительство концертного зала в северо-западном районе города;</w:t>
      </w:r>
    </w:p>
    <w:p>
      <w:pPr>
        <w:pStyle w:val="0"/>
        <w:spacing w:before="200" w:line-rule="auto"/>
        <w:ind w:firstLine="540"/>
        <w:jc w:val="both"/>
      </w:pPr>
      <w:r>
        <w:rPr>
          <w:sz w:val="20"/>
        </w:rPr>
        <w:t xml:space="preserve">благоустройство, реконструкция и содержание парков, скверов, мемориалов памяти, других памятных мест и зон отдыха;</w:t>
      </w:r>
    </w:p>
    <w:p>
      <w:pPr>
        <w:pStyle w:val="0"/>
        <w:spacing w:before="200" w:line-rule="auto"/>
        <w:ind w:firstLine="540"/>
        <w:jc w:val="both"/>
      </w:pPr>
      <w:r>
        <w:rPr>
          <w:sz w:val="20"/>
        </w:rPr>
        <w:t xml:space="preserve">модернизация каркаса улично-дорожной сети г. Курска;</w:t>
      </w:r>
    </w:p>
    <w:p>
      <w:pPr>
        <w:pStyle w:val="0"/>
        <w:spacing w:before="200" w:line-rule="auto"/>
        <w:ind w:firstLine="540"/>
        <w:jc w:val="both"/>
      </w:pPr>
      <w:r>
        <w:rPr>
          <w:sz w:val="20"/>
        </w:rPr>
        <w:t xml:space="preserve">развитие системы городского общественного транспорта (цифровизация, увеличение магистральной сети, увеличение времени и частоты работы, повышение экологичности, развитие троллейбусного и электробусного сообщения, приобретение низкопольных автобусов большой вместимости, обновление трамвайного парка, ремонт трамвайных путей и контактной сети трамваев, развитие городского скоростного электротранспорта);</w:t>
      </w:r>
    </w:p>
    <w:p>
      <w:pPr>
        <w:pStyle w:val="0"/>
        <w:spacing w:before="200" w:line-rule="auto"/>
        <w:ind w:firstLine="540"/>
        <w:jc w:val="both"/>
      </w:pPr>
      <w:r>
        <w:rPr>
          <w:sz w:val="20"/>
        </w:rPr>
        <w:t xml:space="preserve">ликвидация узких мест в транспортной инфраструктуре, строительство дорог с целью повышения связанности отдельных районов города, прежде всего новых микрорайонов с центром;</w:t>
      </w:r>
    </w:p>
    <w:p>
      <w:pPr>
        <w:pStyle w:val="0"/>
        <w:spacing w:before="200" w:line-rule="auto"/>
        <w:ind w:firstLine="540"/>
        <w:jc w:val="both"/>
      </w:pPr>
      <w:r>
        <w:rPr>
          <w:sz w:val="20"/>
        </w:rPr>
        <w:t xml:space="preserve">развитие жилищно-коммунальной сферы (модернизация, строительство новых очистных сооружений; повышение обеспеченности населения коммунальными услугами, в частности водопроводом и канализацией; строительство и ремонт систем уличного освещения, строительство новых мощностей по очистке ливневых стоков и др.);</w:t>
      </w:r>
    </w:p>
    <w:p>
      <w:pPr>
        <w:pStyle w:val="0"/>
        <w:spacing w:before="200" w:line-rule="auto"/>
        <w:ind w:firstLine="540"/>
        <w:jc w:val="both"/>
      </w:pPr>
      <w:r>
        <w:rPr>
          <w:sz w:val="20"/>
        </w:rPr>
        <w:t xml:space="preserve">расчистка и благоустройство расположенных на территории города родников, рек, водоемов и прилегающих к ним зон;</w:t>
      </w:r>
    </w:p>
    <w:p>
      <w:pPr>
        <w:pStyle w:val="0"/>
        <w:spacing w:before="200" w:line-rule="auto"/>
        <w:ind w:firstLine="540"/>
        <w:jc w:val="both"/>
      </w:pPr>
      <w:r>
        <w:rPr>
          <w:sz w:val="20"/>
        </w:rPr>
        <w:t xml:space="preserve">создание и реализация единой концепции озеленения в соответствии с дизайн-кодом города и в тематике 1000-летия города Курска;</w:t>
      </w:r>
    </w:p>
    <w:p>
      <w:pPr>
        <w:pStyle w:val="0"/>
        <w:spacing w:before="200" w:line-rule="auto"/>
        <w:ind w:firstLine="540"/>
        <w:jc w:val="both"/>
      </w:pPr>
      <w:r>
        <w:rPr>
          <w:sz w:val="20"/>
        </w:rPr>
        <w:t xml:space="preserve">развитие общественных озелененных территорий в шаговой доступности (создание и благоустройство садов жилых микрорайонов);</w:t>
      </w:r>
    </w:p>
    <w:p>
      <w:pPr>
        <w:pStyle w:val="0"/>
        <w:spacing w:before="200" w:line-rule="auto"/>
        <w:ind w:firstLine="540"/>
        <w:jc w:val="both"/>
      </w:pPr>
      <w:r>
        <w:rPr>
          <w:sz w:val="20"/>
        </w:rPr>
        <w:t xml:space="preserve">интеграция мониторинговых систем в АПК "Безопасный город";</w:t>
      </w:r>
    </w:p>
    <w:p>
      <w:pPr>
        <w:pStyle w:val="0"/>
        <w:spacing w:before="200" w:line-rule="auto"/>
        <w:ind w:firstLine="540"/>
        <w:jc w:val="both"/>
      </w:pPr>
      <w:r>
        <w:rPr>
          <w:sz w:val="20"/>
        </w:rPr>
        <w:t xml:space="preserve">развитие эффективной системы вывоза и утилизации твердых коммунальных отходов, переход к системе раздельного накопления твердых коммунальных отходов;</w:t>
      </w:r>
    </w:p>
    <w:p>
      <w:pPr>
        <w:pStyle w:val="0"/>
        <w:spacing w:before="200" w:line-rule="auto"/>
        <w:ind w:firstLine="540"/>
        <w:jc w:val="both"/>
      </w:pPr>
      <w:r>
        <w:rPr>
          <w:sz w:val="20"/>
        </w:rPr>
        <w:t xml:space="preserve">строительство мусоросортировочных комплексов твердых коммунальных отходов, мусороперегрузочных станций;</w:t>
      </w:r>
    </w:p>
    <w:p>
      <w:pPr>
        <w:pStyle w:val="0"/>
        <w:spacing w:before="200" w:line-rule="auto"/>
        <w:ind w:firstLine="540"/>
        <w:jc w:val="both"/>
      </w:pPr>
      <w:r>
        <w:rPr>
          <w:sz w:val="20"/>
        </w:rPr>
        <w:t xml:space="preserve">внедрение новых подходов к жилищному строительству и созданию комфортной городской среды современного европейского города (дворы без машин, строительство малоэтажных и среднеэтажных зданий, расширение тротуаров и создание новых пешеходных зон, развитие общественных пространств, реализация концепции города-парка, ликвидация визуального мусора и др.);</w:t>
      </w:r>
    </w:p>
    <w:p>
      <w:pPr>
        <w:pStyle w:val="0"/>
        <w:spacing w:before="200" w:line-rule="auto"/>
        <w:ind w:firstLine="540"/>
        <w:jc w:val="both"/>
      </w:pPr>
      <w:r>
        <w:rPr>
          <w:sz w:val="20"/>
        </w:rPr>
        <w:t xml:space="preserve">внедрение возобновляемых источников энергии в городском пространстве (освещение пешеходных переходов и велосипедных дорожек, обеспечение работы светофоров и других объектов за счет солнечных панелей);</w:t>
      </w:r>
    </w:p>
    <w:p>
      <w:pPr>
        <w:pStyle w:val="0"/>
        <w:spacing w:before="200" w:line-rule="auto"/>
        <w:ind w:firstLine="540"/>
        <w:jc w:val="both"/>
      </w:pPr>
      <w:r>
        <w:rPr>
          <w:sz w:val="20"/>
        </w:rPr>
        <w:t xml:space="preserve">создание развитой сети велодорожек;</w:t>
      </w:r>
    </w:p>
    <w:p>
      <w:pPr>
        <w:pStyle w:val="0"/>
        <w:spacing w:before="200" w:line-rule="auto"/>
        <w:ind w:firstLine="540"/>
        <w:jc w:val="both"/>
      </w:pPr>
      <w:r>
        <w:rPr>
          <w:sz w:val="20"/>
        </w:rPr>
        <w:t xml:space="preserve">строительство объектов спортивной инфраструктуры - легкоатлетического и футбольного манежей, физкультурно-оздоровительных комплексов в жилых районах города и в школах, футбольных полей с искусственным покрытием по месту жительства и в школах, межшкольных стадионов, скейт-парков, велороллерной трассы.</w:t>
      </w:r>
    </w:p>
    <w:p>
      <w:pPr>
        <w:pStyle w:val="0"/>
        <w:jc w:val="both"/>
      </w:pPr>
      <w:r>
        <w:rPr>
          <w:sz w:val="20"/>
        </w:rPr>
      </w:r>
    </w:p>
    <w:p>
      <w:pPr>
        <w:pStyle w:val="2"/>
        <w:outlineLvl w:val="2"/>
        <w:ind w:firstLine="540"/>
        <w:jc w:val="both"/>
      </w:pPr>
      <w:r>
        <w:rPr>
          <w:sz w:val="20"/>
        </w:rPr>
        <w:t xml:space="preserve">9.5. Историко-культурное наследие, развитие туризма</w:t>
      </w:r>
    </w:p>
    <w:p>
      <w:pPr>
        <w:pStyle w:val="0"/>
        <w:jc w:val="both"/>
      </w:pPr>
      <w:r>
        <w:rPr>
          <w:sz w:val="20"/>
        </w:rPr>
      </w:r>
    </w:p>
    <w:p>
      <w:pPr>
        <w:pStyle w:val="0"/>
        <w:ind w:firstLine="540"/>
        <w:jc w:val="both"/>
      </w:pPr>
      <w:r>
        <w:rPr>
          <w:sz w:val="20"/>
        </w:rPr>
        <w:t xml:space="preserve">Задача. Поддержка и развитие сферы культуры.</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Комплексное развитие культурного потенциала региона:</w:t>
      </w:r>
    </w:p>
    <w:p>
      <w:pPr>
        <w:pStyle w:val="0"/>
        <w:spacing w:before="200" w:line-rule="auto"/>
        <w:ind w:firstLine="540"/>
        <w:jc w:val="both"/>
      </w:pPr>
      <w:r>
        <w:rPr>
          <w:sz w:val="20"/>
        </w:rPr>
        <w:t xml:space="preserve">модернизация учреждений культуры и сопутствующей инфраструктуры путем их реконструкции и капитального ремонта;</w:t>
      </w:r>
    </w:p>
    <w:p>
      <w:pPr>
        <w:pStyle w:val="0"/>
        <w:spacing w:before="200" w:line-rule="auto"/>
        <w:ind w:firstLine="540"/>
        <w:jc w:val="both"/>
      </w:pPr>
      <w:r>
        <w:rPr>
          <w:sz w:val="20"/>
        </w:rPr>
        <w:t xml:space="preserve">укрепление материальной базы учреждений культуры, замена имеющихся музыкальных инструментов, свето-, звукотехнического и специального оборудования в муниципальных учреждениях культуры культурно-досугового типа и образовательных организациях сферы культуры и искусства, позволяющих обеспечить проведение мероприятий и учебного процесса на современном уровне, снабжение учреждений культуры специальным автотранспортом;</w:t>
      </w:r>
    </w:p>
    <w:p>
      <w:pPr>
        <w:pStyle w:val="0"/>
        <w:spacing w:before="200" w:line-rule="auto"/>
        <w:ind w:firstLine="540"/>
        <w:jc w:val="both"/>
      </w:pPr>
      <w:r>
        <w:rPr>
          <w:sz w:val="20"/>
        </w:rPr>
        <w:t xml:space="preserve">создание эффективной системы защиты музейных и библиотечных фондов от физического разрушения и криминальных посягательств, в том числе обеспечение монтажа, ремонта и модернизации существующих систем охранно-пожарной сигнализации и установка систем видеонаблюдения для безопасного пребывания посетителей в учреждениях культуры;</w:t>
      </w:r>
    </w:p>
    <w:p>
      <w:pPr>
        <w:pStyle w:val="0"/>
        <w:spacing w:before="200" w:line-rule="auto"/>
        <w:ind w:firstLine="540"/>
        <w:jc w:val="both"/>
      </w:pPr>
      <w:r>
        <w:rPr>
          <w:sz w:val="20"/>
        </w:rPr>
        <w:t xml:space="preserve">оказание поддержки развитию культурной инфраструктуры малых городов и сельских поселений;</w:t>
      </w:r>
    </w:p>
    <w:p>
      <w:pPr>
        <w:pStyle w:val="0"/>
        <w:spacing w:before="200" w:line-rule="auto"/>
        <w:ind w:firstLine="540"/>
        <w:jc w:val="both"/>
      </w:pPr>
      <w:r>
        <w:rPr>
          <w:sz w:val="20"/>
        </w:rPr>
        <w:t xml:space="preserve">сохранение и развитие культурного потенциала и культурного наследия сельских территорий, популяризации сельского образа жизни (клубы и дома культуры в сельской местности);</w:t>
      </w:r>
    </w:p>
    <w:p>
      <w:pPr>
        <w:pStyle w:val="0"/>
        <w:spacing w:before="200" w:line-rule="auto"/>
        <w:ind w:firstLine="540"/>
        <w:jc w:val="both"/>
      </w:pPr>
      <w:r>
        <w:rPr>
          <w:sz w:val="20"/>
        </w:rPr>
        <w:t xml:space="preserve">сохранение и развитие сети общедоступных библиотек как центров оказания современных информационных услуг и проведения культурно-досуговых мероприятий;</w:t>
      </w:r>
    </w:p>
    <w:p>
      <w:pPr>
        <w:pStyle w:val="0"/>
        <w:spacing w:before="200" w:line-rule="auto"/>
        <w:ind w:firstLine="540"/>
        <w:jc w:val="both"/>
      </w:pPr>
      <w:r>
        <w:rPr>
          <w:sz w:val="20"/>
        </w:rPr>
        <w:t xml:space="preserve">создание сети передвижных культурных центров;</w:t>
      </w:r>
    </w:p>
    <w:p>
      <w:pPr>
        <w:pStyle w:val="0"/>
        <w:spacing w:before="200" w:line-rule="auto"/>
        <w:ind w:firstLine="540"/>
        <w:jc w:val="both"/>
      </w:pPr>
      <w:r>
        <w:rPr>
          <w:sz w:val="20"/>
        </w:rPr>
        <w:t xml:space="preserve">создание условий для организации кинопоказа;</w:t>
      </w:r>
    </w:p>
    <w:p>
      <w:pPr>
        <w:pStyle w:val="0"/>
        <w:spacing w:before="200" w:line-rule="auto"/>
        <w:ind w:firstLine="540"/>
        <w:jc w:val="both"/>
      </w:pPr>
      <w:r>
        <w:rPr>
          <w:sz w:val="20"/>
        </w:rPr>
        <w:t xml:space="preserve">сохранение и развитие сети учреждений культуры и образования в сфере культуры;</w:t>
      </w:r>
    </w:p>
    <w:p>
      <w:pPr>
        <w:pStyle w:val="0"/>
        <w:spacing w:before="200" w:line-rule="auto"/>
        <w:ind w:firstLine="540"/>
        <w:jc w:val="both"/>
      </w:pPr>
      <w:r>
        <w:rPr>
          <w:sz w:val="20"/>
        </w:rPr>
        <w:t xml:space="preserve">развитие кадрового потенциала в сфере культуры;</w:t>
      </w:r>
    </w:p>
    <w:p>
      <w:pPr>
        <w:pStyle w:val="0"/>
        <w:spacing w:before="200" w:line-rule="auto"/>
        <w:ind w:firstLine="540"/>
        <w:jc w:val="both"/>
      </w:pPr>
      <w:r>
        <w:rPr>
          <w:sz w:val="20"/>
        </w:rPr>
        <w:t xml:space="preserve">поддержка одаренных детей;</w:t>
      </w:r>
    </w:p>
    <w:p>
      <w:pPr>
        <w:pStyle w:val="0"/>
        <w:spacing w:before="200" w:line-rule="auto"/>
        <w:ind w:firstLine="540"/>
        <w:jc w:val="both"/>
      </w:pPr>
      <w:r>
        <w:rPr>
          <w:sz w:val="20"/>
        </w:rPr>
        <w:t xml:space="preserve">адаптация инфраструктуры культурных учреждений для инвалидов и других маломобильных групп населения;</w:t>
      </w:r>
    </w:p>
    <w:p>
      <w:pPr>
        <w:pStyle w:val="0"/>
        <w:spacing w:before="200" w:line-rule="auto"/>
        <w:ind w:firstLine="540"/>
        <w:jc w:val="both"/>
      </w:pPr>
      <w:r>
        <w:rPr>
          <w:sz w:val="20"/>
        </w:rPr>
        <w:t xml:space="preserve">формирование общественного сознания в духе уважения к культурным и историческим ценностям;</w:t>
      </w:r>
    </w:p>
    <w:p>
      <w:pPr>
        <w:pStyle w:val="0"/>
        <w:spacing w:before="200" w:line-rule="auto"/>
        <w:ind w:firstLine="540"/>
        <w:jc w:val="both"/>
      </w:pPr>
      <w:r>
        <w:rPr>
          <w:sz w:val="20"/>
        </w:rPr>
        <w:t xml:space="preserve">увековечение памяти выдающихся земляков;</w:t>
      </w:r>
    </w:p>
    <w:p>
      <w:pPr>
        <w:pStyle w:val="0"/>
        <w:spacing w:before="200" w:line-rule="auto"/>
        <w:ind w:firstLine="540"/>
        <w:jc w:val="both"/>
      </w:pPr>
      <w:r>
        <w:rPr>
          <w:sz w:val="20"/>
        </w:rPr>
        <w:t xml:space="preserve">осуществление просветительской, патриотической и военно-патриотической работы среди молодежи, в том числе на базе музеев, многофункциональных культурных центров, клубных учреждений, библиотек региона.</w:t>
      </w:r>
    </w:p>
    <w:p>
      <w:pPr>
        <w:pStyle w:val="0"/>
        <w:spacing w:before="200" w:line-rule="auto"/>
        <w:ind w:firstLine="540"/>
        <w:jc w:val="both"/>
      </w:pPr>
      <w:r>
        <w:rPr>
          <w:sz w:val="20"/>
        </w:rPr>
        <w:t xml:space="preserve">2. Внедрение новых информационно-коммуникационных технологий в культурную жизнь населения:</w:t>
      </w:r>
    </w:p>
    <w:p>
      <w:pPr>
        <w:pStyle w:val="0"/>
        <w:spacing w:before="200" w:line-rule="auto"/>
        <w:ind w:firstLine="540"/>
        <w:jc w:val="both"/>
      </w:pPr>
      <w:r>
        <w:rPr>
          <w:sz w:val="20"/>
        </w:rPr>
        <w:t xml:space="preserve">развитие информационных ресурсов учреждений культуры и их интеграция в общероссийские и мировые базы данных;</w:t>
      </w:r>
    </w:p>
    <w:p>
      <w:pPr>
        <w:pStyle w:val="0"/>
        <w:spacing w:before="200" w:line-rule="auto"/>
        <w:ind w:firstLine="540"/>
        <w:jc w:val="both"/>
      </w:pPr>
      <w:r>
        <w:rPr>
          <w:sz w:val="20"/>
        </w:rPr>
        <w:t xml:space="preserve">организация онлайн-трансляций мероприятий, размещаемых на портале "</w:t>
      </w:r>
      <w:r>
        <w:rPr>
          <w:sz w:val="20"/>
        </w:rPr>
        <w:t xml:space="preserve">Культура.РФ</w:t>
      </w:r>
      <w:r>
        <w:rPr>
          <w:sz w:val="20"/>
        </w:rPr>
        <w:t xml:space="preserve">", мультимедиа-гидов по экспозициям и выставочным проектам;</w:t>
      </w:r>
    </w:p>
    <w:p>
      <w:pPr>
        <w:pStyle w:val="0"/>
        <w:spacing w:before="200" w:line-rule="auto"/>
        <w:ind w:firstLine="540"/>
        <w:jc w:val="both"/>
      </w:pPr>
      <w:r>
        <w:rPr>
          <w:sz w:val="20"/>
        </w:rPr>
        <w:t xml:space="preserve">развитие онлайн-продаж и безналичной оплаты в учреждениях культуры;</w:t>
      </w:r>
    </w:p>
    <w:p>
      <w:pPr>
        <w:pStyle w:val="0"/>
        <w:spacing w:before="200" w:line-rule="auto"/>
        <w:ind w:firstLine="540"/>
        <w:jc w:val="both"/>
      </w:pPr>
      <w:r>
        <w:rPr>
          <w:sz w:val="20"/>
        </w:rPr>
        <w:t xml:space="preserve">распространение и популяризация тематических пакетных билетных продуктов;</w:t>
      </w:r>
    </w:p>
    <w:p>
      <w:pPr>
        <w:pStyle w:val="0"/>
        <w:spacing w:before="200" w:line-rule="auto"/>
        <w:ind w:firstLine="540"/>
        <w:jc w:val="both"/>
      </w:pPr>
      <w:r>
        <w:rPr>
          <w:sz w:val="20"/>
        </w:rPr>
        <w:t xml:space="preserve">повышение грамотности в области цифровых технологий, методик продвижения культурных мероприятий и особенностей современной аудитории среди руководителей и сотрудников учреждений культуры области;</w:t>
      </w:r>
    </w:p>
    <w:p>
      <w:pPr>
        <w:pStyle w:val="0"/>
        <w:spacing w:before="200" w:line-rule="auto"/>
        <w:ind w:firstLine="540"/>
        <w:jc w:val="both"/>
      </w:pPr>
      <w:r>
        <w:rPr>
          <w:sz w:val="20"/>
        </w:rPr>
        <w:t xml:space="preserve">создание виртуальных концертных залов в учреждениях культуры и образования в сфере культуры;</w:t>
      </w:r>
    </w:p>
    <w:p>
      <w:pPr>
        <w:pStyle w:val="0"/>
        <w:spacing w:before="200" w:line-rule="auto"/>
        <w:ind w:firstLine="540"/>
        <w:jc w:val="both"/>
      </w:pPr>
      <w:r>
        <w:rPr>
          <w:sz w:val="20"/>
        </w:rPr>
        <w:t xml:space="preserve">разработка и реализация проектов в сфере культуры, направленных на создание условий для сохранения культурного наследия и гармонизации культурной жизни общества, в том числе внедрение перспективных медийных проектов с применением современных информационно-телекоммуникационных технологий.</w:t>
      </w:r>
    </w:p>
    <w:p>
      <w:pPr>
        <w:pStyle w:val="0"/>
        <w:spacing w:before="200" w:line-rule="auto"/>
        <w:ind w:firstLine="540"/>
        <w:jc w:val="both"/>
      </w:pPr>
      <w:r>
        <w:rPr>
          <w:sz w:val="20"/>
        </w:rPr>
        <w:t xml:space="preserve">3. Создание благоприятных условий для доступа населения к информации:</w:t>
      </w:r>
    </w:p>
    <w:p>
      <w:pPr>
        <w:pStyle w:val="0"/>
        <w:spacing w:before="200" w:line-rule="auto"/>
        <w:ind w:firstLine="540"/>
        <w:jc w:val="both"/>
      </w:pPr>
      <w:r>
        <w:rPr>
          <w:sz w:val="20"/>
        </w:rPr>
        <w:t xml:space="preserve">создание регионального цифрового интерактивно-образовательного ресурса "Край родной, навек любимый";</w:t>
      </w:r>
    </w:p>
    <w:p>
      <w:pPr>
        <w:pStyle w:val="0"/>
        <w:spacing w:before="200" w:line-rule="auto"/>
        <w:ind w:firstLine="540"/>
        <w:jc w:val="both"/>
      </w:pPr>
      <w:r>
        <w:rPr>
          <w:sz w:val="20"/>
        </w:rPr>
        <w:t xml:space="preserve">совершенствование библиотечного обслуживания, обеспечение доступа к государственным услугам в электронном виде;</w:t>
      </w:r>
    </w:p>
    <w:p>
      <w:pPr>
        <w:pStyle w:val="0"/>
        <w:spacing w:before="200" w:line-rule="auto"/>
        <w:ind w:firstLine="540"/>
        <w:jc w:val="both"/>
      </w:pPr>
      <w:r>
        <w:rPr>
          <w:sz w:val="20"/>
        </w:rPr>
        <w:t xml:space="preserve">модернизация библиотек, внедрение новых информационно-коммуникационных технологий в деятельность библиотек, формирование единого цифрового библиотечно-информационного пространства;</w:t>
      </w:r>
    </w:p>
    <w:p>
      <w:pPr>
        <w:pStyle w:val="0"/>
        <w:spacing w:before="200" w:line-rule="auto"/>
        <w:ind w:firstLine="540"/>
        <w:jc w:val="both"/>
      </w:pPr>
      <w:r>
        <w:rPr>
          <w:sz w:val="20"/>
        </w:rPr>
        <w:t xml:space="preserve">обеспечение интеграции библиотек в информационные системы регионального и федерального уровней;</w:t>
      </w:r>
    </w:p>
    <w:p>
      <w:pPr>
        <w:pStyle w:val="0"/>
        <w:spacing w:before="200" w:line-rule="auto"/>
        <w:ind w:firstLine="540"/>
        <w:jc w:val="both"/>
      </w:pPr>
      <w:r>
        <w:rPr>
          <w:sz w:val="20"/>
        </w:rPr>
        <w:t xml:space="preserve">повышение доступности культурных услуг для жителей Курской области, в том числе через развитие внестационарных и дистанционных форм культурного обслуживания;</w:t>
      </w:r>
    </w:p>
    <w:p>
      <w:pPr>
        <w:pStyle w:val="0"/>
        <w:spacing w:before="200" w:line-rule="auto"/>
        <w:ind w:firstLine="540"/>
        <w:jc w:val="both"/>
      </w:pPr>
      <w:r>
        <w:rPr>
          <w:sz w:val="20"/>
        </w:rPr>
        <w:t xml:space="preserve">создание инфраструктуры доступа населения к музейным предметам за счет использования интерактивных, мультимедийных, коммуникативных технологий.</w:t>
      </w:r>
    </w:p>
    <w:p>
      <w:pPr>
        <w:pStyle w:val="0"/>
        <w:spacing w:before="200" w:line-rule="auto"/>
        <w:ind w:firstLine="540"/>
        <w:jc w:val="both"/>
      </w:pPr>
      <w:r>
        <w:rPr>
          <w:sz w:val="20"/>
        </w:rPr>
        <w:t xml:space="preserve">4. Укрепление и развитие профессионального искусства:</w:t>
      </w:r>
    </w:p>
    <w:p>
      <w:pPr>
        <w:pStyle w:val="0"/>
        <w:spacing w:before="200" w:line-rule="auto"/>
        <w:ind w:firstLine="540"/>
        <w:jc w:val="both"/>
      </w:pPr>
      <w:r>
        <w:rPr>
          <w:sz w:val="20"/>
        </w:rPr>
        <w:t xml:space="preserve">обеспечение эффективной работы государственных театрально-концертных организаций посредством создания условий для реализации социально значимых проектов (концертных программ, фестивалей, конкурсов) и оказание поддержки мастерам искусств;</w:t>
      </w:r>
    </w:p>
    <w:p>
      <w:pPr>
        <w:pStyle w:val="0"/>
        <w:spacing w:before="200" w:line-rule="auto"/>
        <w:ind w:firstLine="540"/>
        <w:jc w:val="both"/>
      </w:pPr>
      <w:r>
        <w:rPr>
          <w:sz w:val="20"/>
        </w:rPr>
        <w:t xml:space="preserve">обеспечение грантовой поддержки творческих проектов социально ориентированных некоммерческих организаций в сфере культуры;</w:t>
      </w:r>
    </w:p>
    <w:p>
      <w:pPr>
        <w:pStyle w:val="0"/>
        <w:spacing w:before="200" w:line-rule="auto"/>
        <w:ind w:firstLine="540"/>
        <w:jc w:val="both"/>
      </w:pPr>
      <w:r>
        <w:rPr>
          <w:sz w:val="20"/>
        </w:rPr>
        <w:t xml:space="preserve">развитие и совершенствование системы подготовки кадров культуры;</w:t>
      </w:r>
    </w:p>
    <w:p>
      <w:pPr>
        <w:pStyle w:val="0"/>
        <w:spacing w:before="200" w:line-rule="auto"/>
        <w:ind w:firstLine="540"/>
        <w:jc w:val="both"/>
      </w:pPr>
      <w:r>
        <w:rPr>
          <w:sz w:val="20"/>
        </w:rPr>
        <w:t xml:space="preserve">использование возможностей электронных ресурсов сети Интернет как эффективного канала популяризации профессионального искусства и информирования населения о деятельности учреждений культуры.</w:t>
      </w:r>
    </w:p>
    <w:p>
      <w:pPr>
        <w:pStyle w:val="0"/>
        <w:spacing w:before="200" w:line-rule="auto"/>
        <w:ind w:firstLine="540"/>
        <w:jc w:val="both"/>
      </w:pPr>
      <w:r>
        <w:rPr>
          <w:sz w:val="20"/>
        </w:rPr>
        <w:t xml:space="preserve">5. Укрепление духовно-нравственных и культурных ценностей региона:</w:t>
      </w:r>
    </w:p>
    <w:p>
      <w:pPr>
        <w:pStyle w:val="0"/>
        <w:spacing w:before="200" w:line-rule="auto"/>
        <w:ind w:firstLine="540"/>
        <w:jc w:val="both"/>
      </w:pPr>
      <w:r>
        <w:rPr>
          <w:sz w:val="20"/>
        </w:rPr>
        <w:t xml:space="preserve">сохранение и развитие традиционных ремесел и народного художественного творчества;</w:t>
      </w:r>
    </w:p>
    <w:p>
      <w:pPr>
        <w:pStyle w:val="0"/>
        <w:spacing w:before="200" w:line-rule="auto"/>
        <w:ind w:firstLine="540"/>
        <w:jc w:val="both"/>
      </w:pPr>
      <w:r>
        <w:rPr>
          <w:sz w:val="20"/>
        </w:rPr>
        <w:t xml:space="preserve">обеспечение сохранения и развития культурного наследия региона (участие творческих коллективов, исполнителей, художников и народных мастеров в международных и всероссийских мероприятиях);</w:t>
      </w:r>
    </w:p>
    <w:p>
      <w:pPr>
        <w:pStyle w:val="0"/>
        <w:spacing w:before="200" w:line-rule="auto"/>
        <w:ind w:firstLine="540"/>
        <w:jc w:val="both"/>
      </w:pPr>
      <w:r>
        <w:rPr>
          <w:sz w:val="20"/>
        </w:rPr>
        <w:t xml:space="preserve">обеспечение грантовой поддержки наиболее интересных проектов муниципальных образований в сфере сельской культуры, развития любительских творческих коллективов и творческих проектов сохранения и поддержки музыкального искусства в Курской области.</w:t>
      </w:r>
    </w:p>
    <w:p>
      <w:pPr>
        <w:pStyle w:val="0"/>
        <w:spacing w:before="200" w:line-rule="auto"/>
        <w:ind w:firstLine="540"/>
        <w:jc w:val="both"/>
      </w:pPr>
      <w:r>
        <w:rPr>
          <w:sz w:val="20"/>
        </w:rPr>
        <w:t xml:space="preserve">Задача. Поддержка и развитие сферы туризма, сохранение объектов историко-культурного наследия.</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Сохранение культурного наследия, реконструкция и развитие объектов показа, обеспечение надлежащей инфраструктуры и т.д.;</w:t>
      </w:r>
    </w:p>
    <w:p>
      <w:pPr>
        <w:pStyle w:val="0"/>
        <w:spacing w:before="200" w:line-rule="auto"/>
        <w:ind w:firstLine="540"/>
        <w:jc w:val="both"/>
      </w:pPr>
      <w:r>
        <w:rPr>
          <w:sz w:val="20"/>
        </w:rPr>
        <w:t xml:space="preserve">охрана объектов историко-культурного наследия и прилегающих ландшафтов от застройки;</w:t>
      </w:r>
    </w:p>
    <w:p>
      <w:pPr>
        <w:pStyle w:val="0"/>
        <w:spacing w:before="200" w:line-rule="auto"/>
        <w:ind w:firstLine="540"/>
        <w:jc w:val="both"/>
      </w:pPr>
      <w:r>
        <w:rPr>
          <w:sz w:val="20"/>
        </w:rPr>
        <w:t xml:space="preserve">обеспечение публичности любой информации при реализации строительных проектов, проведение региональных референдумов по резонансным вопросам;</w:t>
      </w:r>
    </w:p>
    <w:p>
      <w:pPr>
        <w:pStyle w:val="0"/>
        <w:spacing w:before="200" w:line-rule="auto"/>
        <w:ind w:firstLine="540"/>
        <w:jc w:val="both"/>
      </w:pPr>
      <w:r>
        <w:rPr>
          <w:sz w:val="20"/>
        </w:rPr>
        <w:t xml:space="preserve">сохранение и охрана исторических природных ландшафтов;</w:t>
      </w:r>
    </w:p>
    <w:p>
      <w:pPr>
        <w:pStyle w:val="0"/>
        <w:spacing w:before="200" w:line-rule="auto"/>
        <w:ind w:firstLine="540"/>
        <w:jc w:val="both"/>
      </w:pPr>
      <w:r>
        <w:rPr>
          <w:sz w:val="20"/>
        </w:rPr>
        <w:t xml:space="preserve">возрождение старинных особняков и памятников архитектуры;</w:t>
      </w:r>
    </w:p>
    <w:p>
      <w:pPr>
        <w:pStyle w:val="0"/>
        <w:spacing w:before="200" w:line-rule="auto"/>
        <w:ind w:firstLine="540"/>
        <w:jc w:val="both"/>
      </w:pPr>
      <w:r>
        <w:rPr>
          <w:sz w:val="20"/>
        </w:rPr>
        <w:t xml:space="preserve">формирование приоритетов по реставрации объектов культурного наследия (памятников истории и культуры), улучшению их технического состояния и возвращению в культурный оборот;</w:t>
      </w:r>
    </w:p>
    <w:p>
      <w:pPr>
        <w:pStyle w:val="0"/>
        <w:spacing w:before="200" w:line-rule="auto"/>
        <w:ind w:firstLine="540"/>
        <w:jc w:val="both"/>
      </w:pPr>
      <w:r>
        <w:rPr>
          <w:sz w:val="20"/>
        </w:rPr>
        <w:t xml:space="preserve">реставрация объектов культурного наследия;</w:t>
      </w:r>
    </w:p>
    <w:p>
      <w:pPr>
        <w:pStyle w:val="0"/>
        <w:spacing w:before="200" w:line-rule="auto"/>
        <w:ind w:firstLine="540"/>
        <w:jc w:val="both"/>
      </w:pPr>
      <w:r>
        <w:rPr>
          <w:sz w:val="20"/>
        </w:rPr>
        <w:t xml:space="preserve">проведение постоянного мониторинга состояния объектов культурного наследия, в том числе с привлечением волонтеров;</w:t>
      </w:r>
    </w:p>
    <w:p>
      <w:pPr>
        <w:pStyle w:val="0"/>
        <w:spacing w:before="200" w:line-rule="auto"/>
        <w:ind w:firstLine="540"/>
        <w:jc w:val="both"/>
      </w:pPr>
      <w:r>
        <w:rPr>
          <w:sz w:val="20"/>
        </w:rPr>
        <w:t xml:space="preserve">развитие музеев, посвященных событиям Великой Отечественной войны 1941 - 1945 гг., развитие военно-исторических и тематических музеев (пример: Военно-исторический музей "Юные защитники Родины" в г. Курске и др.);</w:t>
      </w:r>
    </w:p>
    <w:p>
      <w:pPr>
        <w:pStyle w:val="0"/>
        <w:spacing w:before="200" w:line-rule="auto"/>
        <w:ind w:firstLine="540"/>
        <w:jc w:val="both"/>
      </w:pPr>
      <w:r>
        <w:rPr>
          <w:sz w:val="20"/>
        </w:rPr>
        <w:t xml:space="preserve">охрана и реконструкция памятников и мемориальных комплексов, отражающих события Великой Отечественной войны 1941 - 1945 гг.;</w:t>
      </w:r>
    </w:p>
    <w:p>
      <w:pPr>
        <w:pStyle w:val="0"/>
        <w:spacing w:before="200" w:line-rule="auto"/>
        <w:ind w:firstLine="540"/>
        <w:jc w:val="both"/>
      </w:pPr>
      <w:r>
        <w:rPr>
          <w:sz w:val="20"/>
        </w:rPr>
        <w:t xml:space="preserve">развитие краеведческих музеев в муниципальных образованиях Курской области, формирование музеев экологической направленности (музей "Курский соловей" (г. Курск));</w:t>
      </w:r>
    </w:p>
    <w:p>
      <w:pPr>
        <w:pStyle w:val="0"/>
        <w:spacing w:before="200" w:line-rule="auto"/>
        <w:ind w:firstLine="540"/>
        <w:jc w:val="both"/>
      </w:pPr>
      <w:r>
        <w:rPr>
          <w:sz w:val="20"/>
        </w:rPr>
        <w:t xml:space="preserve">развитие и расширение тематических музеев (примеры: музей городского электрического транспорта в г. Курске; музей автомобильного транспорта в г. Курске, пожарно-спасательный музей Курской области (г. Курск);</w:t>
      </w:r>
    </w:p>
    <w:p>
      <w:pPr>
        <w:pStyle w:val="0"/>
        <w:spacing w:before="200" w:line-rule="auto"/>
        <w:ind w:firstLine="540"/>
        <w:jc w:val="both"/>
      </w:pPr>
      <w:r>
        <w:rPr>
          <w:sz w:val="20"/>
        </w:rPr>
        <w:t xml:space="preserve">развитие археологических музеев (Курский государственный областной музей археологии);</w:t>
      </w:r>
    </w:p>
    <w:p>
      <w:pPr>
        <w:pStyle w:val="0"/>
        <w:spacing w:before="200" w:line-rule="auto"/>
        <w:ind w:firstLine="540"/>
        <w:jc w:val="both"/>
      </w:pPr>
      <w:r>
        <w:rPr>
          <w:sz w:val="20"/>
        </w:rPr>
        <w:t xml:space="preserve">поддержка историко-этнографических музеев (Беловский историко-этнографический музей (сл. Белая), Октябрьский историко-этнографический музей (п. Прямицыно);</w:t>
      </w:r>
    </w:p>
    <w:p>
      <w:pPr>
        <w:pStyle w:val="0"/>
        <w:spacing w:before="200" w:line-rule="auto"/>
        <w:ind w:firstLine="540"/>
        <w:jc w:val="both"/>
      </w:pPr>
      <w:r>
        <w:rPr>
          <w:sz w:val="20"/>
        </w:rPr>
        <w:t xml:space="preserve">охрана музеев-усадеб (музей-усадьба А.А. Фета и др.), развитие литературных музеев (литературный музей в г. Курске и др.);</w:t>
      </w:r>
    </w:p>
    <w:p>
      <w:pPr>
        <w:pStyle w:val="0"/>
        <w:spacing w:before="200" w:line-rule="auto"/>
        <w:ind w:firstLine="540"/>
        <w:jc w:val="both"/>
      </w:pPr>
      <w:r>
        <w:rPr>
          <w:sz w:val="20"/>
        </w:rPr>
        <w:t xml:space="preserve">создание музея Казимира Малевича в г. Курске;</w:t>
      </w:r>
    </w:p>
    <w:p>
      <w:pPr>
        <w:pStyle w:val="0"/>
        <w:spacing w:before="200" w:line-rule="auto"/>
        <w:ind w:firstLine="540"/>
        <w:jc w:val="both"/>
      </w:pPr>
      <w:r>
        <w:rPr>
          <w:sz w:val="20"/>
        </w:rPr>
        <w:t xml:space="preserve">создание новой картинной галереи в г. Курске;</w:t>
      </w:r>
    </w:p>
    <w:p>
      <w:pPr>
        <w:pStyle w:val="0"/>
        <w:spacing w:before="200" w:line-rule="auto"/>
        <w:ind w:firstLine="540"/>
        <w:jc w:val="both"/>
      </w:pPr>
      <w:r>
        <w:rPr>
          <w:sz w:val="20"/>
        </w:rPr>
        <w:t xml:space="preserve">обеспечение объектов культурного наследия документацией по государственной охране, в том числе разработка и утверждение проектов зон охраны, что позволит максимально защитить объект от изменения его облика, предмета охраны, территории.</w:t>
      </w:r>
    </w:p>
    <w:p>
      <w:pPr>
        <w:pStyle w:val="0"/>
        <w:spacing w:before="200" w:line-rule="auto"/>
        <w:ind w:firstLine="540"/>
        <w:jc w:val="both"/>
      </w:pPr>
      <w:r>
        <w:rPr>
          <w:sz w:val="20"/>
        </w:rPr>
        <w:t xml:space="preserve">2. Проведение туристического зонирования:</w:t>
      </w:r>
    </w:p>
    <w:p>
      <w:pPr>
        <w:pStyle w:val="0"/>
        <w:spacing w:before="200" w:line-rule="auto"/>
        <w:ind w:firstLine="540"/>
        <w:jc w:val="both"/>
      </w:pPr>
      <w:r>
        <w:rPr>
          <w:sz w:val="20"/>
        </w:rPr>
        <w:t xml:space="preserve">выделение территории с развитой транспортной инфраструктурой, объединяющей туристские потоки по целям: паломнического, патриотического и деловой туризм. Курск - м. Свобода (Коренная Пустынь);</w:t>
      </w:r>
    </w:p>
    <w:p>
      <w:pPr>
        <w:pStyle w:val="0"/>
        <w:spacing w:before="200" w:line-rule="auto"/>
        <w:ind w:firstLine="540"/>
        <w:jc w:val="both"/>
      </w:pPr>
      <w:r>
        <w:rPr>
          <w:sz w:val="20"/>
        </w:rPr>
        <w:t xml:space="preserve">выделение зоны, имеющей преимущественно природно-ландшафтное и историческое значение вдоль реки Сейм (Льговский, Конышевский и Рыльский районы). Историческая ценность отражена в городе-музее под открытым небом в Рыльске, архитектурном ансамбле "Дворец Марьино" и Башне Шамиля, связан с былинами о посещении Рыльска Петром I (дом Петра I сохранился в Рыльске), историей о гетмане Мазепе, сказочной былиной о встрече Ильи Муромца с Соловьем-разбойником и Сказкой про Крошечку-Хаврошечку;</w:t>
      </w:r>
    </w:p>
    <w:p>
      <w:pPr>
        <w:pStyle w:val="0"/>
        <w:spacing w:before="200" w:line-rule="auto"/>
        <w:ind w:firstLine="540"/>
        <w:jc w:val="both"/>
      </w:pPr>
      <w:r>
        <w:rPr>
          <w:sz w:val="20"/>
        </w:rPr>
        <w:t xml:space="preserve">выделение зоны патриотического туризма, расположенной по Северному фасу Курской Дуги в Фатежском и Поныровском районах;</w:t>
      </w:r>
    </w:p>
    <w:p>
      <w:pPr>
        <w:pStyle w:val="0"/>
        <w:spacing w:before="200" w:line-rule="auto"/>
        <w:ind w:firstLine="540"/>
        <w:jc w:val="both"/>
      </w:pPr>
      <w:r>
        <w:rPr>
          <w:sz w:val="20"/>
        </w:rPr>
        <w:t xml:space="preserve">выделение зоны этнокультурного туризма и соответствующей инфраструктуры на базе памятника деревянного зодчества "Водяная мельница" (кон. XIX - нач. XX вв.) в с. Красниково Пристенского района Курской области.</w:t>
      </w:r>
    </w:p>
    <w:p>
      <w:pPr>
        <w:pStyle w:val="0"/>
        <w:spacing w:before="200" w:line-rule="auto"/>
        <w:ind w:firstLine="540"/>
        <w:jc w:val="both"/>
      </w:pPr>
      <w:r>
        <w:rPr>
          <w:sz w:val="20"/>
        </w:rPr>
        <w:t xml:space="preserve">3. Поддержка и продвижение региональных туристических брендов, усиление региональной туристической идентичности:</w:t>
      </w:r>
    </w:p>
    <w:p>
      <w:pPr>
        <w:pStyle w:val="0"/>
        <w:spacing w:before="200" w:line-rule="auto"/>
        <w:ind w:firstLine="540"/>
        <w:jc w:val="both"/>
      </w:pPr>
      <w:r>
        <w:rPr>
          <w:sz w:val="20"/>
        </w:rPr>
        <w:t xml:space="preserve">общий туристический бренд области - "Курская область. Соловьиный край России";</w:t>
      </w:r>
    </w:p>
    <w:p>
      <w:pPr>
        <w:pStyle w:val="0"/>
        <w:spacing w:before="200" w:line-rule="auto"/>
        <w:ind w:firstLine="540"/>
        <w:jc w:val="both"/>
      </w:pPr>
      <w:r>
        <w:rPr>
          <w:sz w:val="20"/>
        </w:rPr>
        <w:t xml:space="preserve">бренд "Курская дуга";</w:t>
      </w:r>
    </w:p>
    <w:p>
      <w:pPr>
        <w:pStyle w:val="0"/>
        <w:spacing w:before="200" w:line-rule="auto"/>
        <w:ind w:firstLine="540"/>
        <w:jc w:val="both"/>
      </w:pPr>
      <w:r>
        <w:rPr>
          <w:sz w:val="20"/>
        </w:rPr>
        <w:t xml:space="preserve">"Курская область - 1000 лет русской истории и культуры";</w:t>
      </w:r>
    </w:p>
    <w:p>
      <w:pPr>
        <w:pStyle w:val="0"/>
        <w:spacing w:before="200" w:line-rule="auto"/>
        <w:ind w:firstLine="540"/>
        <w:jc w:val="both"/>
      </w:pPr>
      <w:r>
        <w:rPr>
          <w:sz w:val="20"/>
        </w:rPr>
        <w:t xml:space="preserve">"Курская антоновка" и "Курский соловей";</w:t>
      </w:r>
    </w:p>
    <w:p>
      <w:pPr>
        <w:pStyle w:val="0"/>
        <w:spacing w:before="200" w:line-rule="auto"/>
        <w:ind w:firstLine="540"/>
        <w:jc w:val="both"/>
      </w:pPr>
      <w:r>
        <w:rPr>
          <w:sz w:val="20"/>
        </w:rPr>
        <w:t xml:space="preserve">Курская магнитная аномалия;</w:t>
      </w:r>
    </w:p>
    <w:p>
      <w:pPr>
        <w:pStyle w:val="0"/>
        <w:spacing w:before="200" w:line-rule="auto"/>
        <w:ind w:firstLine="540"/>
        <w:jc w:val="both"/>
      </w:pPr>
      <w:r>
        <w:rPr>
          <w:sz w:val="20"/>
        </w:rPr>
        <w:t xml:space="preserve">создание имиджевой видеопродукции о достопримечательностях Курской области, размещение ее в сети Интернет, в том числе создание "вирусной" рекламы;</w:t>
      </w:r>
    </w:p>
    <w:p>
      <w:pPr>
        <w:pStyle w:val="0"/>
        <w:spacing w:before="200" w:line-rule="auto"/>
        <w:ind w:firstLine="540"/>
        <w:jc w:val="both"/>
      </w:pPr>
      <w:r>
        <w:rPr>
          <w:sz w:val="20"/>
        </w:rPr>
        <w:t xml:space="preserve">разработка и печать билбордов и постеров о культурном и природном наследии Курской области;</w:t>
      </w:r>
    </w:p>
    <w:p>
      <w:pPr>
        <w:pStyle w:val="0"/>
        <w:spacing w:before="200" w:line-rule="auto"/>
        <w:ind w:firstLine="540"/>
        <w:jc w:val="both"/>
      </w:pPr>
      <w:r>
        <w:rPr>
          <w:sz w:val="20"/>
        </w:rPr>
        <w:t xml:space="preserve">поддержка и совершенствование многоязычного туристского портала, интегрированного с крупнейшими социальными сетями;</w:t>
      </w:r>
    </w:p>
    <w:p>
      <w:pPr>
        <w:pStyle w:val="0"/>
        <w:spacing w:before="200" w:line-rule="auto"/>
        <w:ind w:firstLine="540"/>
        <w:jc w:val="both"/>
      </w:pPr>
      <w:r>
        <w:rPr>
          <w:sz w:val="20"/>
        </w:rPr>
        <w:t xml:space="preserve">поддержка организации и проведения рекламных туров для туроператоров и туристской прессы России и стран ближнего и дальнего зарубежья;</w:t>
      </w:r>
    </w:p>
    <w:p>
      <w:pPr>
        <w:pStyle w:val="0"/>
        <w:spacing w:before="200" w:line-rule="auto"/>
        <w:ind w:firstLine="540"/>
        <w:jc w:val="both"/>
      </w:pPr>
      <w:r>
        <w:rPr>
          <w:sz w:val="20"/>
        </w:rPr>
        <w:t xml:space="preserve">продвижение туристского продукта через сайт gokursk.ru, расширение сети информационного центра, баннеров и автознаков;</w:t>
      </w:r>
    </w:p>
    <w:p>
      <w:pPr>
        <w:pStyle w:val="0"/>
        <w:spacing w:before="200" w:line-rule="auto"/>
        <w:ind w:firstLine="540"/>
        <w:jc w:val="both"/>
      </w:pPr>
      <w:r>
        <w:rPr>
          <w:sz w:val="20"/>
        </w:rPr>
        <w:t xml:space="preserve">участие Курской области в крупных профессиональных выставках, таких как: MITT, MINF, Inturmarket, в региональных выставках ЦФО, СЗФО и ПФО.</w:t>
      </w:r>
    </w:p>
    <w:p>
      <w:pPr>
        <w:pStyle w:val="0"/>
        <w:jc w:val="both"/>
      </w:pPr>
      <w:r>
        <w:rPr>
          <w:sz w:val="20"/>
        </w:rPr>
        <w:t xml:space="preserve">(в ред. </w:t>
      </w:r>
      <w:hyperlink w:history="0" r:id="rId88"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4. Развитие военно-исторического туризма:</w:t>
      </w:r>
    </w:p>
    <w:p>
      <w:pPr>
        <w:pStyle w:val="0"/>
        <w:spacing w:before="200" w:line-rule="auto"/>
        <w:ind w:firstLine="540"/>
        <w:jc w:val="both"/>
      </w:pPr>
      <w:r>
        <w:rPr>
          <w:sz w:val="20"/>
        </w:rPr>
        <w:t xml:space="preserve">продвижение и развитие экскурсионных маршрутов, посвященных событиям Великой Отечественной войны 1941 - 1945 гг. ("Курск - город воинской Славы", "Курская Дуга. Огненные высоты" (по Северному фасу Курской Дуги), "Курская Дуга. Танковое сражение" (по Южному фасу Курской Дуги) и др.).</w:t>
      </w:r>
    </w:p>
    <w:p>
      <w:pPr>
        <w:pStyle w:val="0"/>
        <w:spacing w:before="200" w:line-rule="auto"/>
        <w:ind w:firstLine="540"/>
        <w:jc w:val="both"/>
      </w:pPr>
      <w:r>
        <w:rPr>
          <w:sz w:val="20"/>
        </w:rPr>
        <w:t xml:space="preserve">5. Развитие культурно-познавательного туризма:</w:t>
      </w:r>
    </w:p>
    <w:p>
      <w:pPr>
        <w:pStyle w:val="0"/>
        <w:spacing w:before="200" w:line-rule="auto"/>
        <w:ind w:firstLine="540"/>
        <w:jc w:val="both"/>
      </w:pPr>
      <w:r>
        <w:rPr>
          <w:sz w:val="20"/>
        </w:rPr>
        <w:t xml:space="preserve">включение архитектурных ансамблей в туристический оборот (Дворцово-парковый ансамбль "Марьино" (Рыльский район, с. Ивановское); здание железнодорожного вокзала (г. Курск); торговые ряды купца Филимонова (г. Рыльск); Башня Шамиля (г. Льгов); Дворец для любимой (Кореневский район, с. Сафоновка); Водяная мельница (Пристенский район, с. Красниково); Усадьба Нелидовых (Курский район, деревня Моква 1-я); ГУ Банка России по Курской области (г. Курск);</w:t>
      </w:r>
    </w:p>
    <w:p>
      <w:pPr>
        <w:pStyle w:val="0"/>
        <w:spacing w:before="200" w:line-rule="auto"/>
        <w:ind w:firstLine="540"/>
        <w:jc w:val="both"/>
      </w:pPr>
      <w:r>
        <w:rPr>
          <w:sz w:val="20"/>
        </w:rPr>
        <w:t xml:space="preserve">проведение исторического фестиваля "Древний Курск" как части комплексной программы развития туризма области, создание инфоповода и "прокладка" путей создания одноименного круглогодичного туристического центра.</w:t>
      </w:r>
    </w:p>
    <w:p>
      <w:pPr>
        <w:pStyle w:val="0"/>
        <w:spacing w:before="200" w:line-rule="auto"/>
        <w:ind w:firstLine="540"/>
        <w:jc w:val="both"/>
      </w:pPr>
      <w:r>
        <w:rPr>
          <w:sz w:val="20"/>
        </w:rPr>
        <w:t xml:space="preserve">6. Развитие инфраструктуры для автотуризма:</w:t>
      </w:r>
    </w:p>
    <w:p>
      <w:pPr>
        <w:pStyle w:val="0"/>
        <w:spacing w:before="200" w:line-rule="auto"/>
        <w:ind w:firstLine="540"/>
        <w:jc w:val="both"/>
      </w:pPr>
      <w:r>
        <w:rPr>
          <w:sz w:val="20"/>
        </w:rPr>
        <w:t xml:space="preserve">установка рекламных щитов вдоль федеральных трасс с информацией о достопримечательностях (навигация, вывески с QR-кодами, мобильное приложение о достопримечательностях);</w:t>
      </w:r>
    </w:p>
    <w:p>
      <w:pPr>
        <w:pStyle w:val="0"/>
        <w:spacing w:before="200" w:line-rule="auto"/>
        <w:ind w:firstLine="540"/>
        <w:jc w:val="both"/>
      </w:pPr>
      <w:r>
        <w:rPr>
          <w:sz w:val="20"/>
        </w:rPr>
        <w:t xml:space="preserve">установка знаков туристской навигации и ориентирующей информации к объектам туристского показа и инфраструктуры;</w:t>
      </w:r>
    </w:p>
    <w:p>
      <w:pPr>
        <w:pStyle w:val="0"/>
        <w:spacing w:before="200" w:line-rule="auto"/>
        <w:ind w:firstLine="540"/>
        <w:jc w:val="both"/>
      </w:pPr>
      <w:r>
        <w:rPr>
          <w:sz w:val="20"/>
        </w:rPr>
        <w:t xml:space="preserve">разработка и внедрение мобильного приложения о достопримечательностях Курской области;</w:t>
      </w:r>
    </w:p>
    <w:p>
      <w:pPr>
        <w:pStyle w:val="0"/>
        <w:spacing w:before="200" w:line-rule="auto"/>
        <w:ind w:firstLine="540"/>
        <w:jc w:val="both"/>
      </w:pPr>
      <w:r>
        <w:rPr>
          <w:sz w:val="20"/>
        </w:rPr>
        <w:t xml:space="preserve">расширение сети туристических информационных центров, включая установку информационных терминалов у ключевых объектов показа;</w:t>
      </w:r>
    </w:p>
    <w:p>
      <w:pPr>
        <w:pStyle w:val="0"/>
        <w:spacing w:before="200" w:line-rule="auto"/>
        <w:ind w:firstLine="540"/>
        <w:jc w:val="both"/>
      </w:pPr>
      <w:r>
        <w:rPr>
          <w:sz w:val="20"/>
        </w:rPr>
        <w:t xml:space="preserve">обеспечение доступности автомобильного транспорта, создание остановок, стоянок и разворотных площадок;</w:t>
      </w:r>
    </w:p>
    <w:p>
      <w:pPr>
        <w:pStyle w:val="0"/>
        <w:spacing w:before="200" w:line-rule="auto"/>
        <w:ind w:firstLine="540"/>
        <w:jc w:val="both"/>
      </w:pPr>
      <w:r>
        <w:rPr>
          <w:sz w:val="20"/>
        </w:rPr>
        <w:t xml:space="preserve">развитие придорожной торговли на транзитных маршрутах;</w:t>
      </w:r>
    </w:p>
    <w:p>
      <w:pPr>
        <w:pStyle w:val="0"/>
        <w:spacing w:before="200" w:line-rule="auto"/>
        <w:ind w:firstLine="540"/>
        <w:jc w:val="both"/>
      </w:pPr>
      <w:r>
        <w:rPr>
          <w:sz w:val="20"/>
        </w:rPr>
        <w:t xml:space="preserve">организация пунктов обслуживания туристов вдоль автомобильных трасс (кафе, туалеты, места отдыха).</w:t>
      </w:r>
    </w:p>
    <w:p>
      <w:pPr>
        <w:pStyle w:val="0"/>
        <w:spacing w:before="200" w:line-rule="auto"/>
        <w:ind w:firstLine="540"/>
        <w:jc w:val="both"/>
      </w:pPr>
      <w:r>
        <w:rPr>
          <w:sz w:val="20"/>
        </w:rPr>
        <w:t xml:space="preserve">7. Развитие делового и событийного туризма:</w:t>
      </w:r>
    </w:p>
    <w:p>
      <w:pPr>
        <w:pStyle w:val="0"/>
        <w:spacing w:before="200" w:line-rule="auto"/>
        <w:ind w:firstLine="540"/>
        <w:jc w:val="both"/>
      </w:pPr>
      <w:r>
        <w:rPr>
          <w:sz w:val="20"/>
        </w:rPr>
        <w:t xml:space="preserve">расширение масштаба участников ежегодно проводимых деловых и событийных мероприятий ("Курская Коренская ярмарка"; Среднерусский экономический форум; международный фестиваль авторской песни "Соловьиная трель", международный фестиваль классической музыки "Великие композиторы и выдающиеся исполнители");</w:t>
      </w:r>
    </w:p>
    <w:p>
      <w:pPr>
        <w:pStyle w:val="0"/>
        <w:spacing w:before="200" w:line-rule="auto"/>
        <w:ind w:firstLine="540"/>
        <w:jc w:val="both"/>
      </w:pPr>
      <w:r>
        <w:rPr>
          <w:sz w:val="20"/>
        </w:rPr>
        <w:t xml:space="preserve">развитие уникальных событийных мероприятий, в том числе ориентированных на вовлечение молодежи (молодежный экстрим-фестиваль "БоевкаFest", международный фестиваль юмора "Курская Аномалия" и др.);</w:t>
      </w:r>
    </w:p>
    <w:p>
      <w:pPr>
        <w:pStyle w:val="0"/>
        <w:spacing w:before="200" w:line-rule="auto"/>
        <w:ind w:firstLine="540"/>
        <w:jc w:val="both"/>
      </w:pPr>
      <w:r>
        <w:rPr>
          <w:sz w:val="20"/>
        </w:rPr>
        <w:t xml:space="preserve">активизация участия Курской области в мероприятиях по проведению всероссийских чемпионатов и первенств любого уровня (чемпионат рабочих профессий, игры Юго-западной лиги КВН, международный турнир по хоккею, посвященный Дню России, Всероссийские массовые соревнования "Российский Азимут", Всероссийское традиционное соревнование "Памяти Л.С. Кононова" по картингу и т.д.).</w:t>
      </w:r>
    </w:p>
    <w:p>
      <w:pPr>
        <w:pStyle w:val="0"/>
        <w:spacing w:before="200" w:line-rule="auto"/>
        <w:ind w:firstLine="540"/>
        <w:jc w:val="both"/>
      </w:pPr>
      <w:r>
        <w:rPr>
          <w:sz w:val="20"/>
        </w:rPr>
        <w:t xml:space="preserve">8. Развитие паломнического (религиозного) туризма:</w:t>
      </w:r>
    </w:p>
    <w:p>
      <w:pPr>
        <w:pStyle w:val="0"/>
        <w:spacing w:before="200" w:line-rule="auto"/>
        <w:ind w:firstLine="540"/>
        <w:jc w:val="both"/>
      </w:pPr>
      <w:r>
        <w:rPr>
          <w:sz w:val="20"/>
        </w:rPr>
        <w:t xml:space="preserve">поддержание в надлежащем состоянии действующих храмов и монастырей;</w:t>
      </w:r>
    </w:p>
    <w:p>
      <w:pPr>
        <w:pStyle w:val="0"/>
        <w:spacing w:before="200" w:line-rule="auto"/>
        <w:ind w:firstLine="540"/>
        <w:jc w:val="both"/>
      </w:pPr>
      <w:r>
        <w:rPr>
          <w:sz w:val="20"/>
        </w:rPr>
        <w:t xml:space="preserve">продвижение образа региона как Духовного центра России (мужской монастырь "Коренная пустынь" (Курская Коренная Рождество-Богородичная пустынь (Золотухинский район, м. Свобода);</w:t>
      </w:r>
    </w:p>
    <w:p>
      <w:pPr>
        <w:pStyle w:val="0"/>
        <w:spacing w:before="200" w:line-rule="auto"/>
        <w:ind w:firstLine="540"/>
        <w:jc w:val="both"/>
      </w:pPr>
      <w:r>
        <w:rPr>
          <w:sz w:val="20"/>
        </w:rPr>
        <w:t xml:space="preserve">обеспечение проживания паломников (строительство паломнических гостиниц вблизи монастырей).</w:t>
      </w:r>
    </w:p>
    <w:p>
      <w:pPr>
        <w:pStyle w:val="0"/>
        <w:spacing w:before="200" w:line-rule="auto"/>
        <w:ind w:firstLine="540"/>
        <w:jc w:val="both"/>
      </w:pPr>
      <w:r>
        <w:rPr>
          <w:sz w:val="20"/>
        </w:rPr>
        <w:t xml:space="preserve">9. Развитие экологического туризма:</w:t>
      </w:r>
    </w:p>
    <w:p>
      <w:pPr>
        <w:pStyle w:val="0"/>
        <w:spacing w:before="200" w:line-rule="auto"/>
        <w:ind w:firstLine="540"/>
        <w:jc w:val="both"/>
      </w:pPr>
      <w:r>
        <w:rPr>
          <w:sz w:val="20"/>
        </w:rPr>
        <w:t xml:space="preserve">популяризация туристических маршрутов, включающих посещение Центрально-Черноземного государственного биосферного заповедника им. В.В. Алехина;</w:t>
      </w:r>
    </w:p>
    <w:p>
      <w:pPr>
        <w:pStyle w:val="0"/>
        <w:spacing w:before="200" w:line-rule="auto"/>
        <w:ind w:firstLine="540"/>
        <w:jc w:val="both"/>
      </w:pPr>
      <w:r>
        <w:rPr>
          <w:sz w:val="20"/>
        </w:rPr>
        <w:t xml:space="preserve">включение в туристические маршруты особо охраняемых природных территорий регионального значения (Железногорский дендрологический парк (г. Железногорск); Гладиолусовые луга (Глушковский район);</w:t>
      </w:r>
    </w:p>
    <w:p>
      <w:pPr>
        <w:pStyle w:val="0"/>
        <w:spacing w:before="200" w:line-rule="auto"/>
        <w:ind w:firstLine="540"/>
        <w:jc w:val="both"/>
      </w:pPr>
      <w:r>
        <w:rPr>
          <w:sz w:val="20"/>
        </w:rPr>
        <w:t xml:space="preserve">создание сети обустроенных пешеходных и велосипедных маршрутов с центрами обслуживания туристов;</w:t>
      </w:r>
    </w:p>
    <w:p>
      <w:pPr>
        <w:pStyle w:val="0"/>
        <w:spacing w:before="200" w:line-rule="auto"/>
        <w:ind w:firstLine="540"/>
        <w:jc w:val="both"/>
      </w:pPr>
      <w:r>
        <w:rPr>
          <w:sz w:val="20"/>
        </w:rPr>
        <w:t xml:space="preserve">развитие водного, рыбного и парусного туризма в Курчатовском районе (использование территории незамерзающего водохранилища);</w:t>
      </w:r>
    </w:p>
    <w:p>
      <w:pPr>
        <w:pStyle w:val="0"/>
        <w:spacing w:before="200" w:line-rule="auto"/>
        <w:ind w:firstLine="540"/>
        <w:jc w:val="both"/>
      </w:pPr>
      <w:r>
        <w:rPr>
          <w:sz w:val="20"/>
        </w:rPr>
        <w:t xml:space="preserve">формирование водных маршрутов по реке Сейм от г. Курска до п. Глушково с развитием водной инфраструктуры и туристских станций в Курчатовском, Льговском, Рыльском, Кореневском и Глушковском районах.</w:t>
      </w:r>
    </w:p>
    <w:p>
      <w:pPr>
        <w:pStyle w:val="0"/>
        <w:spacing w:before="200" w:line-rule="auto"/>
        <w:ind w:firstLine="540"/>
        <w:jc w:val="both"/>
      </w:pPr>
      <w:r>
        <w:rPr>
          <w:sz w:val="20"/>
        </w:rPr>
        <w:t xml:space="preserve">10. Развитие сельского туризма:</w:t>
      </w:r>
    </w:p>
    <w:p>
      <w:pPr>
        <w:pStyle w:val="0"/>
        <w:spacing w:before="200" w:line-rule="auto"/>
        <w:ind w:firstLine="540"/>
        <w:jc w:val="both"/>
      </w:pPr>
      <w:r>
        <w:rPr>
          <w:sz w:val="20"/>
        </w:rPr>
        <w:t xml:space="preserve">продвижение Курской области как центра сельского туризма;</w:t>
      </w:r>
    </w:p>
    <w:p>
      <w:pPr>
        <w:pStyle w:val="0"/>
        <w:spacing w:before="200" w:line-rule="auto"/>
        <w:ind w:firstLine="540"/>
        <w:jc w:val="both"/>
      </w:pPr>
      <w:r>
        <w:rPr>
          <w:sz w:val="20"/>
        </w:rPr>
        <w:t xml:space="preserve">развитие сети агроусадеб;</w:t>
      </w:r>
    </w:p>
    <w:p>
      <w:pPr>
        <w:pStyle w:val="0"/>
        <w:spacing w:before="200" w:line-rule="auto"/>
        <w:ind w:firstLine="540"/>
        <w:jc w:val="both"/>
      </w:pPr>
      <w:r>
        <w:rPr>
          <w:sz w:val="20"/>
        </w:rPr>
        <w:t xml:space="preserve">поддержание народных промыслов (гончарный центр Курской области - г. Суджа, родина кожлянской игрушки (кожлянские игрушки-свистульки) - д. Кожля, суджанские ковры и др.), фестиваль "Дни жатвы" - Медвенский район, народное гуляние "Левада" - Большесолдатский район;</w:t>
      </w:r>
    </w:p>
    <w:p>
      <w:pPr>
        <w:pStyle w:val="0"/>
        <w:spacing w:before="200" w:line-rule="auto"/>
        <w:ind w:firstLine="540"/>
        <w:jc w:val="both"/>
      </w:pPr>
      <w:r>
        <w:rPr>
          <w:sz w:val="20"/>
        </w:rPr>
        <w:t xml:space="preserve">продвижение мастер-классов по технологиям производства народных промыслов;</w:t>
      </w:r>
    </w:p>
    <w:p>
      <w:pPr>
        <w:pStyle w:val="0"/>
        <w:spacing w:before="200" w:line-rule="auto"/>
        <w:ind w:firstLine="540"/>
        <w:jc w:val="both"/>
      </w:pPr>
      <w:r>
        <w:rPr>
          <w:sz w:val="20"/>
        </w:rPr>
        <w:t xml:space="preserve">создание сети экскурсионных маршрутов сельского туризма в области;</w:t>
      </w:r>
    </w:p>
    <w:p>
      <w:pPr>
        <w:pStyle w:val="0"/>
        <w:spacing w:before="200" w:line-rule="auto"/>
        <w:ind w:firstLine="540"/>
        <w:jc w:val="both"/>
      </w:pPr>
      <w:r>
        <w:rPr>
          <w:sz w:val="20"/>
        </w:rPr>
        <w:t xml:space="preserve">обеспечение туристов понятными и доступными навигационными средствами и путеводителями.</w:t>
      </w:r>
    </w:p>
    <w:p>
      <w:pPr>
        <w:pStyle w:val="0"/>
        <w:spacing w:before="200" w:line-rule="auto"/>
        <w:ind w:firstLine="540"/>
        <w:jc w:val="both"/>
      </w:pPr>
      <w:r>
        <w:rPr>
          <w:sz w:val="20"/>
        </w:rPr>
        <w:t xml:space="preserve">11. Развитие промышленного туризма:</w:t>
      </w:r>
    </w:p>
    <w:p>
      <w:pPr>
        <w:pStyle w:val="0"/>
        <w:spacing w:before="200" w:line-rule="auto"/>
        <w:ind w:firstLine="540"/>
        <w:jc w:val="both"/>
      </w:pPr>
      <w:r>
        <w:rPr>
          <w:sz w:val="20"/>
        </w:rPr>
        <w:t xml:space="preserve">популяризация объектов показа;</w:t>
      </w:r>
    </w:p>
    <w:p>
      <w:pPr>
        <w:pStyle w:val="0"/>
        <w:spacing w:before="200" w:line-rule="auto"/>
        <w:ind w:firstLine="540"/>
        <w:jc w:val="both"/>
      </w:pPr>
      <w:r>
        <w:rPr>
          <w:sz w:val="20"/>
        </w:rPr>
        <w:t xml:space="preserve">продвижение бренда Курской области - Курская магнитная аномалия - самый крупный в мире железорудный бассейн;</w:t>
      </w:r>
    </w:p>
    <w:p>
      <w:pPr>
        <w:pStyle w:val="0"/>
        <w:spacing w:before="200" w:line-rule="auto"/>
        <w:ind w:firstLine="540"/>
        <w:jc w:val="both"/>
      </w:pPr>
      <w:r>
        <w:rPr>
          <w:sz w:val="20"/>
        </w:rPr>
        <w:t xml:space="preserve">организация посещений музея и смотровой площадки карьера Михайловского горно-обогатительного комбината;</w:t>
      </w:r>
    </w:p>
    <w:p>
      <w:pPr>
        <w:pStyle w:val="0"/>
        <w:spacing w:before="200" w:line-rule="auto"/>
        <w:ind w:firstLine="540"/>
        <w:jc w:val="both"/>
      </w:pPr>
      <w:r>
        <w:rPr>
          <w:sz w:val="20"/>
        </w:rPr>
        <w:t xml:space="preserve">популяризация проведения постоянной выставочной экспозиции, посвященной вопросам атомной энергетики, на примере Курской атомной электростанции;</w:t>
      </w:r>
    </w:p>
    <w:p>
      <w:pPr>
        <w:pStyle w:val="0"/>
        <w:spacing w:before="200" w:line-rule="auto"/>
        <w:ind w:firstLine="540"/>
        <w:jc w:val="both"/>
      </w:pPr>
      <w:r>
        <w:rPr>
          <w:sz w:val="20"/>
        </w:rPr>
        <w:t xml:space="preserve">продвижение сотрудничества с зарубежными регионами, обладающими АЭС.</w:t>
      </w:r>
    </w:p>
    <w:p>
      <w:pPr>
        <w:pStyle w:val="0"/>
        <w:spacing w:before="200" w:line-rule="auto"/>
        <w:ind w:firstLine="540"/>
        <w:jc w:val="both"/>
      </w:pPr>
      <w:r>
        <w:rPr>
          <w:sz w:val="20"/>
        </w:rPr>
        <w:t xml:space="preserve">12. Стимулирование развития медицинского туризма на базе компетенций области, создание кластера медицинских услуг и сопутствующей инфраструктуры.</w:t>
      </w:r>
    </w:p>
    <w:p>
      <w:pPr>
        <w:pStyle w:val="0"/>
        <w:spacing w:before="200" w:line-rule="auto"/>
        <w:ind w:firstLine="540"/>
        <w:jc w:val="both"/>
      </w:pPr>
      <w:r>
        <w:rPr>
          <w:sz w:val="20"/>
        </w:rPr>
        <w:t xml:space="preserve">13. Развитие туристских продуктов выходного дня, привязанных к жителям Москвы и Московской области, а также к транспортным коридорам, связывающим Курскую область с другими регионами.</w:t>
      </w:r>
    </w:p>
    <w:p>
      <w:pPr>
        <w:pStyle w:val="0"/>
        <w:jc w:val="both"/>
      </w:pPr>
      <w:r>
        <w:rPr>
          <w:sz w:val="20"/>
        </w:rPr>
      </w:r>
    </w:p>
    <w:p>
      <w:pPr>
        <w:pStyle w:val="2"/>
        <w:outlineLvl w:val="1"/>
        <w:jc w:val="center"/>
      </w:pPr>
      <w:r>
        <w:rPr>
          <w:sz w:val="20"/>
        </w:rPr>
        <w:t xml:space="preserve">10. Приоритетное направление "Комфортная городская среда"</w:t>
      </w:r>
    </w:p>
    <w:p>
      <w:pPr>
        <w:pStyle w:val="0"/>
        <w:jc w:val="both"/>
      </w:pPr>
      <w:r>
        <w:rPr>
          <w:sz w:val="20"/>
        </w:rPr>
      </w:r>
    </w:p>
    <w:p>
      <w:pPr>
        <w:pStyle w:val="0"/>
        <w:ind w:firstLine="540"/>
        <w:jc w:val="both"/>
      </w:pPr>
      <w:r>
        <w:rPr>
          <w:sz w:val="20"/>
        </w:rPr>
        <w:t xml:space="preserve">Стратегическая цель - формирование комфортной городской среды, направленное на создание условий для полноценного раскрытия человеческого потенциала.</w:t>
      </w:r>
    </w:p>
    <w:p>
      <w:pPr>
        <w:pStyle w:val="0"/>
        <w:spacing w:before="200" w:line-rule="auto"/>
        <w:ind w:firstLine="540"/>
        <w:jc w:val="both"/>
      </w:pPr>
      <w:r>
        <w:rPr>
          <w:sz w:val="20"/>
        </w:rPr>
        <w:t xml:space="preserve">Основные проблемы и ограничения:</w:t>
      </w:r>
    </w:p>
    <w:p>
      <w:pPr>
        <w:pStyle w:val="0"/>
        <w:spacing w:before="200" w:line-rule="auto"/>
        <w:ind w:firstLine="540"/>
        <w:jc w:val="both"/>
      </w:pPr>
      <w:r>
        <w:rPr>
          <w:sz w:val="20"/>
        </w:rPr>
        <w:t xml:space="preserve">недостаточно высокий уровень обеспеченности современной инфраструктурой благоустройства;</w:t>
      </w:r>
    </w:p>
    <w:p>
      <w:pPr>
        <w:pStyle w:val="0"/>
        <w:spacing w:before="200" w:line-rule="auto"/>
        <w:ind w:firstLine="540"/>
        <w:jc w:val="both"/>
      </w:pPr>
      <w:r>
        <w:rPr>
          <w:sz w:val="20"/>
        </w:rPr>
        <w:t xml:space="preserve">несоответствие уровня освещения дворовых и общественных территорий требованиям национальных стандартов;</w:t>
      </w:r>
    </w:p>
    <w:p>
      <w:pPr>
        <w:pStyle w:val="0"/>
        <w:spacing w:before="200" w:line-rule="auto"/>
        <w:ind w:firstLine="540"/>
        <w:jc w:val="both"/>
      </w:pPr>
      <w:r>
        <w:rPr>
          <w:sz w:val="20"/>
        </w:rPr>
        <w:t xml:space="preserve">хаотичная парковка автомобилей в зонах зеленых насаждений, на детских и спортивных площадках и во дворах, препятствующая пешеходному движению;</w:t>
      </w:r>
    </w:p>
    <w:p>
      <w:pPr>
        <w:pStyle w:val="0"/>
        <w:spacing w:before="200" w:line-rule="auto"/>
        <w:ind w:firstLine="540"/>
        <w:jc w:val="both"/>
      </w:pPr>
      <w:r>
        <w:rPr>
          <w:sz w:val="20"/>
        </w:rPr>
        <w:t xml:space="preserve">низкая доля благоустроенных дворовых и общественных территорий от общего числа дворовых и общественных территорий (менее 20%);</w:t>
      </w:r>
    </w:p>
    <w:p>
      <w:pPr>
        <w:pStyle w:val="0"/>
        <w:spacing w:before="200" w:line-rule="auto"/>
        <w:ind w:firstLine="540"/>
        <w:jc w:val="both"/>
      </w:pPr>
      <w:r>
        <w:rPr>
          <w:sz w:val="20"/>
        </w:rPr>
        <w:t xml:space="preserve">наличие визуального мусора (вывески, реклама и др.);</w:t>
      </w:r>
    </w:p>
    <w:p>
      <w:pPr>
        <w:pStyle w:val="0"/>
        <w:spacing w:before="200" w:line-rule="auto"/>
        <w:ind w:firstLine="540"/>
        <w:jc w:val="both"/>
      </w:pPr>
      <w:r>
        <w:rPr>
          <w:sz w:val="20"/>
        </w:rPr>
        <w:t xml:space="preserve">нехватка общественных пространств, центров притяжения молодежи;</w:t>
      </w:r>
    </w:p>
    <w:p>
      <w:pPr>
        <w:pStyle w:val="0"/>
        <w:spacing w:before="200" w:line-rule="auto"/>
        <w:ind w:firstLine="540"/>
        <w:jc w:val="both"/>
      </w:pPr>
      <w:r>
        <w:rPr>
          <w:sz w:val="20"/>
        </w:rPr>
        <w:t xml:space="preserve">недостаточная степень обеспеченности безопасности жизнедеятельности;</w:t>
      </w:r>
    </w:p>
    <w:p>
      <w:pPr>
        <w:pStyle w:val="0"/>
        <w:spacing w:before="200" w:line-rule="auto"/>
        <w:ind w:firstLine="540"/>
        <w:jc w:val="both"/>
      </w:pPr>
      <w:r>
        <w:rPr>
          <w:sz w:val="20"/>
        </w:rPr>
        <w:t xml:space="preserve">использование устаревших и несовершенных подходов к проектированию дорог в городской среде (подземные и надземные пешеходные переходы, отсутствие островков безопасности, скоростные магистрали, отсутствие приоритета для общественного транспорта и пр.);</w:t>
      </w:r>
    </w:p>
    <w:p>
      <w:pPr>
        <w:pStyle w:val="0"/>
        <w:spacing w:before="200" w:line-rule="auto"/>
        <w:ind w:firstLine="540"/>
        <w:jc w:val="both"/>
      </w:pPr>
      <w:r>
        <w:rPr>
          <w:sz w:val="20"/>
        </w:rPr>
        <w:t xml:space="preserve">высокая стоимость обслуживания интересов автомобилистов (например, наличие бесплатных парковок в историческом центре г. Курска, строительство крупных магистралей, расширение проезжей части за счет тротуаров и зеленых насаждений, дворы-парковки и пр.);</w:t>
      </w:r>
    </w:p>
    <w:p>
      <w:pPr>
        <w:pStyle w:val="0"/>
        <w:spacing w:before="200" w:line-rule="auto"/>
        <w:ind w:firstLine="540"/>
        <w:jc w:val="both"/>
      </w:pPr>
      <w:r>
        <w:rPr>
          <w:sz w:val="20"/>
        </w:rPr>
        <w:t xml:space="preserve">неразвитость доступной среды для маломобильных граждан (инвалидов, родителей с колясками) на общественном транспорте;</w:t>
      </w:r>
    </w:p>
    <w:p>
      <w:pPr>
        <w:pStyle w:val="0"/>
        <w:spacing w:before="200" w:line-rule="auto"/>
        <w:ind w:firstLine="540"/>
        <w:jc w:val="both"/>
      </w:pPr>
      <w:r>
        <w:rPr>
          <w:sz w:val="20"/>
        </w:rPr>
        <w:t xml:space="preserve">снижение численности парка автобусов большой вместимости, трамваев и троллейбусов из-за высокой скорости списания подвижного состава по причине его износа;</w:t>
      </w:r>
    </w:p>
    <w:p>
      <w:pPr>
        <w:pStyle w:val="0"/>
        <w:spacing w:before="200" w:line-rule="auto"/>
        <w:ind w:firstLine="540"/>
        <w:jc w:val="both"/>
      </w:pPr>
      <w:r>
        <w:rPr>
          <w:sz w:val="20"/>
        </w:rPr>
        <w:t xml:space="preserve">рост доли личного автотранспорта на душу населения;</w:t>
      </w:r>
    </w:p>
    <w:p>
      <w:pPr>
        <w:pStyle w:val="0"/>
        <w:spacing w:before="200" w:line-rule="auto"/>
        <w:ind w:firstLine="540"/>
        <w:jc w:val="both"/>
      </w:pPr>
      <w:r>
        <w:rPr>
          <w:sz w:val="20"/>
        </w:rPr>
        <w:t xml:space="preserve">ключевая роль автотранспорта как фактора загрязнения окружающей среды (выбросы от передвижных источников).</w:t>
      </w:r>
    </w:p>
    <w:p>
      <w:pPr>
        <w:pStyle w:val="0"/>
        <w:spacing w:before="200" w:line-rule="auto"/>
        <w:ind w:firstLine="540"/>
        <w:jc w:val="both"/>
      </w:pPr>
      <w:r>
        <w:rPr>
          <w:sz w:val="20"/>
        </w:rPr>
        <w:t xml:space="preserve">Общемировые тренды и лучшие практики:</w:t>
      </w:r>
    </w:p>
    <w:p>
      <w:pPr>
        <w:pStyle w:val="0"/>
        <w:spacing w:before="200" w:line-rule="auto"/>
        <w:ind w:firstLine="540"/>
        <w:jc w:val="both"/>
      </w:pPr>
      <w:r>
        <w:rPr>
          <w:sz w:val="20"/>
        </w:rPr>
        <w:t xml:space="preserve">развитие квартальной застройки, пониженная этажность, более высокая плотность застройки;</w:t>
      </w:r>
    </w:p>
    <w:p>
      <w:pPr>
        <w:pStyle w:val="0"/>
        <w:spacing w:before="200" w:line-rule="auto"/>
        <w:ind w:firstLine="540"/>
        <w:jc w:val="both"/>
      </w:pPr>
      <w:r>
        <w:rPr>
          <w:sz w:val="20"/>
        </w:rPr>
        <w:t xml:space="preserve">развитие многофункциональных общественных пространств для жителей всех возрастов;</w:t>
      </w:r>
    </w:p>
    <w:p>
      <w:pPr>
        <w:pStyle w:val="0"/>
        <w:spacing w:before="200" w:line-rule="auto"/>
        <w:ind w:firstLine="540"/>
        <w:jc w:val="both"/>
      </w:pPr>
      <w:r>
        <w:rPr>
          <w:sz w:val="20"/>
        </w:rPr>
        <w:t xml:space="preserve">формирование человекоориентированной городской среды;</w:t>
      </w:r>
    </w:p>
    <w:p>
      <w:pPr>
        <w:pStyle w:val="0"/>
        <w:spacing w:before="200" w:line-rule="auto"/>
        <w:ind w:firstLine="540"/>
        <w:jc w:val="both"/>
      </w:pPr>
      <w:r>
        <w:rPr>
          <w:sz w:val="20"/>
        </w:rPr>
        <w:t xml:space="preserve">активное проведение городских экспериментов по благоустройству городской среды совместно с жителями;</w:t>
      </w:r>
    </w:p>
    <w:p>
      <w:pPr>
        <w:pStyle w:val="0"/>
        <w:spacing w:before="200" w:line-rule="auto"/>
        <w:ind w:firstLine="540"/>
        <w:jc w:val="both"/>
      </w:pPr>
      <w:r>
        <w:rPr>
          <w:sz w:val="20"/>
        </w:rPr>
        <w:t xml:space="preserve">формирование пешеходных территорий и зон, связывание городских центров активности пешеходными маршрутами;</w:t>
      </w:r>
    </w:p>
    <w:p>
      <w:pPr>
        <w:pStyle w:val="0"/>
        <w:spacing w:before="200" w:line-rule="auto"/>
        <w:ind w:firstLine="540"/>
        <w:jc w:val="both"/>
      </w:pPr>
      <w:r>
        <w:rPr>
          <w:sz w:val="20"/>
        </w:rPr>
        <w:t xml:space="preserve">развитие велосипедной инфраструктуры и инфраструктуры для индивидуального электротранспорта;</w:t>
      </w:r>
    </w:p>
    <w:p>
      <w:pPr>
        <w:pStyle w:val="0"/>
        <w:spacing w:before="200" w:line-rule="auto"/>
        <w:ind w:firstLine="540"/>
        <w:jc w:val="both"/>
      </w:pPr>
      <w:r>
        <w:rPr>
          <w:sz w:val="20"/>
        </w:rPr>
        <w:t xml:space="preserve">ренессанс троллейбусного и трамвайного транспорта в городах мира;</w:t>
      </w:r>
    </w:p>
    <w:p>
      <w:pPr>
        <w:pStyle w:val="0"/>
        <w:spacing w:before="200" w:line-rule="auto"/>
        <w:ind w:firstLine="540"/>
        <w:jc w:val="both"/>
      </w:pPr>
      <w:r>
        <w:rPr>
          <w:sz w:val="20"/>
        </w:rPr>
        <w:t xml:space="preserve">формирование высокоскоростного городского транспортного каркаса на основе систем скоростного трамвая, троллейбуса или наземного метро;</w:t>
      </w:r>
    </w:p>
    <w:p>
      <w:pPr>
        <w:pStyle w:val="0"/>
        <w:spacing w:before="200" w:line-rule="auto"/>
        <w:ind w:firstLine="540"/>
        <w:jc w:val="both"/>
      </w:pPr>
      <w:r>
        <w:rPr>
          <w:sz w:val="20"/>
        </w:rPr>
        <w:t xml:space="preserve">реализация подхода транзитно-ориентированного развития вокруг хабов скоростного общественного транспорта;</w:t>
      </w:r>
    </w:p>
    <w:p>
      <w:pPr>
        <w:pStyle w:val="0"/>
        <w:spacing w:before="200" w:line-rule="auto"/>
        <w:ind w:firstLine="540"/>
        <w:jc w:val="both"/>
      </w:pPr>
      <w:r>
        <w:rPr>
          <w:sz w:val="20"/>
        </w:rPr>
        <w:t xml:space="preserve">использование технологий "умного города" для управления транспортными потоками;</w:t>
      </w:r>
    </w:p>
    <w:p>
      <w:pPr>
        <w:pStyle w:val="0"/>
        <w:spacing w:before="200" w:line-rule="auto"/>
        <w:ind w:firstLine="540"/>
        <w:jc w:val="both"/>
      </w:pPr>
      <w:r>
        <w:rPr>
          <w:sz w:val="20"/>
        </w:rPr>
        <w:t xml:space="preserve">популяризация каршеринга;</w:t>
      </w:r>
    </w:p>
    <w:p>
      <w:pPr>
        <w:pStyle w:val="0"/>
        <w:spacing w:before="200" w:line-rule="auto"/>
        <w:ind w:firstLine="540"/>
        <w:jc w:val="both"/>
      </w:pPr>
      <w:r>
        <w:rPr>
          <w:sz w:val="20"/>
        </w:rPr>
        <w:t xml:space="preserve">обеспечение преимущественных прав проезда для экологически чистого транспорта;</w:t>
      </w:r>
    </w:p>
    <w:p>
      <w:pPr>
        <w:pStyle w:val="0"/>
        <w:spacing w:before="200" w:line-rule="auto"/>
        <w:ind w:firstLine="540"/>
        <w:jc w:val="both"/>
      </w:pPr>
      <w:r>
        <w:rPr>
          <w:sz w:val="20"/>
        </w:rPr>
        <w:t xml:space="preserve">развитие системы платных парковок;</w:t>
      </w:r>
    </w:p>
    <w:p>
      <w:pPr>
        <w:pStyle w:val="0"/>
        <w:spacing w:before="200" w:line-rule="auto"/>
        <w:ind w:firstLine="540"/>
        <w:jc w:val="both"/>
      </w:pPr>
      <w:r>
        <w:rPr>
          <w:sz w:val="20"/>
        </w:rPr>
        <w:t xml:space="preserve">развитие системы платных транзитных дорог через городскую территорию.</w:t>
      </w:r>
    </w:p>
    <w:p>
      <w:pPr>
        <w:pStyle w:val="0"/>
        <w:spacing w:before="200" w:line-rule="auto"/>
        <w:ind w:firstLine="540"/>
        <w:jc w:val="both"/>
      </w:pPr>
      <w:r>
        <w:rPr>
          <w:sz w:val="20"/>
        </w:rPr>
        <w:t xml:space="preserve">Результаты "Мастерских проектов" "Народной стратегии" Курской области:</w:t>
      </w:r>
    </w:p>
    <w:p>
      <w:pPr>
        <w:pStyle w:val="0"/>
        <w:spacing w:before="200" w:line-rule="auto"/>
        <w:ind w:firstLine="540"/>
        <w:jc w:val="both"/>
      </w:pPr>
      <w:r>
        <w:rPr>
          <w:sz w:val="20"/>
        </w:rPr>
        <w:t xml:space="preserve">В рамках "Мастерской проектов" "Комфортная городская среда" были разработаны следующие проекты в области городской среды:</w:t>
      </w:r>
    </w:p>
    <w:p>
      <w:pPr>
        <w:pStyle w:val="0"/>
        <w:spacing w:before="200" w:line-rule="auto"/>
        <w:ind w:firstLine="540"/>
        <w:jc w:val="both"/>
      </w:pPr>
      <w:r>
        <w:rPr>
          <w:sz w:val="20"/>
        </w:rPr>
        <w:t xml:space="preserve">"Создание Ресурсного центра (Ассоциации) для развития и совершенствования системы территориального общественного самоуправления Курской области, в том числе МКД";</w:t>
      </w:r>
    </w:p>
    <w:p>
      <w:pPr>
        <w:pStyle w:val="0"/>
        <w:spacing w:before="200" w:line-rule="auto"/>
        <w:ind w:firstLine="540"/>
        <w:jc w:val="both"/>
      </w:pPr>
      <w:r>
        <w:rPr>
          <w:sz w:val="20"/>
        </w:rPr>
        <w:t xml:space="preserve">"Прямое цифровое участие в управлении территорией";</w:t>
      </w:r>
    </w:p>
    <w:p>
      <w:pPr>
        <w:pStyle w:val="0"/>
        <w:spacing w:before="200" w:line-rule="auto"/>
        <w:ind w:firstLine="540"/>
        <w:jc w:val="both"/>
      </w:pPr>
      <w:r>
        <w:rPr>
          <w:sz w:val="20"/>
        </w:rPr>
        <w:t xml:space="preserve">"Программа переподготовки сотрудников ОМСУ "Наставник". Модель шефства "Перемены к лучшему начинаются с меня";</w:t>
      </w:r>
    </w:p>
    <w:p>
      <w:pPr>
        <w:pStyle w:val="0"/>
        <w:spacing w:before="200" w:line-rule="auto"/>
        <w:ind w:firstLine="540"/>
        <w:jc w:val="both"/>
      </w:pPr>
      <w:r>
        <w:rPr>
          <w:sz w:val="20"/>
        </w:rPr>
        <w:t xml:space="preserve">"Универсальная зона семейного отдыха и досуга микрорайона";</w:t>
      </w:r>
    </w:p>
    <w:p>
      <w:pPr>
        <w:pStyle w:val="0"/>
        <w:spacing w:before="200" w:line-rule="auto"/>
        <w:ind w:firstLine="540"/>
        <w:jc w:val="both"/>
      </w:pPr>
      <w:r>
        <w:rPr>
          <w:sz w:val="20"/>
        </w:rPr>
        <w:t xml:space="preserve">"Привлечение людей для самореализации на городских объектах через стрит-арт";</w:t>
      </w:r>
    </w:p>
    <w:p>
      <w:pPr>
        <w:pStyle w:val="0"/>
        <w:spacing w:before="200" w:line-rule="auto"/>
        <w:ind w:firstLine="540"/>
        <w:jc w:val="both"/>
      </w:pPr>
      <w:r>
        <w:rPr>
          <w:sz w:val="20"/>
        </w:rPr>
        <w:t xml:space="preserve">"Дизайн-код городов Курской области";</w:t>
      </w:r>
    </w:p>
    <w:p>
      <w:pPr>
        <w:pStyle w:val="0"/>
        <w:spacing w:before="200" w:line-rule="auto"/>
        <w:ind w:firstLine="540"/>
        <w:jc w:val="both"/>
      </w:pPr>
      <w:r>
        <w:rPr>
          <w:sz w:val="20"/>
        </w:rPr>
        <w:t xml:space="preserve">"Креативный кластер";</w:t>
      </w:r>
    </w:p>
    <w:p>
      <w:pPr>
        <w:pStyle w:val="0"/>
        <w:spacing w:before="200" w:line-rule="auto"/>
        <w:ind w:firstLine="540"/>
        <w:jc w:val="both"/>
      </w:pPr>
      <w:r>
        <w:rPr>
          <w:sz w:val="20"/>
        </w:rPr>
        <w:t xml:space="preserve">"Открытие Дворца семейных торжеств";</w:t>
      </w:r>
    </w:p>
    <w:p>
      <w:pPr>
        <w:pStyle w:val="0"/>
        <w:spacing w:before="200" w:line-rule="auto"/>
        <w:ind w:firstLine="540"/>
        <w:jc w:val="both"/>
      </w:pPr>
      <w:r>
        <w:rPr>
          <w:sz w:val="20"/>
        </w:rPr>
        <w:t xml:space="preserve">"Децентрализация теплоснабжения";</w:t>
      </w:r>
    </w:p>
    <w:p>
      <w:pPr>
        <w:pStyle w:val="0"/>
        <w:spacing w:before="200" w:line-rule="auto"/>
        <w:ind w:firstLine="540"/>
        <w:jc w:val="both"/>
      </w:pPr>
      <w:r>
        <w:rPr>
          <w:sz w:val="20"/>
        </w:rPr>
        <w:t xml:space="preserve">"Молодежный многофункциональный центр "КиберМир";</w:t>
      </w:r>
    </w:p>
    <w:p>
      <w:pPr>
        <w:pStyle w:val="0"/>
        <w:spacing w:before="200" w:line-rule="auto"/>
        <w:ind w:firstLine="540"/>
        <w:jc w:val="both"/>
      </w:pPr>
      <w:r>
        <w:rPr>
          <w:sz w:val="20"/>
        </w:rPr>
        <w:t xml:space="preserve">"Исторический фестиваль "Древний Курск".</w:t>
      </w:r>
    </w:p>
    <w:p>
      <w:pPr>
        <w:pStyle w:val="0"/>
        <w:spacing w:before="200" w:line-rule="auto"/>
        <w:ind w:firstLine="540"/>
        <w:jc w:val="both"/>
      </w:pPr>
      <w:r>
        <w:rPr>
          <w:sz w:val="20"/>
        </w:rPr>
        <w:t xml:space="preserve">Ключевые результаты:</w:t>
      </w:r>
    </w:p>
    <w:p>
      <w:pPr>
        <w:pStyle w:val="0"/>
        <w:spacing w:before="200" w:line-rule="auto"/>
        <w:ind w:firstLine="540"/>
        <w:jc w:val="both"/>
      </w:pPr>
      <w:r>
        <w:rPr>
          <w:sz w:val="20"/>
        </w:rPr>
        <w:t xml:space="preserve">снижение количества погибших в дорожно-транспортных происшествиях в 4 раза по сравнению с 2017 годом;</w:t>
      </w:r>
    </w:p>
    <w:p>
      <w:pPr>
        <w:pStyle w:val="0"/>
        <w:spacing w:before="200" w:line-rule="auto"/>
        <w:ind w:firstLine="540"/>
        <w:jc w:val="both"/>
      </w:pPr>
      <w:r>
        <w:rPr>
          <w:sz w:val="20"/>
        </w:rPr>
        <w:t xml:space="preserve">увеличение объема перевозок пассажиров транспортом общего пользования до 400 млн. чел. в год (в 2017 году - 143,3 млн. чел.);</w:t>
      </w:r>
    </w:p>
    <w:p>
      <w:pPr>
        <w:pStyle w:val="0"/>
        <w:spacing w:before="200" w:line-rule="auto"/>
        <w:ind w:firstLine="540"/>
        <w:jc w:val="both"/>
      </w:pPr>
      <w:r>
        <w:rPr>
          <w:sz w:val="20"/>
        </w:rPr>
        <w:t xml:space="preserve">весь парк подвижного состава автомобильного и городского наземного транспорта общего пользования должен быть оборудован для перевозки маломобильных граждан;</w:t>
      </w:r>
    </w:p>
    <w:p>
      <w:pPr>
        <w:pStyle w:val="0"/>
        <w:spacing w:before="200" w:line-rule="auto"/>
        <w:ind w:firstLine="540"/>
        <w:jc w:val="both"/>
      </w:pPr>
      <w:r>
        <w:rPr>
          <w:sz w:val="20"/>
        </w:rPr>
        <w:t xml:space="preserve">доля благоустроенных дворовых территорий многоквартирных домов от общего количества дворовых территорий - 100%;</w:t>
      </w:r>
    </w:p>
    <w:p>
      <w:pPr>
        <w:pStyle w:val="0"/>
        <w:spacing w:before="200" w:line-rule="auto"/>
        <w:ind w:firstLine="540"/>
        <w:jc w:val="both"/>
      </w:pPr>
      <w:r>
        <w:rPr>
          <w:sz w:val="20"/>
        </w:rPr>
        <w:t xml:space="preserve">доля благоустроенных общественных территорий от общего количества общественных территорий - 100%;</w:t>
      </w:r>
    </w:p>
    <w:p>
      <w:pPr>
        <w:pStyle w:val="0"/>
        <w:spacing w:before="200" w:line-rule="auto"/>
        <w:ind w:firstLine="540"/>
        <w:jc w:val="both"/>
      </w:pPr>
      <w:r>
        <w:rPr>
          <w:sz w:val="20"/>
        </w:rPr>
        <w:t xml:space="preserve">средняя этажность вводимых в эксплуатацию многоквартирных жилых домов в городах Курской области составит не более 9 этажей.</w:t>
      </w:r>
    </w:p>
    <w:p>
      <w:pPr>
        <w:pStyle w:val="0"/>
        <w:spacing w:before="200" w:line-rule="auto"/>
        <w:ind w:firstLine="540"/>
        <w:jc w:val="both"/>
      </w:pPr>
      <w:r>
        <w:rPr>
          <w:sz w:val="20"/>
        </w:rPr>
        <w:t xml:space="preserve">Ключевые результаты "Мастерских проектов":</w:t>
      </w:r>
    </w:p>
    <w:p>
      <w:pPr>
        <w:pStyle w:val="0"/>
        <w:spacing w:before="200" w:line-rule="auto"/>
        <w:ind w:firstLine="540"/>
        <w:jc w:val="both"/>
      </w:pPr>
      <w:r>
        <w:rPr>
          <w:sz w:val="20"/>
        </w:rPr>
        <w:t xml:space="preserve">увеличение доли жителей, принимающих участие в управлении территориями при помощи цифровых технологий, до 60%;</w:t>
      </w:r>
    </w:p>
    <w:p>
      <w:pPr>
        <w:pStyle w:val="0"/>
        <w:spacing w:before="200" w:line-rule="auto"/>
        <w:ind w:firstLine="540"/>
        <w:jc w:val="both"/>
      </w:pPr>
      <w:r>
        <w:rPr>
          <w:sz w:val="20"/>
        </w:rPr>
        <w:t xml:space="preserve">создание городской среды, удовлетворяющей более половины населения.</w:t>
      </w:r>
    </w:p>
    <w:p>
      <w:pPr>
        <w:pStyle w:val="0"/>
        <w:jc w:val="both"/>
      </w:pPr>
      <w:r>
        <w:rPr>
          <w:sz w:val="20"/>
        </w:rPr>
      </w:r>
    </w:p>
    <w:p>
      <w:pPr>
        <w:pStyle w:val="2"/>
        <w:outlineLvl w:val="2"/>
        <w:ind w:firstLine="540"/>
        <w:jc w:val="both"/>
      </w:pPr>
      <w:r>
        <w:rPr>
          <w:sz w:val="20"/>
        </w:rPr>
        <w:t xml:space="preserve">10.1. Общественный транспорт</w:t>
      </w:r>
    </w:p>
    <w:p>
      <w:pPr>
        <w:pStyle w:val="0"/>
        <w:jc w:val="both"/>
      </w:pPr>
      <w:r>
        <w:rPr>
          <w:sz w:val="20"/>
        </w:rPr>
      </w:r>
    </w:p>
    <w:p>
      <w:pPr>
        <w:pStyle w:val="0"/>
        <w:ind w:firstLine="540"/>
        <w:jc w:val="both"/>
      </w:pPr>
      <w:r>
        <w:rPr>
          <w:sz w:val="20"/>
        </w:rPr>
        <w:t xml:space="preserve">Задача. Развитие общественного транспорта как одной из основ устойчивой городской среды, создание комфортных и безопасных условий для передвижения людей в городе и между населенными пунктами.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Создание единого оператора общественного транспорта на территории Курской области, в ведение которого войдут межмуниципальные и городские перевозки.</w:t>
      </w:r>
    </w:p>
    <w:p>
      <w:pPr>
        <w:pStyle w:val="0"/>
        <w:spacing w:before="200" w:line-rule="auto"/>
        <w:ind w:firstLine="540"/>
        <w:jc w:val="both"/>
      </w:pPr>
      <w:r>
        <w:rPr>
          <w:sz w:val="20"/>
        </w:rPr>
        <w:t xml:space="preserve">2. Разработка проекта создания системы скоростного общественного транспорта в Курской агломерации путем создания выделенных полос или обособленных путевых конструкций в рамках существующей улично-дорожной сети.</w:t>
      </w:r>
    </w:p>
    <w:p>
      <w:pPr>
        <w:pStyle w:val="0"/>
        <w:spacing w:before="200" w:line-rule="auto"/>
        <w:ind w:firstLine="540"/>
        <w:jc w:val="both"/>
      </w:pPr>
      <w:r>
        <w:rPr>
          <w:sz w:val="20"/>
        </w:rPr>
        <w:t xml:space="preserve">3. Развитие транспортной инфраструктуры для повышения средней маршрутной скорости общественного транспорта, включая выделенные и обособленные полосы для движения общественного транспорта, внедрение "умных" светофоров, которые позволяют отдавать приоритет проезда общественному транспорту при проезде перекрестков, закупка современных транспортных средств, переход к пересадочной транспортной модели и др.</w:t>
      </w:r>
    </w:p>
    <w:p>
      <w:pPr>
        <w:pStyle w:val="0"/>
        <w:spacing w:before="200" w:line-rule="auto"/>
        <w:ind w:firstLine="540"/>
        <w:jc w:val="both"/>
      </w:pPr>
      <w:r>
        <w:rPr>
          <w:sz w:val="20"/>
        </w:rPr>
        <w:t xml:space="preserve">4. Создание эффективно функционирующего транспортного каркаса Курской агломерации на основе линий скоростного экологически чистого общественного транспорта.</w:t>
      </w:r>
    </w:p>
    <w:p>
      <w:pPr>
        <w:pStyle w:val="0"/>
        <w:spacing w:before="200" w:line-rule="auto"/>
        <w:ind w:firstLine="540"/>
        <w:jc w:val="both"/>
      </w:pPr>
      <w:r>
        <w:rPr>
          <w:sz w:val="20"/>
        </w:rPr>
        <w:t xml:space="preserve">5. Обеспечение доступности регулярным общественным транспортом всех населенных пунктов Курской области.</w:t>
      </w:r>
    </w:p>
    <w:p>
      <w:pPr>
        <w:pStyle w:val="0"/>
        <w:spacing w:before="200" w:line-rule="auto"/>
        <w:ind w:firstLine="540"/>
        <w:jc w:val="both"/>
      </w:pPr>
      <w:r>
        <w:rPr>
          <w:sz w:val="20"/>
        </w:rPr>
        <w:t xml:space="preserve">6. Обеспечение доступности всего подвижного состава для маломобильных групп населения.</w:t>
      </w:r>
    </w:p>
    <w:p>
      <w:pPr>
        <w:pStyle w:val="0"/>
        <w:spacing w:before="200" w:line-rule="auto"/>
        <w:ind w:firstLine="540"/>
        <w:jc w:val="both"/>
      </w:pPr>
      <w:r>
        <w:rPr>
          <w:sz w:val="20"/>
        </w:rPr>
        <w:t xml:space="preserve">7. Реконструкция автовокзала города Курска и опорной сети автостанций области.</w:t>
      </w:r>
    </w:p>
    <w:p>
      <w:pPr>
        <w:pStyle w:val="0"/>
        <w:spacing w:before="200" w:line-rule="auto"/>
        <w:ind w:firstLine="540"/>
        <w:jc w:val="both"/>
      </w:pPr>
      <w:r>
        <w:rPr>
          <w:sz w:val="20"/>
        </w:rPr>
        <w:t xml:space="preserve">8. Поэтапное внедрение цифровых технологий в деятельности общественного транспорта Курской области.</w:t>
      </w:r>
    </w:p>
    <w:p>
      <w:pPr>
        <w:pStyle w:val="0"/>
        <w:spacing w:before="200" w:line-rule="auto"/>
        <w:ind w:firstLine="540"/>
        <w:jc w:val="both"/>
      </w:pPr>
      <w:r>
        <w:rPr>
          <w:sz w:val="20"/>
        </w:rPr>
        <w:t xml:space="preserve">9. Переход к "пересадочной" транспортной модели в Курской агломерации, создание транспортно-пересадочных узлов (ТПУ), создание единой системы оплаты проезда в общественном транспорте на основе единой карты "Тройка-КУРСК".</w:t>
      </w:r>
    </w:p>
    <w:p>
      <w:pPr>
        <w:pStyle w:val="0"/>
        <w:spacing w:before="200" w:line-rule="auto"/>
        <w:ind w:firstLine="540"/>
        <w:jc w:val="both"/>
      </w:pPr>
      <w:r>
        <w:rPr>
          <w:sz w:val="20"/>
        </w:rPr>
        <w:t xml:space="preserve">10. Оптимизация расписания движения общественного транспорта в Курской агломерации (в часы пик и на наиболее загруженных участках - приоритет за вместительным общественным транспортом; в вечерние и ночные часы обеспечивать транспортную доступность районов с низкой плотностью застройки будут маршрутные такси).</w:t>
      </w:r>
    </w:p>
    <w:p>
      <w:pPr>
        <w:pStyle w:val="0"/>
        <w:spacing w:before="200" w:line-rule="auto"/>
        <w:ind w:firstLine="540"/>
        <w:jc w:val="both"/>
      </w:pPr>
      <w:r>
        <w:rPr>
          <w:sz w:val="20"/>
        </w:rPr>
        <w:t xml:space="preserve">11. Обновление инфраструктуры троллейбусного сообщения, обеспечение сохранения действующих троллейбусных линий.</w:t>
      </w:r>
    </w:p>
    <w:p>
      <w:pPr>
        <w:pStyle w:val="0"/>
        <w:spacing w:before="200" w:line-rule="auto"/>
        <w:ind w:firstLine="540"/>
        <w:jc w:val="both"/>
      </w:pPr>
      <w:r>
        <w:rPr>
          <w:sz w:val="20"/>
        </w:rPr>
        <w:t xml:space="preserve">12. Использование подвижного состава большой и особо большой вместимости.</w:t>
      </w:r>
    </w:p>
    <w:p>
      <w:pPr>
        <w:pStyle w:val="0"/>
        <w:spacing w:before="200" w:line-rule="auto"/>
        <w:ind w:firstLine="540"/>
        <w:jc w:val="both"/>
      </w:pPr>
      <w:r>
        <w:rPr>
          <w:sz w:val="20"/>
        </w:rPr>
        <w:t xml:space="preserve">13. Создание автоматизированной системы учета проезда льготных категорий граждан.</w:t>
      </w:r>
    </w:p>
    <w:p>
      <w:pPr>
        <w:pStyle w:val="0"/>
        <w:jc w:val="both"/>
      </w:pPr>
      <w:r>
        <w:rPr>
          <w:sz w:val="20"/>
        </w:rPr>
      </w:r>
    </w:p>
    <w:p>
      <w:pPr>
        <w:pStyle w:val="2"/>
        <w:outlineLvl w:val="2"/>
        <w:ind w:firstLine="540"/>
        <w:jc w:val="both"/>
      </w:pPr>
      <w:r>
        <w:rPr>
          <w:sz w:val="20"/>
        </w:rPr>
        <w:t xml:space="preserve">10.2. Обеспечение безопасности городской инфраструктуры</w:t>
      </w:r>
    </w:p>
    <w:p>
      <w:pPr>
        <w:pStyle w:val="0"/>
        <w:jc w:val="both"/>
      </w:pPr>
      <w:r>
        <w:rPr>
          <w:sz w:val="20"/>
        </w:rPr>
      </w:r>
    </w:p>
    <w:p>
      <w:pPr>
        <w:pStyle w:val="0"/>
        <w:ind w:firstLine="540"/>
        <w:jc w:val="both"/>
      </w:pPr>
      <w:r>
        <w:rPr>
          <w:sz w:val="20"/>
        </w:rPr>
        <w:t xml:space="preserve">Задача. Повышение безопасности городской инфраструктуры. Обеспечение безопасности и повышение уровня качества организации дорожного движения. Внедрение принципов нулевой терпимости к ДТП.</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Внедрение информационных технологий для повышения безопасности жизнедеятельности:</w:t>
      </w:r>
    </w:p>
    <w:p>
      <w:pPr>
        <w:pStyle w:val="0"/>
        <w:spacing w:before="200" w:line-rule="auto"/>
        <w:ind w:firstLine="540"/>
        <w:jc w:val="both"/>
      </w:pPr>
      <w:r>
        <w:rPr>
          <w:sz w:val="20"/>
        </w:rPr>
        <w:t xml:space="preserve">повышение технической оснащенности подразделений правоохранительных органов, органов местного самоуправления современными средствами обеспечения безопасности, мониторинга, связи и оперативного реагирования;</w:t>
      </w:r>
    </w:p>
    <w:p>
      <w:pPr>
        <w:pStyle w:val="0"/>
        <w:spacing w:before="200" w:line-rule="auto"/>
        <w:ind w:firstLine="540"/>
        <w:jc w:val="both"/>
      </w:pPr>
      <w:r>
        <w:rPr>
          <w:sz w:val="20"/>
        </w:rPr>
        <w:t xml:space="preserve">установка систем видеонаблюдения в местах с массовым пребыванием граждан, на социальных объектах (детские сады, школы, учреждения культуры, здравоохранения и пр.) и их объединение в единый ситуационный центр в рамках концепции "умной безопасности".</w:t>
      </w:r>
    </w:p>
    <w:p>
      <w:pPr>
        <w:pStyle w:val="0"/>
        <w:spacing w:before="200" w:line-rule="auto"/>
        <w:ind w:firstLine="540"/>
        <w:jc w:val="both"/>
      </w:pPr>
      <w:r>
        <w:rPr>
          <w:sz w:val="20"/>
        </w:rPr>
        <w:t xml:space="preserve">2. Обеспечение безопасности на транспорте и в городе, внедрение принципов нулевой терпимости к дорожно-транспортным происшествиям:</w:t>
      </w:r>
    </w:p>
    <w:p>
      <w:pPr>
        <w:pStyle w:val="0"/>
        <w:spacing w:before="200" w:line-rule="auto"/>
        <w:ind w:firstLine="540"/>
        <w:jc w:val="both"/>
      </w:pPr>
      <w:r>
        <w:rPr>
          <w:sz w:val="20"/>
        </w:rPr>
        <w:t xml:space="preserve">создание современных наземных пешеходных переходов (подсветка, зебра, удобство пользования для пешеходов и пр.) через автомобильные дороги, в отдельных случаях - возможна установка светофоров;</w:t>
      </w:r>
    </w:p>
    <w:p>
      <w:pPr>
        <w:pStyle w:val="0"/>
        <w:spacing w:before="200" w:line-rule="auto"/>
        <w:ind w:firstLine="540"/>
        <w:jc w:val="both"/>
      </w:pPr>
      <w:r>
        <w:rPr>
          <w:sz w:val="20"/>
        </w:rPr>
        <w:t xml:space="preserve">полный отказ от использования подземных и надземных переходных переходов, строительство современных наземных регулируемых (свыше 2 полос движения автотранспорта) и нерегулируемых пешеходных переходов (2 и менее полос движения автотранспорта в обе стороны);</w:t>
      </w:r>
    </w:p>
    <w:p>
      <w:pPr>
        <w:pStyle w:val="0"/>
        <w:spacing w:before="200" w:line-rule="auto"/>
        <w:ind w:firstLine="540"/>
        <w:jc w:val="both"/>
      </w:pPr>
      <w:r>
        <w:rPr>
          <w:sz w:val="20"/>
        </w:rPr>
        <w:t xml:space="preserve">строительство на автомобильных дорогах, в том числе находящихся в федеральной и региональной собственности, пунктов вызова экстренной помощи, мест для отдыха, смотровых эстакад, туалетов;</w:t>
      </w:r>
    </w:p>
    <w:p>
      <w:pPr>
        <w:pStyle w:val="0"/>
        <w:spacing w:before="200" w:line-rule="auto"/>
        <w:ind w:firstLine="540"/>
        <w:jc w:val="both"/>
      </w:pPr>
      <w:r>
        <w:rPr>
          <w:sz w:val="20"/>
        </w:rPr>
        <w:t xml:space="preserve">увеличение автоматических комплексов фото- и видеофиксации нарушений правил дорожного движения;</w:t>
      </w:r>
    </w:p>
    <w:p>
      <w:pPr>
        <w:pStyle w:val="0"/>
        <w:spacing w:before="200" w:line-rule="auto"/>
        <w:ind w:firstLine="540"/>
        <w:jc w:val="both"/>
      </w:pPr>
      <w:r>
        <w:rPr>
          <w:sz w:val="20"/>
        </w:rPr>
        <w:t xml:space="preserve">содействие внедрению принципов "нулевой терпимости" к ДТП при строительстве и реконструкции автомобильных дорог в поселениях (строительство "островков безопасности" на пешеходных переходах; создание искусственных неровностей, зон успокоения движения и т.д.) в плотной городской застройке (в качестве примера может служить программа "Vision Zero", г. Нью-Йорк, США);</w:t>
      </w:r>
    </w:p>
    <w:p>
      <w:pPr>
        <w:pStyle w:val="0"/>
        <w:spacing w:before="200" w:line-rule="auto"/>
        <w:ind w:firstLine="540"/>
        <w:jc w:val="both"/>
      </w:pPr>
      <w:r>
        <w:rPr>
          <w:sz w:val="20"/>
        </w:rPr>
        <w:t xml:space="preserve">снижение максимальной скорости для движения автотранспорта в пределах населенных пунктов до 50 км в час;</w:t>
      </w:r>
    </w:p>
    <w:p>
      <w:pPr>
        <w:pStyle w:val="0"/>
        <w:spacing w:before="200" w:line-rule="auto"/>
        <w:ind w:firstLine="540"/>
        <w:jc w:val="both"/>
      </w:pPr>
      <w:r>
        <w:rPr>
          <w:sz w:val="20"/>
        </w:rPr>
        <w:t xml:space="preserve">исключение организации карманов на остановках общественного транспорта для увеличения маршрутной скорости;</w:t>
      </w:r>
    </w:p>
    <w:p>
      <w:pPr>
        <w:pStyle w:val="0"/>
        <w:spacing w:before="200" w:line-rule="auto"/>
        <w:ind w:firstLine="540"/>
        <w:jc w:val="both"/>
      </w:pPr>
      <w:r>
        <w:rPr>
          <w:sz w:val="20"/>
        </w:rPr>
        <w:t xml:space="preserve">применение демпфирующих ограждений, в том числе на аварийно опасных участках дорог;</w:t>
      </w:r>
    </w:p>
    <w:p>
      <w:pPr>
        <w:pStyle w:val="0"/>
        <w:spacing w:before="200" w:line-rule="auto"/>
        <w:ind w:firstLine="540"/>
        <w:jc w:val="both"/>
      </w:pPr>
      <w:r>
        <w:rPr>
          <w:sz w:val="20"/>
        </w:rPr>
        <w:t xml:space="preserve">применение мобильных демпфирующих ограждений при проведении дорожных работ;</w:t>
      </w:r>
    </w:p>
    <w:p>
      <w:pPr>
        <w:pStyle w:val="0"/>
        <w:spacing w:before="200" w:line-rule="auto"/>
        <w:ind w:firstLine="540"/>
        <w:jc w:val="both"/>
      </w:pPr>
      <w:r>
        <w:rPr>
          <w:sz w:val="20"/>
        </w:rPr>
        <w:t xml:space="preserve">применение композитных ограждений, не требующих обслуживания, взамен металлических для регулирования движения пешеходов;</w:t>
      </w:r>
    </w:p>
    <w:p>
      <w:pPr>
        <w:pStyle w:val="0"/>
        <w:spacing w:before="200" w:line-rule="auto"/>
        <w:ind w:firstLine="540"/>
        <w:jc w:val="both"/>
      </w:pPr>
      <w:r>
        <w:rPr>
          <w:sz w:val="20"/>
        </w:rPr>
        <w:t xml:space="preserve">благоустройство подземных и надземных пешеходных переходов и обеспечение их доступности для маломобильных групп граждан и лиц с ограниченными физическими возможностями;</w:t>
      </w:r>
    </w:p>
    <w:p>
      <w:pPr>
        <w:pStyle w:val="0"/>
        <w:spacing w:before="200" w:line-rule="auto"/>
        <w:ind w:firstLine="540"/>
        <w:jc w:val="both"/>
      </w:pPr>
      <w:r>
        <w:rPr>
          <w:sz w:val="20"/>
        </w:rPr>
        <w:t xml:space="preserve">обеспечение 100-процентной освещенности участков дорог, проходящих по населенным пунктам, а также 100-процентной освещенности пешеходных переходов вне населенных пунктов;</w:t>
      </w:r>
    </w:p>
    <w:p>
      <w:pPr>
        <w:pStyle w:val="0"/>
        <w:spacing w:before="200" w:line-rule="auto"/>
        <w:ind w:firstLine="540"/>
        <w:jc w:val="both"/>
      </w:pPr>
      <w:r>
        <w:rPr>
          <w:sz w:val="20"/>
        </w:rPr>
        <w:t xml:space="preserve">обеспечение наличия тротуаров на участках дорог, проходящих через населенные пункты.</w:t>
      </w:r>
    </w:p>
    <w:p>
      <w:pPr>
        <w:pStyle w:val="0"/>
        <w:spacing w:before="200" w:line-rule="auto"/>
        <w:ind w:firstLine="540"/>
        <w:jc w:val="both"/>
      </w:pPr>
      <w:r>
        <w:rPr>
          <w:sz w:val="20"/>
        </w:rPr>
        <w:t xml:space="preserve">3. Обеспечение безопасности и повышение уровня качества организации дорожного движения:</w:t>
      </w:r>
    </w:p>
    <w:p>
      <w:pPr>
        <w:pStyle w:val="0"/>
        <w:spacing w:before="200" w:line-rule="auto"/>
        <w:ind w:firstLine="540"/>
        <w:jc w:val="both"/>
      </w:pPr>
      <w:r>
        <w:rPr>
          <w:sz w:val="20"/>
        </w:rPr>
        <w:t xml:space="preserve">развитие безопасной транспортной инфраструктуры, в том числе современных и эффективных способов повышения качества и долговечности дорожного покрытия и уровня обеспеченности автомобильных дорог общего пользования линиями наружного освещения;</w:t>
      </w:r>
    </w:p>
    <w:p>
      <w:pPr>
        <w:pStyle w:val="0"/>
        <w:spacing w:before="200" w:line-rule="auto"/>
        <w:ind w:firstLine="540"/>
        <w:jc w:val="both"/>
      </w:pPr>
      <w:r>
        <w:rPr>
          <w:sz w:val="20"/>
        </w:rPr>
        <w:t xml:space="preserve">ликвидация мест концентрации ДТП, в том числе внедрение новых технических требований и стандартов обустройства автомобильных дорог (в том числе с применением цифровых технологий);</w:t>
      </w:r>
    </w:p>
    <w:p>
      <w:pPr>
        <w:pStyle w:val="0"/>
        <w:spacing w:before="200" w:line-rule="auto"/>
        <w:ind w:firstLine="540"/>
        <w:jc w:val="both"/>
      </w:pPr>
      <w:r>
        <w:rPr>
          <w:sz w:val="20"/>
        </w:rPr>
        <w:t xml:space="preserve">системное повышение безопасности и эффективности использования дорог Курской области (создание рабочих групп для оперативного, планового и стратегического принятия решения по БАКД: рабочая группа оперативного реагирования на ДТП с тяжелыми последствиями с целью немедленного выявления и устранения возможных причин аварии на данном участке; рабочая группа по плановой работе с ликвидацией очагов аварийности; рабочая группа по плановой работе с проблемными участками дорог);</w:t>
      </w:r>
    </w:p>
    <w:p>
      <w:pPr>
        <w:pStyle w:val="0"/>
        <w:spacing w:before="200" w:line-rule="auto"/>
        <w:ind w:firstLine="540"/>
        <w:jc w:val="both"/>
      </w:pPr>
      <w:r>
        <w:rPr>
          <w:sz w:val="20"/>
        </w:rPr>
        <w:t xml:space="preserve">внедрение автоматизированных и роботизированных систем управления дорожным движением, а также инструментов контроля за соблюдением ПДД;</w:t>
      </w:r>
    </w:p>
    <w:p>
      <w:pPr>
        <w:pStyle w:val="0"/>
        <w:spacing w:before="200" w:line-rule="auto"/>
        <w:ind w:firstLine="540"/>
        <w:jc w:val="both"/>
      </w:pPr>
      <w:r>
        <w:rPr>
          <w:sz w:val="20"/>
        </w:rPr>
        <w:t xml:space="preserve">приоритетное обеспечение безопасности движения пешеходов, в том числе с помощью оборудования пешеходных переходов дополнительными сигналами привлечения внимания водителей, совершенствование регулирования скорости движения транспорта за счет внедрения специальной дорожной инфраструктуры;</w:t>
      </w:r>
    </w:p>
    <w:p>
      <w:pPr>
        <w:pStyle w:val="0"/>
        <w:spacing w:before="200" w:line-rule="auto"/>
        <w:ind w:firstLine="540"/>
        <w:jc w:val="both"/>
      </w:pPr>
      <w:r>
        <w:rPr>
          <w:sz w:val="20"/>
        </w:rPr>
        <w:t xml:space="preserve">совершенствование обустройства дорог и мостовых переходов современными типами барьерных ограждений и пешеходными переходами в разных уровнях с проезжей частью улицы или дороги;</w:t>
      </w:r>
    </w:p>
    <w:p>
      <w:pPr>
        <w:pStyle w:val="0"/>
        <w:spacing w:before="200" w:line-rule="auto"/>
        <w:ind w:firstLine="540"/>
        <w:jc w:val="both"/>
      </w:pPr>
      <w:r>
        <w:rPr>
          <w:sz w:val="20"/>
        </w:rPr>
        <w:t xml:space="preserve">обеспечение оперативного вызова экстренных оперативных служб по единому номеру "112" при возникновении экстренной ситуации на территории области.</w:t>
      </w:r>
    </w:p>
    <w:p>
      <w:pPr>
        <w:pStyle w:val="0"/>
        <w:jc w:val="both"/>
      </w:pPr>
      <w:r>
        <w:rPr>
          <w:sz w:val="20"/>
        </w:rPr>
      </w:r>
    </w:p>
    <w:p>
      <w:pPr>
        <w:pStyle w:val="2"/>
        <w:outlineLvl w:val="2"/>
        <w:ind w:firstLine="540"/>
        <w:jc w:val="both"/>
      </w:pPr>
      <w:r>
        <w:rPr>
          <w:sz w:val="20"/>
        </w:rPr>
        <w:t xml:space="preserve">10.3. Развитие городских территорий</w:t>
      </w:r>
    </w:p>
    <w:p>
      <w:pPr>
        <w:pStyle w:val="0"/>
        <w:jc w:val="both"/>
      </w:pPr>
      <w:r>
        <w:rPr>
          <w:sz w:val="20"/>
        </w:rPr>
      </w:r>
    </w:p>
    <w:p>
      <w:pPr>
        <w:pStyle w:val="0"/>
        <w:ind w:firstLine="540"/>
        <w:jc w:val="both"/>
      </w:pPr>
      <w:r>
        <w:rPr>
          <w:sz w:val="20"/>
        </w:rPr>
        <w:t xml:space="preserve">Задача. Формирование гуманистической человекоориентированной городской среды посредством реализации современной градостроительной политики в Курской области.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Реализация комплексного регулируемого подхода к застройке:</w:t>
      </w:r>
    </w:p>
    <w:p>
      <w:pPr>
        <w:pStyle w:val="0"/>
        <w:spacing w:before="200" w:line-rule="auto"/>
        <w:ind w:firstLine="540"/>
        <w:jc w:val="both"/>
      </w:pPr>
      <w:r>
        <w:rPr>
          <w:sz w:val="20"/>
        </w:rPr>
        <w:t xml:space="preserve">ликвидация проектов, связанных с точечной и хаотичной застройкой;</w:t>
      </w:r>
    </w:p>
    <w:p>
      <w:pPr>
        <w:pStyle w:val="0"/>
        <w:spacing w:before="200" w:line-rule="auto"/>
        <w:ind w:firstLine="540"/>
        <w:jc w:val="both"/>
      </w:pPr>
      <w:r>
        <w:rPr>
          <w:sz w:val="20"/>
        </w:rPr>
        <w:t xml:space="preserve">стимулирование строительства малоэтажных и среднеэтажных зданий в Курской области;</w:t>
      </w:r>
    </w:p>
    <w:p>
      <w:pPr>
        <w:pStyle w:val="0"/>
        <w:spacing w:before="200" w:line-rule="auto"/>
        <w:ind w:firstLine="540"/>
        <w:jc w:val="both"/>
      </w:pPr>
      <w:r>
        <w:rPr>
          <w:sz w:val="20"/>
        </w:rPr>
        <w:t xml:space="preserve">снижение высотности нового строительства и развитие квартальной застройки;</w:t>
      </w:r>
    </w:p>
    <w:p>
      <w:pPr>
        <w:pStyle w:val="0"/>
        <w:spacing w:before="200" w:line-rule="auto"/>
        <w:ind w:firstLine="540"/>
        <w:jc w:val="both"/>
      </w:pPr>
      <w:r>
        <w:rPr>
          <w:sz w:val="20"/>
        </w:rPr>
        <w:t xml:space="preserve">разработка пилотных проектов реновации и рекультивации промышленных зон.</w:t>
      </w:r>
    </w:p>
    <w:p>
      <w:pPr>
        <w:pStyle w:val="0"/>
        <w:spacing w:before="200" w:line-rule="auto"/>
        <w:ind w:firstLine="540"/>
        <w:jc w:val="both"/>
      </w:pPr>
      <w:r>
        <w:rPr>
          <w:sz w:val="20"/>
        </w:rPr>
        <w:t xml:space="preserve">2. Внедрение концепции "пешеходного города":</w:t>
      </w:r>
    </w:p>
    <w:p>
      <w:pPr>
        <w:pStyle w:val="0"/>
        <w:spacing w:before="200" w:line-rule="auto"/>
        <w:ind w:firstLine="540"/>
        <w:jc w:val="both"/>
      </w:pPr>
      <w:r>
        <w:rPr>
          <w:sz w:val="20"/>
        </w:rPr>
        <w:t xml:space="preserve">ограничение реализации проектов, связанных с расширением существующей дорожной сети за счет зеленых насаждений и тротуаров, строительства многоуровневых эстакад в жилых районах, строительства подземных и надземных пешеходных переходов в жилых районах;</w:t>
      </w:r>
    </w:p>
    <w:p>
      <w:pPr>
        <w:pStyle w:val="0"/>
        <w:spacing w:before="200" w:line-rule="auto"/>
        <w:ind w:firstLine="540"/>
        <w:jc w:val="both"/>
      </w:pPr>
      <w:r>
        <w:rPr>
          <w:sz w:val="20"/>
        </w:rPr>
        <w:t xml:space="preserve">переход к концепции "здоровых улиц" (лучшая практика - транспортная стратегия Лондона).</w:t>
      </w:r>
    </w:p>
    <w:p>
      <w:pPr>
        <w:pStyle w:val="0"/>
        <w:spacing w:before="200" w:line-rule="auto"/>
        <w:ind w:firstLine="540"/>
        <w:jc w:val="both"/>
      </w:pPr>
      <w:r>
        <w:rPr>
          <w:sz w:val="20"/>
        </w:rPr>
        <w:t xml:space="preserve">3. Создание новых общественных и креативных пространств:</w:t>
      </w:r>
    </w:p>
    <w:p>
      <w:pPr>
        <w:pStyle w:val="0"/>
        <w:spacing w:before="200" w:line-rule="auto"/>
        <w:ind w:firstLine="540"/>
        <w:jc w:val="both"/>
      </w:pPr>
      <w:r>
        <w:rPr>
          <w:sz w:val="20"/>
        </w:rPr>
        <w:t xml:space="preserve">обеспечение сохранности зеленых территорий как общественных пространств и мест отдыха;</w:t>
      </w:r>
    </w:p>
    <w:p>
      <w:pPr>
        <w:pStyle w:val="0"/>
        <w:spacing w:before="200" w:line-rule="auto"/>
        <w:ind w:firstLine="540"/>
        <w:jc w:val="both"/>
      </w:pPr>
      <w:r>
        <w:rPr>
          <w:sz w:val="20"/>
        </w:rPr>
        <w:t xml:space="preserve">создание типовой зоны для семейного отдыха и досуга на территории лесного массива микрорайона (на примере Северо-Западного и Юго-Западного микрорайонов города Курска / пересечение улиц проспект В. Клыкова - Майский бульвар);</w:t>
      </w:r>
    </w:p>
    <w:p>
      <w:pPr>
        <w:pStyle w:val="0"/>
        <w:spacing w:before="200" w:line-rule="auto"/>
        <w:ind w:firstLine="540"/>
        <w:jc w:val="both"/>
      </w:pPr>
      <w:r>
        <w:rPr>
          <w:sz w:val="20"/>
        </w:rPr>
        <w:t xml:space="preserve">создание современных беговых дорожек и велодорожек;</w:t>
      </w:r>
    </w:p>
    <w:p>
      <w:pPr>
        <w:pStyle w:val="0"/>
        <w:spacing w:before="200" w:line-rule="auto"/>
        <w:ind w:firstLine="540"/>
        <w:jc w:val="both"/>
      </w:pPr>
      <w:r>
        <w:rPr>
          <w:sz w:val="20"/>
        </w:rPr>
        <w:t xml:space="preserve">создание "центров притяжения" в каждом микрорайоне (спортивные площадки, зоны для прогулок и т.д.);</w:t>
      </w:r>
    </w:p>
    <w:p>
      <w:pPr>
        <w:pStyle w:val="0"/>
        <w:spacing w:before="200" w:line-rule="auto"/>
        <w:ind w:firstLine="540"/>
        <w:jc w:val="both"/>
      </w:pPr>
      <w:r>
        <w:rPr>
          <w:sz w:val="20"/>
        </w:rPr>
        <w:t xml:space="preserve">создание креативных пространств с мастерскими, зонами коворкинга, помещениями для выставок и фестивалей;</w:t>
      </w:r>
    </w:p>
    <w:p>
      <w:pPr>
        <w:pStyle w:val="0"/>
        <w:spacing w:before="200" w:line-rule="auto"/>
        <w:ind w:firstLine="540"/>
        <w:jc w:val="both"/>
      </w:pPr>
      <w:r>
        <w:rPr>
          <w:sz w:val="20"/>
        </w:rPr>
        <w:t xml:space="preserve">реализация проектов стрит-арта в городах;</w:t>
      </w:r>
    </w:p>
    <w:p>
      <w:pPr>
        <w:pStyle w:val="0"/>
        <w:spacing w:before="200" w:line-rule="auto"/>
        <w:ind w:firstLine="540"/>
        <w:jc w:val="both"/>
      </w:pPr>
      <w:r>
        <w:rPr>
          <w:sz w:val="20"/>
        </w:rPr>
        <w:t xml:space="preserve">обеспечение участия лучших архитектурных школ и специалистов России, а также самих горожан в разработке проектов новых общественных пространств.</w:t>
      </w:r>
    </w:p>
    <w:p>
      <w:pPr>
        <w:pStyle w:val="0"/>
        <w:spacing w:before="200" w:line-rule="auto"/>
        <w:ind w:firstLine="540"/>
        <w:jc w:val="both"/>
      </w:pPr>
      <w:r>
        <w:rPr>
          <w:sz w:val="20"/>
        </w:rPr>
        <w:t xml:space="preserve">4. Создание комфортной, удобной и современной среды для маломобильных групп граждан, а также для материнства и детства:</w:t>
      </w:r>
    </w:p>
    <w:p>
      <w:pPr>
        <w:pStyle w:val="0"/>
        <w:spacing w:before="200" w:line-rule="auto"/>
        <w:ind w:firstLine="540"/>
        <w:jc w:val="both"/>
      </w:pPr>
      <w:r>
        <w:rPr>
          <w:sz w:val="20"/>
        </w:rPr>
        <w:t xml:space="preserve">создание безбарьерной городской среды;</w:t>
      </w:r>
    </w:p>
    <w:p>
      <w:pPr>
        <w:pStyle w:val="0"/>
        <w:spacing w:before="200" w:line-rule="auto"/>
        <w:ind w:firstLine="540"/>
        <w:jc w:val="both"/>
      </w:pPr>
      <w:r>
        <w:rPr>
          <w:sz w:val="20"/>
        </w:rPr>
        <w:t xml:space="preserve">оказание поддержки муниципальных образований при закупке низкопольных транспортных средств.</w:t>
      </w:r>
    </w:p>
    <w:p>
      <w:pPr>
        <w:pStyle w:val="0"/>
        <w:spacing w:before="200" w:line-rule="auto"/>
        <w:ind w:firstLine="540"/>
        <w:jc w:val="both"/>
      </w:pPr>
      <w:r>
        <w:rPr>
          <w:sz w:val="20"/>
        </w:rPr>
        <w:t xml:space="preserve">5. Разработка комплексных проектов для развития исторических центров городов:</w:t>
      </w:r>
    </w:p>
    <w:p>
      <w:pPr>
        <w:pStyle w:val="0"/>
        <w:spacing w:before="200" w:line-rule="auto"/>
        <w:ind w:firstLine="540"/>
        <w:jc w:val="both"/>
      </w:pPr>
      <w:r>
        <w:rPr>
          <w:sz w:val="20"/>
        </w:rPr>
        <w:t xml:space="preserve">сохранение исторической преемственности архитектурного стиля;</w:t>
      </w:r>
    </w:p>
    <w:p>
      <w:pPr>
        <w:pStyle w:val="0"/>
        <w:spacing w:before="200" w:line-rule="auto"/>
        <w:ind w:firstLine="540"/>
        <w:jc w:val="both"/>
      </w:pPr>
      <w:r>
        <w:rPr>
          <w:sz w:val="20"/>
        </w:rPr>
        <w:t xml:space="preserve">развитие пешеходных пространств;</w:t>
      </w:r>
    </w:p>
    <w:p>
      <w:pPr>
        <w:pStyle w:val="0"/>
        <w:spacing w:before="200" w:line-rule="auto"/>
        <w:ind w:firstLine="540"/>
        <w:jc w:val="both"/>
      </w:pPr>
      <w:r>
        <w:rPr>
          <w:sz w:val="20"/>
        </w:rPr>
        <w:t xml:space="preserve">сохранение объектов культурного наследия;</w:t>
      </w:r>
    </w:p>
    <w:p>
      <w:pPr>
        <w:pStyle w:val="0"/>
        <w:spacing w:before="200" w:line-rule="auto"/>
        <w:ind w:firstLine="540"/>
        <w:jc w:val="both"/>
      </w:pPr>
      <w:r>
        <w:rPr>
          <w:sz w:val="20"/>
        </w:rPr>
        <w:t xml:space="preserve">создание историко-рекреационного комплекса "Древний Курск";</w:t>
      </w:r>
    </w:p>
    <w:p>
      <w:pPr>
        <w:pStyle w:val="0"/>
        <w:spacing w:before="200" w:line-rule="auto"/>
        <w:ind w:firstLine="540"/>
        <w:jc w:val="both"/>
      </w:pPr>
      <w:r>
        <w:rPr>
          <w:sz w:val="20"/>
        </w:rPr>
        <w:t xml:space="preserve">развитие внутригородских туристических маршрутов.</w:t>
      </w:r>
    </w:p>
    <w:p>
      <w:pPr>
        <w:pStyle w:val="0"/>
        <w:spacing w:before="200" w:line-rule="auto"/>
        <w:ind w:firstLine="540"/>
        <w:jc w:val="both"/>
      </w:pPr>
      <w:r>
        <w:rPr>
          <w:sz w:val="20"/>
        </w:rPr>
        <w:t xml:space="preserve">6. Внедрение цифровых технологий в управлении городской средой и инфраструктуры "умных городов".</w:t>
      </w:r>
    </w:p>
    <w:p>
      <w:pPr>
        <w:pStyle w:val="0"/>
        <w:spacing w:before="200" w:line-rule="auto"/>
        <w:ind w:firstLine="540"/>
        <w:jc w:val="both"/>
      </w:pPr>
      <w:r>
        <w:rPr>
          <w:sz w:val="20"/>
        </w:rPr>
        <w:t xml:space="preserve">7. Реализация концепции транзитно-ориентированного проектирования, создание многофункциональных территорий возле хабов общественного транспорта:</w:t>
      </w:r>
    </w:p>
    <w:p>
      <w:pPr>
        <w:pStyle w:val="0"/>
        <w:spacing w:before="200" w:line-rule="auto"/>
        <w:ind w:firstLine="540"/>
        <w:jc w:val="both"/>
      </w:pPr>
      <w:r>
        <w:rPr>
          <w:sz w:val="20"/>
        </w:rPr>
        <w:t xml:space="preserve">стимулирование создания многофункциональных территорий, совмещающих жилье и рабочие места, в пешеходной доступности от остановок и транспортно-пересадочных узлов (хабов) скоростного экологически чистого общественного транспорта;</w:t>
      </w:r>
    </w:p>
    <w:p>
      <w:pPr>
        <w:pStyle w:val="0"/>
        <w:spacing w:before="200" w:line-rule="auto"/>
        <w:ind w:firstLine="540"/>
        <w:jc w:val="both"/>
      </w:pPr>
      <w:r>
        <w:rPr>
          <w:sz w:val="20"/>
        </w:rPr>
        <w:t xml:space="preserve">стимулирование размещения многофункциональных преимущественно среднеэтажных кварталов возле транспортных хабов с наличием нежилых помещений на первых этажах зданий.</w:t>
      </w:r>
    </w:p>
    <w:p>
      <w:pPr>
        <w:pStyle w:val="0"/>
        <w:spacing w:before="200" w:line-rule="auto"/>
        <w:ind w:firstLine="540"/>
        <w:jc w:val="both"/>
      </w:pPr>
      <w:r>
        <w:rPr>
          <w:sz w:val="20"/>
        </w:rPr>
        <w:t xml:space="preserve">8. Обеспечение переселения граждан из аварийного жилья, контроль качества и объемов возводимых жилых помещений.</w:t>
      </w:r>
    </w:p>
    <w:p>
      <w:pPr>
        <w:pStyle w:val="0"/>
        <w:spacing w:before="200" w:line-rule="auto"/>
        <w:ind w:firstLine="540"/>
        <w:jc w:val="both"/>
      </w:pPr>
      <w:r>
        <w:rPr>
          <w:sz w:val="20"/>
        </w:rPr>
        <w:t xml:space="preserve">9. Формирование оптимального количества служебных помещений органов внутренних дел для работы участковых уполномоченных полиции, а также ремонт и оснащение имеющихся участковых пунктов полиции в соответствии с предъявляемыми требованиями.</w:t>
      </w:r>
    </w:p>
    <w:p>
      <w:pPr>
        <w:pStyle w:val="0"/>
        <w:spacing w:before="200" w:line-rule="auto"/>
        <w:ind w:firstLine="540"/>
        <w:jc w:val="both"/>
      </w:pPr>
      <w:r>
        <w:rPr>
          <w:sz w:val="20"/>
        </w:rPr>
        <w:t xml:space="preserve">10. Создание Ресурсного центра для развития системы территориального общественного самоуправления.</w:t>
      </w:r>
    </w:p>
    <w:p>
      <w:pPr>
        <w:pStyle w:val="0"/>
        <w:spacing w:before="200" w:line-rule="auto"/>
        <w:ind w:firstLine="540"/>
        <w:jc w:val="both"/>
      </w:pPr>
      <w:r>
        <w:rPr>
          <w:sz w:val="20"/>
        </w:rPr>
        <w:t xml:space="preserve">11. Повышение визуальной привлекательности городских пространств:</w:t>
      </w:r>
    </w:p>
    <w:p>
      <w:pPr>
        <w:pStyle w:val="0"/>
        <w:spacing w:before="200" w:line-rule="auto"/>
        <w:ind w:firstLine="540"/>
        <w:jc w:val="both"/>
      </w:pPr>
      <w:r>
        <w:rPr>
          <w:sz w:val="20"/>
        </w:rPr>
        <w:t xml:space="preserve">разработка и внедрение дизайн-кодов городов Курской области;</w:t>
      </w:r>
    </w:p>
    <w:p>
      <w:pPr>
        <w:pStyle w:val="0"/>
        <w:spacing w:before="200" w:line-rule="auto"/>
        <w:ind w:firstLine="540"/>
        <w:jc w:val="both"/>
      </w:pPr>
      <w:r>
        <w:rPr>
          <w:sz w:val="20"/>
        </w:rPr>
        <w:t xml:space="preserve">разработка брендбуков городов Курской области.</w:t>
      </w:r>
    </w:p>
    <w:p>
      <w:pPr>
        <w:pStyle w:val="0"/>
        <w:jc w:val="both"/>
      </w:pPr>
      <w:r>
        <w:rPr>
          <w:sz w:val="20"/>
        </w:rPr>
      </w:r>
    </w:p>
    <w:p>
      <w:pPr>
        <w:pStyle w:val="2"/>
        <w:outlineLvl w:val="1"/>
        <w:jc w:val="center"/>
      </w:pPr>
      <w:r>
        <w:rPr>
          <w:sz w:val="20"/>
        </w:rPr>
        <w:t xml:space="preserve">11. Приоритетное направление</w:t>
      </w:r>
    </w:p>
    <w:p>
      <w:pPr>
        <w:pStyle w:val="2"/>
        <w:jc w:val="center"/>
      </w:pPr>
      <w:r>
        <w:rPr>
          <w:sz w:val="20"/>
        </w:rPr>
        <w:t xml:space="preserve">"Зеленый и безопасный регион"</w:t>
      </w:r>
    </w:p>
    <w:p>
      <w:pPr>
        <w:pStyle w:val="0"/>
        <w:jc w:val="both"/>
      </w:pPr>
      <w:r>
        <w:rPr>
          <w:sz w:val="20"/>
        </w:rPr>
      </w:r>
    </w:p>
    <w:p>
      <w:pPr>
        <w:pStyle w:val="0"/>
        <w:ind w:firstLine="540"/>
        <w:jc w:val="both"/>
      </w:pPr>
      <w:r>
        <w:rPr>
          <w:sz w:val="20"/>
        </w:rPr>
        <w:t xml:space="preserve">Стратегическая цель - реализация модели устойчивого экологоориентированного развития, развитие "зеленой" экономики, решение экологических проблем для максимально полного удовлетворения потребностей населения по формированию экологически чистой среды обитания; обеспечение безопасности жизнедеятельности населения.</w:t>
      </w:r>
    </w:p>
    <w:p>
      <w:pPr>
        <w:pStyle w:val="0"/>
        <w:spacing w:before="200" w:line-rule="auto"/>
        <w:ind w:firstLine="540"/>
        <w:jc w:val="both"/>
      </w:pPr>
      <w:r>
        <w:rPr>
          <w:sz w:val="20"/>
        </w:rPr>
        <w:t xml:space="preserve">Основные проблемы и ограничения:</w:t>
      </w:r>
    </w:p>
    <w:p>
      <w:pPr>
        <w:pStyle w:val="0"/>
        <w:spacing w:before="200" w:line-rule="auto"/>
        <w:ind w:firstLine="540"/>
        <w:jc w:val="both"/>
      </w:pPr>
      <w:r>
        <w:rPr>
          <w:sz w:val="20"/>
        </w:rPr>
        <w:t xml:space="preserve">истощение почвенных ресурсов, усиливающаяся эрозия, потеря плодородия почв, переуплотненность, закустаренность кормовых угодий, загрязненность земель различными веществами;</w:t>
      </w:r>
    </w:p>
    <w:p>
      <w:pPr>
        <w:pStyle w:val="0"/>
        <w:spacing w:before="200" w:line-rule="auto"/>
        <w:ind w:firstLine="540"/>
        <w:jc w:val="both"/>
      </w:pPr>
      <w:r>
        <w:rPr>
          <w:sz w:val="20"/>
        </w:rPr>
        <w:t xml:space="preserve">доминирование в структуре посевных площадей почворазрушающих культур (зерновые, сахарная свекла), а не почвоулучшающих (бобовые, многолетние травы);</w:t>
      </w:r>
    </w:p>
    <w:p>
      <w:pPr>
        <w:pStyle w:val="0"/>
        <w:spacing w:before="200" w:line-rule="auto"/>
        <w:ind w:firstLine="540"/>
        <w:jc w:val="both"/>
      </w:pPr>
      <w:r>
        <w:rPr>
          <w:sz w:val="20"/>
        </w:rPr>
        <w:t xml:space="preserve">нарушение экологического равновесия за счет сокращения площади естественных экосистем (менее 20% (норма - не менее 30%);</w:t>
      </w:r>
    </w:p>
    <w:p>
      <w:pPr>
        <w:pStyle w:val="0"/>
        <w:spacing w:before="200" w:line-rule="auto"/>
        <w:ind w:firstLine="540"/>
        <w:jc w:val="both"/>
      </w:pPr>
      <w:r>
        <w:rPr>
          <w:sz w:val="20"/>
        </w:rPr>
        <w:t xml:space="preserve">низкая доля резерватов для редких видов по области (менее 1%), что представляет угрозу исчезновения для охраняемых видов;</w:t>
      </w:r>
    </w:p>
    <w:p>
      <w:pPr>
        <w:pStyle w:val="0"/>
        <w:spacing w:before="200" w:line-rule="auto"/>
        <w:ind w:firstLine="540"/>
        <w:jc w:val="both"/>
      </w:pPr>
      <w:r>
        <w:rPr>
          <w:sz w:val="20"/>
        </w:rPr>
        <w:t xml:space="preserve">повышение засушливости климата как следствие глобального потепления;</w:t>
      </w:r>
    </w:p>
    <w:p>
      <w:pPr>
        <w:pStyle w:val="0"/>
        <w:spacing w:before="200" w:line-rule="auto"/>
        <w:ind w:firstLine="540"/>
        <w:jc w:val="both"/>
      </w:pPr>
      <w:r>
        <w:rPr>
          <w:sz w:val="20"/>
        </w:rPr>
        <w:t xml:space="preserve">риски возникновения дефицита воды в районах, которые уже в настоящее время имеют ограниченные водные ресурсы;</w:t>
      </w:r>
    </w:p>
    <w:p>
      <w:pPr>
        <w:pStyle w:val="0"/>
        <w:spacing w:before="200" w:line-rule="auto"/>
        <w:ind w:firstLine="540"/>
        <w:jc w:val="both"/>
      </w:pPr>
      <w:r>
        <w:rPr>
          <w:sz w:val="20"/>
        </w:rPr>
        <w:t xml:space="preserve">наличие крупных Курского, Железногорского и Курчатовского промышленных ареалов;</w:t>
      </w:r>
    </w:p>
    <w:p>
      <w:pPr>
        <w:pStyle w:val="0"/>
        <w:spacing w:before="200" w:line-rule="auto"/>
        <w:ind w:firstLine="540"/>
        <w:jc w:val="both"/>
      </w:pPr>
      <w:r>
        <w:rPr>
          <w:sz w:val="20"/>
        </w:rPr>
        <w:t xml:space="preserve">использование устаревших технологий, низкий уровень внедрения малоотходных и безотходных технологий;</w:t>
      </w:r>
    </w:p>
    <w:p>
      <w:pPr>
        <w:pStyle w:val="0"/>
        <w:spacing w:before="200" w:line-rule="auto"/>
        <w:ind w:firstLine="540"/>
        <w:jc w:val="both"/>
      </w:pPr>
      <w:r>
        <w:rPr>
          <w:sz w:val="20"/>
        </w:rPr>
        <w:t xml:space="preserve">неразвитая сеть АГНКС (автомобильных газонаполнительных компрессорных станций), высокая ее степень концентрации в областном центре;</w:t>
      </w:r>
    </w:p>
    <w:p>
      <w:pPr>
        <w:pStyle w:val="0"/>
        <w:spacing w:before="200" w:line-rule="auto"/>
        <w:ind w:firstLine="540"/>
        <w:jc w:val="both"/>
      </w:pPr>
      <w:r>
        <w:rPr>
          <w:sz w:val="20"/>
        </w:rPr>
        <w:t xml:space="preserve">недостаточная глубина переработки отходов, наличие значительных объемов экологически грязных и бионеразлагаемых отходов;</w:t>
      </w:r>
    </w:p>
    <w:p>
      <w:pPr>
        <w:pStyle w:val="0"/>
        <w:spacing w:before="200" w:line-rule="auto"/>
        <w:ind w:firstLine="540"/>
        <w:jc w:val="both"/>
      </w:pPr>
      <w:r>
        <w:rPr>
          <w:sz w:val="20"/>
        </w:rPr>
        <w:t xml:space="preserve">низкий уровень развития экологической культуры населения;</w:t>
      </w:r>
    </w:p>
    <w:p>
      <w:pPr>
        <w:pStyle w:val="0"/>
        <w:spacing w:before="200" w:line-rule="auto"/>
        <w:ind w:firstLine="540"/>
        <w:jc w:val="both"/>
      </w:pPr>
      <w:r>
        <w:rPr>
          <w:sz w:val="20"/>
        </w:rPr>
        <w:t xml:space="preserve">износ коммунальных объектов и инженерных сетей, включая водоочистные сооружения;</w:t>
      </w:r>
    </w:p>
    <w:p>
      <w:pPr>
        <w:pStyle w:val="0"/>
        <w:spacing w:before="200" w:line-rule="auto"/>
        <w:ind w:firstLine="540"/>
        <w:jc w:val="both"/>
      </w:pPr>
      <w:r>
        <w:rPr>
          <w:sz w:val="20"/>
        </w:rPr>
        <w:t xml:space="preserve">недостаточный уровень развития государственно-частного партнерства, малого и среднего бизнеса в сфере ЖКХ;</w:t>
      </w:r>
    </w:p>
    <w:p>
      <w:pPr>
        <w:pStyle w:val="0"/>
        <w:spacing w:before="200" w:line-rule="auto"/>
        <w:ind w:firstLine="540"/>
        <w:jc w:val="both"/>
      </w:pPr>
      <w:r>
        <w:rPr>
          <w:sz w:val="20"/>
        </w:rPr>
        <w:t xml:space="preserve">низкая инвестиционная привлекательность сферы утилизации;</w:t>
      </w:r>
    </w:p>
    <w:p>
      <w:pPr>
        <w:pStyle w:val="0"/>
        <w:spacing w:before="200" w:line-rule="auto"/>
        <w:ind w:firstLine="540"/>
        <w:jc w:val="both"/>
      </w:pPr>
      <w:r>
        <w:rPr>
          <w:sz w:val="20"/>
        </w:rPr>
        <w:t xml:space="preserve">загрязнение воздуха от передвижных источников.</w:t>
      </w:r>
    </w:p>
    <w:p>
      <w:pPr>
        <w:pStyle w:val="0"/>
        <w:spacing w:before="200" w:line-rule="auto"/>
        <w:ind w:firstLine="540"/>
        <w:jc w:val="both"/>
      </w:pPr>
      <w:r>
        <w:rPr>
          <w:sz w:val="20"/>
        </w:rPr>
        <w:t xml:space="preserve">Общемировые тренды и лучшие практики:</w:t>
      </w:r>
    </w:p>
    <w:p>
      <w:pPr>
        <w:pStyle w:val="0"/>
        <w:spacing w:before="200" w:line-rule="auto"/>
        <w:ind w:firstLine="540"/>
        <w:jc w:val="both"/>
      </w:pPr>
      <w:r>
        <w:rPr>
          <w:sz w:val="20"/>
        </w:rPr>
        <w:t xml:space="preserve">рост уровня экологической культуры населения;</w:t>
      </w:r>
    </w:p>
    <w:p>
      <w:pPr>
        <w:pStyle w:val="0"/>
        <w:spacing w:before="200" w:line-rule="auto"/>
        <w:ind w:firstLine="540"/>
        <w:jc w:val="both"/>
      </w:pPr>
      <w:r>
        <w:rPr>
          <w:sz w:val="20"/>
        </w:rPr>
        <w:t xml:space="preserve">распространение принципов "зеленой экономики"; внедрение принципов циклической экономики и экономики совместного потребления;</w:t>
      </w:r>
    </w:p>
    <w:p>
      <w:pPr>
        <w:pStyle w:val="0"/>
        <w:spacing w:before="200" w:line-rule="auto"/>
        <w:ind w:firstLine="540"/>
        <w:jc w:val="both"/>
      </w:pPr>
      <w:r>
        <w:rPr>
          <w:sz w:val="20"/>
        </w:rPr>
        <w:t xml:space="preserve">применение информационно-коммуникационных технологий и дистанционных средств мониторинга состояния природных объектов;</w:t>
      </w:r>
    </w:p>
    <w:p>
      <w:pPr>
        <w:pStyle w:val="0"/>
        <w:spacing w:before="200" w:line-rule="auto"/>
        <w:ind w:firstLine="540"/>
        <w:jc w:val="both"/>
      </w:pPr>
      <w:r>
        <w:rPr>
          <w:sz w:val="20"/>
        </w:rPr>
        <w:t xml:space="preserve">разработка, принятие и реализация стратегий устойчивого социально-экономического развития (экологоориентированного развития) в развитых странах;</w:t>
      </w:r>
    </w:p>
    <w:p>
      <w:pPr>
        <w:pStyle w:val="0"/>
        <w:spacing w:before="200" w:line-rule="auto"/>
        <w:ind w:firstLine="540"/>
        <w:jc w:val="both"/>
      </w:pPr>
      <w:r>
        <w:rPr>
          <w:sz w:val="20"/>
        </w:rPr>
        <w:t xml:space="preserve">реализация комплексных проектов, направленных на снижение генерации бытовых отходов, снижение экологически вредных и бионеразлагаемых отходов, в том числе запрет пластика;</w:t>
      </w:r>
    </w:p>
    <w:p>
      <w:pPr>
        <w:pStyle w:val="0"/>
        <w:spacing w:before="200" w:line-rule="auto"/>
        <w:ind w:firstLine="540"/>
        <w:jc w:val="both"/>
      </w:pPr>
      <w:r>
        <w:rPr>
          <w:sz w:val="20"/>
        </w:rPr>
        <w:t xml:space="preserve">развитие экологически чистого транспорта;</w:t>
      </w:r>
    </w:p>
    <w:p>
      <w:pPr>
        <w:pStyle w:val="0"/>
        <w:spacing w:before="200" w:line-rule="auto"/>
        <w:ind w:firstLine="540"/>
        <w:jc w:val="both"/>
      </w:pPr>
      <w:r>
        <w:rPr>
          <w:sz w:val="20"/>
        </w:rPr>
        <w:t xml:space="preserve">развитие технологий рециклинга;</w:t>
      </w:r>
    </w:p>
    <w:p>
      <w:pPr>
        <w:pStyle w:val="0"/>
        <w:spacing w:before="200" w:line-rule="auto"/>
        <w:ind w:firstLine="540"/>
        <w:jc w:val="both"/>
      </w:pPr>
      <w:r>
        <w:rPr>
          <w:sz w:val="20"/>
        </w:rPr>
        <w:t xml:space="preserve">развитие технологий экологически безопасной утилизации всех видов отходов и обезвреживания токсикантов;</w:t>
      </w:r>
    </w:p>
    <w:p>
      <w:pPr>
        <w:pStyle w:val="0"/>
        <w:spacing w:before="200" w:line-rule="auto"/>
        <w:ind w:firstLine="540"/>
        <w:jc w:val="both"/>
      </w:pPr>
      <w:r>
        <w:rPr>
          <w:sz w:val="20"/>
        </w:rPr>
        <w:t xml:space="preserve">использование твердых коммунальных отходов как источника энергии;</w:t>
      </w:r>
    </w:p>
    <w:p>
      <w:pPr>
        <w:pStyle w:val="0"/>
        <w:spacing w:before="200" w:line-rule="auto"/>
        <w:ind w:firstLine="540"/>
        <w:jc w:val="both"/>
      </w:pPr>
      <w:r>
        <w:rPr>
          <w:sz w:val="20"/>
        </w:rPr>
        <w:t xml:space="preserve">переход к многоразовой таре и упаковке;</w:t>
      </w:r>
    </w:p>
    <w:p>
      <w:pPr>
        <w:pStyle w:val="0"/>
        <w:spacing w:before="200" w:line-rule="auto"/>
        <w:ind w:firstLine="540"/>
        <w:jc w:val="both"/>
      </w:pPr>
      <w:r>
        <w:rPr>
          <w:sz w:val="20"/>
        </w:rPr>
        <w:t xml:space="preserve">применение биоразлагаемой упаковки;</w:t>
      </w:r>
    </w:p>
    <w:p>
      <w:pPr>
        <w:pStyle w:val="0"/>
        <w:spacing w:before="200" w:line-rule="auto"/>
        <w:ind w:firstLine="540"/>
        <w:jc w:val="both"/>
      </w:pPr>
      <w:r>
        <w:rPr>
          <w:sz w:val="20"/>
        </w:rPr>
        <w:t xml:space="preserve">формирование развитой системы раздельного сбора и последующей переработки твердых коммунальных отходов;</w:t>
      </w:r>
    </w:p>
    <w:p>
      <w:pPr>
        <w:pStyle w:val="0"/>
        <w:spacing w:before="200" w:line-rule="auto"/>
        <w:ind w:firstLine="540"/>
        <w:jc w:val="both"/>
      </w:pPr>
      <w:r>
        <w:rPr>
          <w:sz w:val="20"/>
        </w:rPr>
        <w:t xml:space="preserve">рост популярности раздельного сбора твердых коммунальных отходов;</w:t>
      </w:r>
    </w:p>
    <w:p>
      <w:pPr>
        <w:pStyle w:val="0"/>
        <w:spacing w:before="200" w:line-rule="auto"/>
        <w:ind w:firstLine="540"/>
        <w:jc w:val="both"/>
      </w:pPr>
      <w:r>
        <w:rPr>
          <w:sz w:val="20"/>
        </w:rPr>
        <w:t xml:space="preserve">внедрение автоматической сортировки твердых коммунальных отходов с использованием современных технологий (использование оптического сканера);</w:t>
      </w:r>
    </w:p>
    <w:p>
      <w:pPr>
        <w:pStyle w:val="0"/>
        <w:spacing w:before="200" w:line-rule="auto"/>
        <w:ind w:firstLine="540"/>
        <w:jc w:val="both"/>
      </w:pPr>
      <w:r>
        <w:rPr>
          <w:sz w:val="20"/>
        </w:rPr>
        <w:t xml:space="preserve">формирование "зеленых каркасов" городов;</w:t>
      </w:r>
    </w:p>
    <w:p>
      <w:pPr>
        <w:pStyle w:val="0"/>
        <w:spacing w:before="200" w:line-rule="auto"/>
        <w:ind w:firstLine="540"/>
        <w:jc w:val="both"/>
      </w:pPr>
      <w:r>
        <w:rPr>
          <w:sz w:val="20"/>
        </w:rPr>
        <w:t xml:space="preserve">развитие экологической архитектуры и "зеленых" общественных пространств.</w:t>
      </w:r>
    </w:p>
    <w:p>
      <w:pPr>
        <w:pStyle w:val="0"/>
        <w:spacing w:before="200" w:line-rule="auto"/>
        <w:ind w:firstLine="540"/>
        <w:jc w:val="both"/>
      </w:pPr>
      <w:r>
        <w:rPr>
          <w:sz w:val="20"/>
        </w:rPr>
        <w:t xml:space="preserve">Результаты "Мастерских проектов" "Народной стратегии" Курской области.</w:t>
      </w:r>
    </w:p>
    <w:p>
      <w:pPr>
        <w:pStyle w:val="0"/>
        <w:spacing w:before="200" w:line-rule="auto"/>
        <w:ind w:firstLine="540"/>
        <w:jc w:val="both"/>
      </w:pPr>
      <w:r>
        <w:rPr>
          <w:sz w:val="20"/>
        </w:rPr>
        <w:t xml:space="preserve">В рамках "Мастерской проектов" "Комфортная городская среда" были разработаны следующие проекты в области экологии:</w:t>
      </w:r>
    </w:p>
    <w:p>
      <w:pPr>
        <w:pStyle w:val="0"/>
        <w:spacing w:before="200" w:line-rule="auto"/>
        <w:ind w:firstLine="540"/>
        <w:jc w:val="both"/>
      </w:pPr>
      <w:r>
        <w:rPr>
          <w:sz w:val="20"/>
        </w:rPr>
        <w:t xml:space="preserve">"Создание экопарковок";</w:t>
      </w:r>
    </w:p>
    <w:p>
      <w:pPr>
        <w:pStyle w:val="0"/>
        <w:spacing w:before="200" w:line-rule="auto"/>
        <w:ind w:firstLine="540"/>
        <w:jc w:val="both"/>
      </w:pPr>
      <w:r>
        <w:rPr>
          <w:sz w:val="20"/>
        </w:rPr>
        <w:t xml:space="preserve">"Локализация и ликвидация очагов опасных растений (амброзии и борщевика Сосновского)";</w:t>
      </w:r>
    </w:p>
    <w:p>
      <w:pPr>
        <w:pStyle w:val="0"/>
        <w:spacing w:before="200" w:line-rule="auto"/>
        <w:ind w:firstLine="540"/>
        <w:jc w:val="both"/>
      </w:pPr>
      <w:r>
        <w:rPr>
          <w:sz w:val="20"/>
        </w:rPr>
        <w:t xml:space="preserve">"Установка автоматов по сбору пластиковых бутылок и алюминиевых банок";</w:t>
      </w:r>
    </w:p>
    <w:p>
      <w:pPr>
        <w:pStyle w:val="0"/>
        <w:spacing w:before="200" w:line-rule="auto"/>
        <w:ind w:firstLine="540"/>
        <w:jc w:val="both"/>
      </w:pPr>
      <w:r>
        <w:rPr>
          <w:sz w:val="20"/>
        </w:rPr>
        <w:t xml:space="preserve">"Эколекториум "Человек и природа в современном мире".</w:t>
      </w:r>
    </w:p>
    <w:p>
      <w:pPr>
        <w:pStyle w:val="0"/>
        <w:spacing w:before="200" w:line-rule="auto"/>
        <w:ind w:firstLine="540"/>
        <w:jc w:val="both"/>
      </w:pPr>
      <w:r>
        <w:rPr>
          <w:sz w:val="20"/>
        </w:rPr>
        <w:t xml:space="preserve">Ключевые результаты:</w:t>
      </w:r>
    </w:p>
    <w:p>
      <w:pPr>
        <w:pStyle w:val="0"/>
        <w:spacing w:before="200" w:line-rule="auto"/>
        <w:ind w:firstLine="540"/>
        <w:jc w:val="both"/>
      </w:pPr>
      <w:r>
        <w:rPr>
          <w:sz w:val="20"/>
        </w:rPr>
        <w:t xml:space="preserve">снижение выбросов в атмосферный воздух загрязняющих веществ - до 20,0 тыс. тонн в 2030 году (в 2017 году - 39,8 тыс. тонн);</w:t>
      </w:r>
    </w:p>
    <w:p>
      <w:pPr>
        <w:pStyle w:val="0"/>
        <w:spacing w:before="200" w:line-rule="auto"/>
        <w:ind w:firstLine="540"/>
        <w:jc w:val="both"/>
      </w:pPr>
      <w:r>
        <w:rPr>
          <w:sz w:val="20"/>
        </w:rPr>
        <w:t xml:space="preserve">увеличение площади ООПТ до 10000 га в 2030 году, по состоянию на 10 июля 2019 года - 8,074 га (0,27% от общей площади Курской области);</w:t>
      </w:r>
    </w:p>
    <w:p>
      <w:pPr>
        <w:pStyle w:val="0"/>
        <w:spacing w:before="200" w:line-rule="auto"/>
        <w:ind w:firstLine="540"/>
        <w:jc w:val="both"/>
      </w:pPr>
      <w:r>
        <w:rPr>
          <w:sz w:val="20"/>
        </w:rPr>
        <w:t xml:space="preserve">проведение масштабной рекультивации земель;</w:t>
      </w:r>
    </w:p>
    <w:p>
      <w:pPr>
        <w:pStyle w:val="0"/>
        <w:spacing w:before="200" w:line-rule="auto"/>
        <w:ind w:firstLine="540"/>
        <w:jc w:val="both"/>
      </w:pPr>
      <w:r>
        <w:rPr>
          <w:sz w:val="20"/>
        </w:rPr>
        <w:t xml:space="preserve">создание системы обращения с ТКО во всех муниципальных образованиях региона;</w:t>
      </w:r>
    </w:p>
    <w:p>
      <w:pPr>
        <w:pStyle w:val="0"/>
        <w:spacing w:before="200" w:line-rule="auto"/>
        <w:ind w:firstLine="540"/>
        <w:jc w:val="both"/>
      </w:pPr>
      <w:r>
        <w:rPr>
          <w:sz w:val="20"/>
        </w:rPr>
        <w:t xml:space="preserve">увеличение доли экологически чистых продуктов питания в ассортименте магазинов до 30%;</w:t>
      </w:r>
    </w:p>
    <w:p>
      <w:pPr>
        <w:pStyle w:val="0"/>
        <w:spacing w:before="200" w:line-rule="auto"/>
        <w:ind w:firstLine="540"/>
        <w:jc w:val="both"/>
      </w:pPr>
      <w:r>
        <w:rPr>
          <w:sz w:val="20"/>
        </w:rPr>
        <w:t xml:space="preserve">повышение уровня экологической культуры как результат активной просветительской деятельности;</w:t>
      </w:r>
    </w:p>
    <w:p>
      <w:pPr>
        <w:pStyle w:val="0"/>
        <w:spacing w:before="200" w:line-rule="auto"/>
        <w:ind w:firstLine="540"/>
        <w:jc w:val="both"/>
      </w:pPr>
      <w:r>
        <w:rPr>
          <w:sz w:val="20"/>
        </w:rPr>
        <w:t xml:space="preserve">существенное увеличение площади территории Курской области со статусом "зоны охраны объектов культурного наследия" (охранные зоны, зоны регулирования застройки и хозяйственной деятельности и зоны охраняемого природного ландшафта);</w:t>
      </w:r>
    </w:p>
    <w:p>
      <w:pPr>
        <w:pStyle w:val="0"/>
        <w:spacing w:before="200" w:line-rule="auto"/>
        <w:ind w:firstLine="540"/>
        <w:jc w:val="both"/>
      </w:pPr>
      <w:r>
        <w:rPr>
          <w:sz w:val="20"/>
        </w:rPr>
        <w:t xml:space="preserve">обустройство всех контейнерных площадок контейнерами для раздельного сбора твердых коммунальных отходов к 2024 году;</w:t>
      </w:r>
    </w:p>
    <w:p>
      <w:pPr>
        <w:pStyle w:val="0"/>
        <w:spacing w:before="200" w:line-rule="auto"/>
        <w:ind w:firstLine="540"/>
        <w:jc w:val="both"/>
      </w:pPr>
      <w:r>
        <w:rPr>
          <w:sz w:val="20"/>
        </w:rPr>
        <w:t xml:space="preserve">снижение числа аварий в системах водоснабжения до 100 единиц в 2030 году (в 2017 году - 452 ед.);</w:t>
      </w:r>
    </w:p>
    <w:p>
      <w:pPr>
        <w:pStyle w:val="0"/>
        <w:spacing w:before="200" w:line-rule="auto"/>
        <w:ind w:firstLine="540"/>
        <w:jc w:val="both"/>
      </w:pPr>
      <w:r>
        <w:rPr>
          <w:sz w:val="20"/>
        </w:rPr>
        <w:t xml:space="preserve">увеличение доли очищенных сточных вод, сбрасываемых с очистных сооружений, которые соответствуют нормам качества, до 50% (в 2017 году - 29,6%);</w:t>
      </w:r>
    </w:p>
    <w:p>
      <w:pPr>
        <w:pStyle w:val="0"/>
        <w:spacing w:before="200" w:line-rule="auto"/>
        <w:ind w:firstLine="540"/>
        <w:jc w:val="both"/>
      </w:pPr>
      <w:r>
        <w:rPr>
          <w:sz w:val="20"/>
        </w:rPr>
        <w:t xml:space="preserve">увеличение пассажиропотока экологически чистого общественного транспорта в 3,0 раза по сравнению с уровнем 2017 года.</w:t>
      </w:r>
    </w:p>
    <w:p>
      <w:pPr>
        <w:pStyle w:val="0"/>
        <w:spacing w:before="200" w:line-rule="auto"/>
        <w:ind w:firstLine="540"/>
        <w:jc w:val="both"/>
      </w:pPr>
      <w:r>
        <w:rPr>
          <w:sz w:val="20"/>
        </w:rPr>
        <w:t xml:space="preserve">Ключевые результаты "Мастерских проектов":</w:t>
      </w:r>
    </w:p>
    <w:p>
      <w:pPr>
        <w:pStyle w:val="0"/>
        <w:spacing w:before="200" w:line-rule="auto"/>
        <w:ind w:firstLine="540"/>
        <w:jc w:val="both"/>
      </w:pPr>
      <w:r>
        <w:rPr>
          <w:sz w:val="20"/>
        </w:rPr>
        <w:t xml:space="preserve">снижение уровня экологически обусловленных заболеваний на 20%.</w:t>
      </w:r>
    </w:p>
    <w:p>
      <w:pPr>
        <w:pStyle w:val="0"/>
        <w:jc w:val="both"/>
      </w:pPr>
      <w:r>
        <w:rPr>
          <w:sz w:val="20"/>
        </w:rPr>
      </w:r>
    </w:p>
    <w:p>
      <w:pPr>
        <w:pStyle w:val="2"/>
        <w:outlineLvl w:val="2"/>
        <w:ind w:firstLine="540"/>
        <w:jc w:val="both"/>
      </w:pPr>
      <w:r>
        <w:rPr>
          <w:sz w:val="20"/>
        </w:rPr>
        <w:t xml:space="preserve">11.1. Здоровые экосистемы (почвы, леса, реки)</w:t>
      </w:r>
    </w:p>
    <w:p>
      <w:pPr>
        <w:pStyle w:val="0"/>
        <w:jc w:val="both"/>
      </w:pPr>
      <w:r>
        <w:rPr>
          <w:sz w:val="20"/>
        </w:rPr>
      </w:r>
    </w:p>
    <w:p>
      <w:pPr>
        <w:pStyle w:val="0"/>
        <w:ind w:firstLine="540"/>
        <w:jc w:val="both"/>
      </w:pPr>
      <w:r>
        <w:rPr>
          <w:sz w:val="20"/>
        </w:rPr>
        <w:t xml:space="preserve">Задача. Комплексная экологизация экосистем Курской области.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Разработка и реализация региональной приоритетной программы "Здоровые почвы":</w:t>
      </w:r>
    </w:p>
    <w:p>
      <w:pPr>
        <w:pStyle w:val="0"/>
        <w:spacing w:before="200" w:line-rule="auto"/>
        <w:ind w:firstLine="540"/>
        <w:jc w:val="both"/>
      </w:pPr>
      <w:r>
        <w:rPr>
          <w:sz w:val="20"/>
        </w:rPr>
        <w:t xml:space="preserve">разработка технологий восстановления почв, стимулирование проведения НИОКР в области рекультивации сельскохозяйственных земель;</w:t>
      </w:r>
    </w:p>
    <w:p>
      <w:pPr>
        <w:pStyle w:val="0"/>
        <w:spacing w:before="200" w:line-rule="auto"/>
        <w:ind w:firstLine="540"/>
        <w:jc w:val="both"/>
      </w:pPr>
      <w:r>
        <w:rPr>
          <w:sz w:val="20"/>
        </w:rPr>
        <w:t xml:space="preserve">использование существующих разработок в области ревитализации земель, разработанных Курским государственным университетом;</w:t>
      </w:r>
    </w:p>
    <w:p>
      <w:pPr>
        <w:pStyle w:val="0"/>
        <w:spacing w:before="200" w:line-rule="auto"/>
        <w:ind w:firstLine="540"/>
        <w:jc w:val="both"/>
      </w:pPr>
      <w:r>
        <w:rPr>
          <w:sz w:val="20"/>
        </w:rPr>
        <w:t xml:space="preserve">восстановление масштабов внесения минеральных удобрений и увеличение применения органики;</w:t>
      </w:r>
    </w:p>
    <w:p>
      <w:pPr>
        <w:pStyle w:val="0"/>
        <w:spacing w:before="200" w:line-rule="auto"/>
        <w:ind w:firstLine="540"/>
        <w:jc w:val="both"/>
      </w:pPr>
      <w:r>
        <w:rPr>
          <w:sz w:val="20"/>
        </w:rPr>
        <w:t xml:space="preserve">использование биологических факторов повышения плодородия почв, включая локализацию и ликвидацию болезней, вредителей и сорняков;</w:t>
      </w:r>
    </w:p>
    <w:p>
      <w:pPr>
        <w:pStyle w:val="0"/>
        <w:spacing w:before="200" w:line-rule="auto"/>
        <w:ind w:firstLine="540"/>
        <w:jc w:val="both"/>
      </w:pPr>
      <w:r>
        <w:rPr>
          <w:sz w:val="20"/>
        </w:rPr>
        <w:t xml:space="preserve">применение биологических фунгицидов и регуляторов роста растений;</w:t>
      </w:r>
    </w:p>
    <w:p>
      <w:pPr>
        <w:pStyle w:val="0"/>
        <w:spacing w:before="200" w:line-rule="auto"/>
        <w:ind w:firstLine="540"/>
        <w:jc w:val="both"/>
      </w:pPr>
      <w:r>
        <w:rPr>
          <w:sz w:val="20"/>
        </w:rPr>
        <w:t xml:space="preserve">использование нанобиотехнологических способов рекультивации сельскохозяйственных земель;</w:t>
      </w:r>
    </w:p>
    <w:p>
      <w:pPr>
        <w:pStyle w:val="0"/>
        <w:spacing w:before="200" w:line-rule="auto"/>
        <w:ind w:firstLine="540"/>
        <w:jc w:val="both"/>
      </w:pPr>
      <w:r>
        <w:rPr>
          <w:sz w:val="20"/>
        </w:rPr>
        <w:t xml:space="preserve">использование сидеральных культур для ликвидации сложившегося отрицательного баланса органического вещества почвы;</w:t>
      </w:r>
    </w:p>
    <w:p>
      <w:pPr>
        <w:pStyle w:val="0"/>
        <w:spacing w:before="200" w:line-rule="auto"/>
        <w:ind w:firstLine="540"/>
        <w:jc w:val="both"/>
      </w:pPr>
      <w:r>
        <w:rPr>
          <w:sz w:val="20"/>
        </w:rPr>
        <w:t xml:space="preserve">применение технологий "балансирования" - удаления загрязнений из загрязненных почв и перенесения их на обедненную почву;</w:t>
      </w:r>
    </w:p>
    <w:p>
      <w:pPr>
        <w:pStyle w:val="0"/>
        <w:spacing w:before="200" w:line-rule="auto"/>
        <w:ind w:firstLine="540"/>
        <w:jc w:val="both"/>
      </w:pPr>
      <w:r>
        <w:rPr>
          <w:sz w:val="20"/>
        </w:rPr>
        <w:t xml:space="preserve">увеличение доли лесов, сенокосов и пастбищ (особенно культурных);</w:t>
      </w:r>
    </w:p>
    <w:p>
      <w:pPr>
        <w:pStyle w:val="0"/>
        <w:spacing w:before="200" w:line-rule="auto"/>
        <w:ind w:firstLine="540"/>
        <w:jc w:val="both"/>
      </w:pPr>
      <w:r>
        <w:rPr>
          <w:sz w:val="20"/>
        </w:rPr>
        <w:t xml:space="preserve">мониторинг мутогенеза;</w:t>
      </w:r>
    </w:p>
    <w:p>
      <w:pPr>
        <w:pStyle w:val="0"/>
        <w:spacing w:before="200" w:line-rule="auto"/>
        <w:ind w:firstLine="540"/>
        <w:jc w:val="both"/>
      </w:pPr>
      <w:r>
        <w:rPr>
          <w:sz w:val="20"/>
        </w:rPr>
        <w:t xml:space="preserve">активизация международного сотрудничества в области устойчивого сельского хозяйства.</w:t>
      </w:r>
    </w:p>
    <w:p>
      <w:pPr>
        <w:pStyle w:val="0"/>
        <w:spacing w:before="200" w:line-rule="auto"/>
        <w:ind w:firstLine="540"/>
        <w:jc w:val="both"/>
      </w:pPr>
      <w:r>
        <w:rPr>
          <w:sz w:val="20"/>
        </w:rPr>
        <w:t xml:space="preserve">2. Обеспечение устойчивого лесопользования, защита природных лесных экосистем:</w:t>
      </w:r>
    </w:p>
    <w:p>
      <w:pPr>
        <w:pStyle w:val="0"/>
        <w:spacing w:before="200" w:line-rule="auto"/>
        <w:ind w:firstLine="540"/>
        <w:jc w:val="both"/>
      </w:pPr>
      <w:r>
        <w:rPr>
          <w:sz w:val="20"/>
        </w:rPr>
        <w:t xml:space="preserve">постоянная инвентаризация территорий, которые имеют большое значение для сохранения биологического разнообразия в целом и отдельных видов в частности;</w:t>
      </w:r>
    </w:p>
    <w:p>
      <w:pPr>
        <w:pStyle w:val="0"/>
        <w:spacing w:before="200" w:line-rule="auto"/>
        <w:ind w:firstLine="540"/>
        <w:jc w:val="both"/>
      </w:pPr>
      <w:r>
        <w:rPr>
          <w:sz w:val="20"/>
        </w:rPr>
        <w:t xml:space="preserve">сохранение и увеличение лесистости территории Курской области, увеличение площади особо охраняемых природных территорий регионального значения, сохранение лесного биоразнообразия;</w:t>
      </w:r>
    </w:p>
    <w:p>
      <w:pPr>
        <w:pStyle w:val="0"/>
        <w:spacing w:before="200" w:line-rule="auto"/>
        <w:ind w:firstLine="540"/>
        <w:jc w:val="both"/>
      </w:pPr>
      <w:r>
        <w:rPr>
          <w:sz w:val="20"/>
        </w:rPr>
        <w:t xml:space="preserve">мониторинг состояния территорий и популяций;</w:t>
      </w:r>
    </w:p>
    <w:p>
      <w:pPr>
        <w:pStyle w:val="0"/>
        <w:spacing w:before="200" w:line-rule="auto"/>
        <w:ind w:firstLine="540"/>
        <w:jc w:val="both"/>
      </w:pPr>
      <w:r>
        <w:rPr>
          <w:sz w:val="20"/>
        </w:rPr>
        <w:t xml:space="preserve">обеспечение круглогодичного ухода за территориями ООПТ;</w:t>
      </w:r>
    </w:p>
    <w:p>
      <w:pPr>
        <w:pStyle w:val="0"/>
        <w:spacing w:before="200" w:line-rule="auto"/>
        <w:ind w:firstLine="540"/>
        <w:jc w:val="both"/>
      </w:pPr>
      <w:r>
        <w:rPr>
          <w:sz w:val="20"/>
        </w:rPr>
        <w:t xml:space="preserve">защита лесов и проведение санитарно-оздоровительных мероприятий;</w:t>
      </w:r>
    </w:p>
    <w:p>
      <w:pPr>
        <w:pStyle w:val="0"/>
        <w:spacing w:before="200" w:line-rule="auto"/>
        <w:ind w:firstLine="540"/>
        <w:jc w:val="both"/>
      </w:pPr>
      <w:r>
        <w:rPr>
          <w:sz w:val="20"/>
        </w:rPr>
        <w:t xml:space="preserve">применение информационно-коммуникационных технологий и дистанционных средств слежения за незаконными лесозаготовками и рубками;</w:t>
      </w:r>
    </w:p>
    <w:p>
      <w:pPr>
        <w:pStyle w:val="0"/>
        <w:spacing w:before="200" w:line-rule="auto"/>
        <w:ind w:firstLine="540"/>
        <w:jc w:val="both"/>
      </w:pPr>
      <w:r>
        <w:rPr>
          <w:sz w:val="20"/>
        </w:rPr>
        <w:t xml:space="preserve">популяризация "зеленого" подхода у местного населения в отношении к природоохранным объектам;</w:t>
      </w:r>
    </w:p>
    <w:p>
      <w:pPr>
        <w:pStyle w:val="0"/>
        <w:spacing w:before="200" w:line-rule="auto"/>
        <w:ind w:firstLine="540"/>
        <w:jc w:val="both"/>
      </w:pPr>
      <w:r>
        <w:rPr>
          <w:sz w:val="20"/>
        </w:rPr>
        <w:t xml:space="preserve">устройство, прочистка и обновление противопожарных минерализованных полос;</w:t>
      </w:r>
    </w:p>
    <w:p>
      <w:pPr>
        <w:pStyle w:val="0"/>
        <w:spacing w:before="200" w:line-rule="auto"/>
        <w:ind w:firstLine="540"/>
        <w:jc w:val="both"/>
      </w:pPr>
      <w:r>
        <w:rPr>
          <w:sz w:val="20"/>
        </w:rPr>
        <w:t xml:space="preserve">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pPr>
        <w:pStyle w:val="0"/>
        <w:spacing w:before="200" w:line-rule="auto"/>
        <w:ind w:firstLine="540"/>
        <w:jc w:val="both"/>
      </w:pPr>
      <w:r>
        <w:rPr>
          <w:sz w:val="20"/>
        </w:rPr>
        <w:t xml:space="preserve">установка и реконструкция шлагбаумов, устройство преград, обеспечивающих ограничение пребывания граждан в лесах в целях обеспечения пожарной безопасности;</w:t>
      </w:r>
    </w:p>
    <w:p>
      <w:pPr>
        <w:pStyle w:val="0"/>
        <w:spacing w:before="200" w:line-rule="auto"/>
        <w:ind w:firstLine="540"/>
        <w:jc w:val="both"/>
      </w:pPr>
      <w:r>
        <w:rPr>
          <w:sz w:val="20"/>
        </w:rPr>
        <w:t xml:space="preserve">установка и размещение стендов и других знаков и указателей, содержащих информацию о мерах пожарной безопасности в лесах;</w:t>
      </w:r>
    </w:p>
    <w:p>
      <w:pPr>
        <w:pStyle w:val="0"/>
        <w:spacing w:before="200" w:line-rule="auto"/>
        <w:ind w:firstLine="540"/>
        <w:jc w:val="both"/>
      </w:pPr>
      <w:r>
        <w:rPr>
          <w:sz w:val="20"/>
        </w:rPr>
        <w:t xml:space="preserve">организация системы обнаружения и учета лесных пожаров, системы наблюдения за их развитием с использованием наземных, авиационных или космических средств;</w:t>
      </w:r>
    </w:p>
    <w:p>
      <w:pPr>
        <w:pStyle w:val="0"/>
        <w:spacing w:before="200" w:line-rule="auto"/>
        <w:ind w:firstLine="540"/>
        <w:jc w:val="both"/>
      </w:pPr>
      <w:r>
        <w:rPr>
          <w:sz w:val="20"/>
        </w:rPr>
        <w:t xml:space="preserve">обеспечение функционирования пожарно-химических станций, специализированной диспетчерской службы;</w:t>
      </w:r>
    </w:p>
    <w:p>
      <w:pPr>
        <w:pStyle w:val="0"/>
        <w:spacing w:before="200" w:line-rule="auto"/>
        <w:ind w:firstLine="540"/>
        <w:jc w:val="both"/>
      </w:pPr>
      <w:r>
        <w:rPr>
          <w:sz w:val="20"/>
        </w:rPr>
        <w:t xml:space="preserve">проведение мероприятий в части увеличения объема работ по лесовосстановлению и лесоразведению, в том числе: искусственное лесовосстановление (посадка леса); содействие естественному возобновлению; дополнение лесных культур; проведение агротехнического ухода за лесными культурами; подготовка почвы под лесные культуры; уход за лесами в молодняках; лесоразведение;</w:t>
      </w:r>
    </w:p>
    <w:p>
      <w:pPr>
        <w:pStyle w:val="0"/>
        <w:spacing w:before="200" w:line-rule="auto"/>
        <w:ind w:firstLine="540"/>
        <w:jc w:val="both"/>
      </w:pPr>
      <w:r>
        <w:rPr>
          <w:sz w:val="20"/>
        </w:rPr>
        <w:t xml:space="preserve">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p>
      <w:pPr>
        <w:pStyle w:val="0"/>
        <w:spacing w:before="200" w:line-rule="auto"/>
        <w:ind w:firstLine="540"/>
        <w:jc w:val="both"/>
      </w:pPr>
      <w:r>
        <w:rPr>
          <w:sz w:val="20"/>
        </w:rPr>
        <w:t xml:space="preserve">оснащение специализированных учреждений органов государственной власти Курской области лесопожарной техникой и оборудованием для проведения комплекса мероприятий по охране лесов от пожаров.</w:t>
      </w:r>
    </w:p>
    <w:p>
      <w:pPr>
        <w:pStyle w:val="0"/>
        <w:spacing w:before="200" w:line-rule="auto"/>
        <w:ind w:firstLine="540"/>
        <w:jc w:val="both"/>
      </w:pPr>
      <w:r>
        <w:rPr>
          <w:sz w:val="20"/>
        </w:rPr>
        <w:t xml:space="preserve">3. Повышение качества питьевой воды в населенных пунктах, реализация регионального проекта "Чистая вода в Курской области", экологизация бассейнов рек Курской области:</w:t>
      </w:r>
    </w:p>
    <w:p>
      <w:pPr>
        <w:pStyle w:val="0"/>
        <w:spacing w:before="200" w:line-rule="auto"/>
        <w:ind w:firstLine="540"/>
        <w:jc w:val="both"/>
      </w:pPr>
      <w:r>
        <w:rPr>
          <w:sz w:val="20"/>
        </w:rPr>
        <w:t xml:space="preserve">реализация регионального проекта "Чистая вода в Курской области", восстановление и развитие эксплуатационно-технического состояния объектов водопроводного хозяйства Курской области;</w:t>
      </w:r>
    </w:p>
    <w:p>
      <w:pPr>
        <w:pStyle w:val="0"/>
        <w:spacing w:before="200" w:line-rule="auto"/>
        <w:ind w:firstLine="540"/>
        <w:jc w:val="both"/>
      </w:pPr>
      <w:r>
        <w:rPr>
          <w:sz w:val="20"/>
        </w:rPr>
        <w:t xml:space="preserve">строительство, реконструкция и модернизация очистных сооружений, в том числе стимулирование внедрения биологической очистки бытовых стоков в малонаселенных пунктах, кварталах индивидуального жилья, на территории дачных и садоводческих товариществ;</w:t>
      </w:r>
    </w:p>
    <w:p>
      <w:pPr>
        <w:pStyle w:val="0"/>
        <w:spacing w:before="200" w:line-rule="auto"/>
        <w:ind w:firstLine="540"/>
        <w:jc w:val="both"/>
      </w:pPr>
      <w:r>
        <w:rPr>
          <w:sz w:val="20"/>
        </w:rPr>
        <w:t xml:space="preserve">проведение контроля за качеством сточных вод;</w:t>
      </w:r>
    </w:p>
    <w:p>
      <w:pPr>
        <w:pStyle w:val="0"/>
        <w:spacing w:before="200" w:line-rule="auto"/>
        <w:ind w:firstLine="540"/>
        <w:jc w:val="both"/>
      </w:pPr>
      <w:r>
        <w:rPr>
          <w:sz w:val="20"/>
        </w:rPr>
        <w:t xml:space="preserve">обеспечение санитарной защиты и модернизации водозаборов;</w:t>
      </w:r>
    </w:p>
    <w:p>
      <w:pPr>
        <w:pStyle w:val="0"/>
        <w:spacing w:before="200" w:line-rule="auto"/>
        <w:ind w:firstLine="540"/>
        <w:jc w:val="both"/>
      </w:pPr>
      <w:r>
        <w:rPr>
          <w:sz w:val="20"/>
        </w:rPr>
        <w:t xml:space="preserve">решение проблем качества питьевой воды в отдельных муниципальных районах Курской области (близкие к Курской магнитной аномалии);</w:t>
      </w:r>
    </w:p>
    <w:p>
      <w:pPr>
        <w:pStyle w:val="0"/>
        <w:spacing w:before="200" w:line-rule="auto"/>
        <w:ind w:firstLine="540"/>
        <w:jc w:val="both"/>
      </w:pPr>
      <w:r>
        <w:rPr>
          <w:sz w:val="20"/>
        </w:rPr>
        <w:t xml:space="preserve">оснащение счетчиками (электроснабжение, водоснабжение) индивидуальных домов в целях предотвращения несанкционированного отбора воды;</w:t>
      </w:r>
    </w:p>
    <w:p>
      <w:pPr>
        <w:pStyle w:val="0"/>
        <w:spacing w:before="200" w:line-rule="auto"/>
        <w:ind w:firstLine="540"/>
        <w:jc w:val="both"/>
      </w:pPr>
      <w:r>
        <w:rPr>
          <w:sz w:val="20"/>
        </w:rPr>
        <w:t xml:space="preserve">внедрение систем автоматизации процессов очистки, подачи и распределения питьевой воды;</w:t>
      </w:r>
    </w:p>
    <w:p>
      <w:pPr>
        <w:pStyle w:val="0"/>
        <w:spacing w:before="200" w:line-rule="auto"/>
        <w:ind w:firstLine="540"/>
        <w:jc w:val="both"/>
      </w:pPr>
      <w:r>
        <w:rPr>
          <w:sz w:val="20"/>
        </w:rPr>
        <w:t xml:space="preserve">внедрение оборотных систем водоснабжения в городском хозяйстве, на предприятиях;</w:t>
      </w:r>
    </w:p>
    <w:p>
      <w:pPr>
        <w:pStyle w:val="0"/>
        <w:spacing w:before="200" w:line-rule="auto"/>
        <w:ind w:firstLine="540"/>
        <w:jc w:val="both"/>
      </w:pPr>
      <w:r>
        <w:rPr>
          <w:sz w:val="20"/>
        </w:rPr>
        <w:t xml:space="preserve">в рамках государственной программы Курской области "Воспроизводство и использование природных ресурсов, охрана окружающей среды в Курской области" и регионального проекта "Сохранение уникальных водных объектов на территории Курской области" планируется: обеспечение расчистки рек Курской области; снижение загрязнения водных объектов, в том числе соблюдение режима водоохранных зон и прибрежных защитных полос водных объектов, очистка от бытового мусора. В 2019 - 2020 годах в рамках регионального проекта "Сохранение уникальных водных объектов на территории Курской области" осуществляется экологическая реабилитация реки Сейм от 597 км до 578 км от устья (17 км).</w:t>
      </w:r>
    </w:p>
    <w:p>
      <w:pPr>
        <w:pStyle w:val="0"/>
        <w:spacing w:before="200" w:line-rule="auto"/>
        <w:ind w:firstLine="540"/>
        <w:jc w:val="both"/>
      </w:pPr>
      <w:r>
        <w:rPr>
          <w:sz w:val="20"/>
        </w:rPr>
        <w:t xml:space="preserve">4. Локализация и ликвидация очагов опасных растений (амброзии и борщевика Сосновского).</w:t>
      </w:r>
    </w:p>
    <w:p>
      <w:pPr>
        <w:pStyle w:val="0"/>
        <w:spacing w:before="200" w:line-rule="auto"/>
        <w:ind w:firstLine="540"/>
        <w:jc w:val="both"/>
      </w:pPr>
      <w:r>
        <w:rPr>
          <w:sz w:val="20"/>
        </w:rPr>
        <w:t xml:space="preserve">5. Создание и оснащение эффективного эконадзора.</w:t>
      </w:r>
    </w:p>
    <w:p>
      <w:pPr>
        <w:pStyle w:val="0"/>
        <w:jc w:val="both"/>
      </w:pPr>
      <w:r>
        <w:rPr>
          <w:sz w:val="20"/>
        </w:rPr>
      </w:r>
    </w:p>
    <w:p>
      <w:pPr>
        <w:pStyle w:val="2"/>
        <w:outlineLvl w:val="2"/>
        <w:ind w:firstLine="540"/>
        <w:jc w:val="both"/>
      </w:pPr>
      <w:r>
        <w:rPr>
          <w:sz w:val="20"/>
        </w:rPr>
        <w:t xml:space="preserve">11.2. Зеленые города, экологически чистый транспорт</w:t>
      </w:r>
    </w:p>
    <w:p>
      <w:pPr>
        <w:pStyle w:val="0"/>
        <w:jc w:val="both"/>
      </w:pPr>
      <w:r>
        <w:rPr>
          <w:sz w:val="20"/>
        </w:rPr>
      </w:r>
    </w:p>
    <w:p>
      <w:pPr>
        <w:pStyle w:val="0"/>
        <w:ind w:firstLine="540"/>
        <w:jc w:val="both"/>
      </w:pPr>
      <w:r>
        <w:rPr>
          <w:sz w:val="20"/>
        </w:rPr>
        <w:t xml:space="preserve">Задача. Улучшение экологической обстановки в населенных пунктах Курской области, формирование зеленого каркаса, развитие экологически чистого транспорта в городах.</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Улучшение экологической обстановки в населенных пунктах:</w:t>
      </w:r>
    </w:p>
    <w:p>
      <w:pPr>
        <w:pStyle w:val="0"/>
        <w:spacing w:before="200" w:line-rule="auto"/>
        <w:ind w:firstLine="540"/>
        <w:jc w:val="both"/>
      </w:pPr>
      <w:r>
        <w:rPr>
          <w:sz w:val="20"/>
        </w:rPr>
        <w:t xml:space="preserve">формирование единого зеленого каркаса города Курска;</w:t>
      </w:r>
    </w:p>
    <w:p>
      <w:pPr>
        <w:pStyle w:val="0"/>
        <w:spacing w:before="200" w:line-rule="auto"/>
        <w:ind w:firstLine="540"/>
        <w:jc w:val="both"/>
      </w:pPr>
      <w:r>
        <w:rPr>
          <w:sz w:val="20"/>
        </w:rPr>
        <w:t xml:space="preserve">формирование полноценной системы экологического образования и просвещения (детский сад - школа - вуз/среднее специальное учебное заведение);</w:t>
      </w:r>
    </w:p>
    <w:p>
      <w:pPr>
        <w:pStyle w:val="0"/>
        <w:spacing w:before="200" w:line-rule="auto"/>
        <w:ind w:firstLine="540"/>
        <w:jc w:val="both"/>
      </w:pPr>
      <w:r>
        <w:rPr>
          <w:sz w:val="20"/>
        </w:rPr>
        <w:t xml:space="preserve">экологизация поведения жителей Курской области, пропаганда идей "зеленой" экономики, направленной на минимизацию экологического вреда и сохранение естественных экосистем, формирование экологического мировоззрения;</w:t>
      </w:r>
    </w:p>
    <w:p>
      <w:pPr>
        <w:pStyle w:val="0"/>
        <w:spacing w:before="200" w:line-rule="auto"/>
        <w:ind w:firstLine="540"/>
        <w:jc w:val="both"/>
      </w:pPr>
      <w:r>
        <w:rPr>
          <w:sz w:val="20"/>
        </w:rPr>
        <w:t xml:space="preserve">реализация проекта "Эколекториум "Человек и природа" в современном мире": разработка и внедрение в образовательный процесс ссузов региона курса научно-популярных лекций, а также отдельных научно-просветительских мероприятий для трудовых коллективов и других сообществ, посвященных современной экологической проблематике в масштабах от регионального до глобального; формирование экологического сознания, экологической культуры у молодежи и населения региона в целом;</w:t>
      </w:r>
    </w:p>
    <w:p>
      <w:pPr>
        <w:pStyle w:val="0"/>
        <w:spacing w:before="200" w:line-rule="auto"/>
        <w:ind w:firstLine="540"/>
        <w:jc w:val="both"/>
      </w:pPr>
      <w:r>
        <w:rPr>
          <w:sz w:val="20"/>
        </w:rPr>
        <w:t xml:space="preserve">учет природно-рекреационной компоненты при планировании развития жилищного строительства;</w:t>
      </w:r>
    </w:p>
    <w:p>
      <w:pPr>
        <w:pStyle w:val="0"/>
        <w:spacing w:before="200" w:line-rule="auto"/>
        <w:ind w:firstLine="540"/>
        <w:jc w:val="both"/>
      </w:pPr>
      <w:r>
        <w:rPr>
          <w:sz w:val="20"/>
        </w:rPr>
        <w:t xml:space="preserve">комплексное развитие общественных пространств и зеленых зон, недопущение застройки парковых территорий, формирование "зеленых щитов" вокруг крупнейших населенных пунктов;</w:t>
      </w:r>
    </w:p>
    <w:p>
      <w:pPr>
        <w:pStyle w:val="0"/>
        <w:spacing w:before="200" w:line-rule="auto"/>
        <w:ind w:firstLine="540"/>
        <w:jc w:val="both"/>
      </w:pPr>
      <w:r>
        <w:rPr>
          <w:sz w:val="20"/>
        </w:rPr>
        <w:t xml:space="preserve">экологизация процесса озеленения автодорожных и железнодорожных прилегающих территорий;</w:t>
      </w:r>
    </w:p>
    <w:p>
      <w:pPr>
        <w:pStyle w:val="0"/>
        <w:spacing w:before="200" w:line-rule="auto"/>
        <w:ind w:firstLine="540"/>
        <w:jc w:val="both"/>
      </w:pPr>
      <w:r>
        <w:rPr>
          <w:sz w:val="20"/>
        </w:rPr>
        <w:t xml:space="preserve">внедрение принципов экологоориентированной архитектуры (соразмерная человеку городская среда; применение экологически чистых материалов; озеленение дворовых территорий; снижение визуального загрязнения через озеленение и ликвидацию рекламы, единое оформление фасадов и вывесок; снижение шумового и электромагнитного загрязнения; развитие санитарно-защитного озеленения вдоль автомобильных дорог и вокруг промышленных предприятий);</w:t>
      </w:r>
    </w:p>
    <w:p>
      <w:pPr>
        <w:pStyle w:val="0"/>
        <w:spacing w:before="200" w:line-rule="auto"/>
        <w:ind w:firstLine="540"/>
        <w:jc w:val="both"/>
      </w:pPr>
      <w:r>
        <w:rPr>
          <w:sz w:val="20"/>
        </w:rPr>
        <w:t xml:space="preserve">создание экопарковок;</w:t>
      </w:r>
    </w:p>
    <w:p>
      <w:pPr>
        <w:pStyle w:val="0"/>
        <w:spacing w:before="200" w:line-rule="auto"/>
        <w:ind w:firstLine="540"/>
        <w:jc w:val="both"/>
      </w:pPr>
      <w:r>
        <w:rPr>
          <w:sz w:val="20"/>
        </w:rPr>
        <w:t xml:space="preserve">развитие экологического туризма, организация "троп здоровья", развитие инфраструктуры здорового образа жизни;</w:t>
      </w:r>
    </w:p>
    <w:p>
      <w:pPr>
        <w:pStyle w:val="0"/>
        <w:spacing w:before="200" w:line-rule="auto"/>
        <w:ind w:firstLine="540"/>
        <w:jc w:val="both"/>
      </w:pPr>
      <w:r>
        <w:rPr>
          <w:sz w:val="20"/>
        </w:rPr>
        <w:t xml:space="preserve">проведение ежегодных конкурсов лучших проектов по улучшению экологии в населенных пунктах.</w:t>
      </w:r>
    </w:p>
    <w:p>
      <w:pPr>
        <w:pStyle w:val="0"/>
        <w:spacing w:before="200" w:line-rule="auto"/>
        <w:ind w:firstLine="540"/>
        <w:jc w:val="both"/>
      </w:pPr>
      <w:r>
        <w:rPr>
          <w:sz w:val="20"/>
        </w:rPr>
        <w:t xml:space="preserve">2. Развитие экологически чистых видов транспорта:</w:t>
      </w:r>
    </w:p>
    <w:p>
      <w:pPr>
        <w:pStyle w:val="0"/>
        <w:spacing w:before="200" w:line-rule="auto"/>
        <w:ind w:firstLine="540"/>
        <w:jc w:val="both"/>
      </w:pPr>
      <w:r>
        <w:rPr>
          <w:sz w:val="20"/>
        </w:rPr>
        <w:t xml:space="preserve">приоритетное развитие городского скоростного электротранспорта;</w:t>
      </w:r>
    </w:p>
    <w:p>
      <w:pPr>
        <w:pStyle w:val="0"/>
        <w:spacing w:before="200" w:line-rule="auto"/>
        <w:ind w:firstLine="540"/>
        <w:jc w:val="both"/>
      </w:pPr>
      <w:r>
        <w:rPr>
          <w:sz w:val="20"/>
        </w:rPr>
        <w:t xml:space="preserve">проработка вопроса о субсидировании электротранспорта в г. Курске (дотирование троллейбусного сообщения, в том числе за счет сборов от платных парковок);</w:t>
      </w:r>
    </w:p>
    <w:p>
      <w:pPr>
        <w:pStyle w:val="0"/>
        <w:spacing w:before="200" w:line-rule="auto"/>
        <w:ind w:firstLine="540"/>
        <w:jc w:val="both"/>
      </w:pPr>
      <w:r>
        <w:rPr>
          <w:sz w:val="20"/>
        </w:rPr>
        <w:t xml:space="preserve">развитие автобусов на газомоторном топливе;</w:t>
      </w:r>
    </w:p>
    <w:p>
      <w:pPr>
        <w:pStyle w:val="0"/>
        <w:spacing w:before="200" w:line-rule="auto"/>
        <w:ind w:firstLine="540"/>
        <w:jc w:val="both"/>
      </w:pPr>
      <w:r>
        <w:rPr>
          <w:sz w:val="20"/>
        </w:rPr>
        <w:t xml:space="preserve">расширение сети автомобильных газонаполнительных компрессорных станций (АГНКС);</w:t>
      </w:r>
    </w:p>
    <w:p>
      <w:pPr>
        <w:pStyle w:val="0"/>
        <w:spacing w:before="200" w:line-rule="auto"/>
        <w:ind w:firstLine="540"/>
        <w:jc w:val="both"/>
      </w:pPr>
      <w:r>
        <w:rPr>
          <w:sz w:val="20"/>
        </w:rPr>
        <w:t xml:space="preserve">развитие сети электрических станций для зарядки электромобилей;</w:t>
      </w:r>
    </w:p>
    <w:p>
      <w:pPr>
        <w:pStyle w:val="0"/>
        <w:spacing w:before="200" w:line-rule="auto"/>
        <w:ind w:firstLine="540"/>
        <w:jc w:val="both"/>
      </w:pPr>
      <w:r>
        <w:rPr>
          <w:sz w:val="20"/>
        </w:rPr>
        <w:t xml:space="preserve">оптимизация транспортных потоков в целях снижения выбросов вредных веществ: обеспечение преимущественных прав проезда для общественного транспорта (выделенные полосы, светофорное регулирование);</w:t>
      </w:r>
    </w:p>
    <w:p>
      <w:pPr>
        <w:pStyle w:val="0"/>
        <w:spacing w:before="200" w:line-rule="auto"/>
        <w:ind w:firstLine="540"/>
        <w:jc w:val="both"/>
      </w:pPr>
      <w:r>
        <w:rPr>
          <w:sz w:val="20"/>
        </w:rPr>
        <w:t xml:space="preserve">создание полноценной современной инфраструктуры для велопоездок, развитие сети велодорожек в крупных населенных пунктах Курской области.</w:t>
      </w:r>
    </w:p>
    <w:p>
      <w:pPr>
        <w:pStyle w:val="0"/>
        <w:jc w:val="both"/>
      </w:pPr>
      <w:r>
        <w:rPr>
          <w:sz w:val="20"/>
        </w:rPr>
      </w:r>
    </w:p>
    <w:p>
      <w:pPr>
        <w:pStyle w:val="2"/>
        <w:outlineLvl w:val="2"/>
        <w:ind w:firstLine="540"/>
        <w:jc w:val="both"/>
      </w:pPr>
      <w:r>
        <w:rPr>
          <w:sz w:val="20"/>
        </w:rPr>
        <w:t xml:space="preserve">11.3. Зеленые технологии</w:t>
      </w:r>
    </w:p>
    <w:p>
      <w:pPr>
        <w:pStyle w:val="0"/>
        <w:jc w:val="both"/>
      </w:pPr>
      <w:r>
        <w:rPr>
          <w:sz w:val="20"/>
        </w:rPr>
      </w:r>
    </w:p>
    <w:p>
      <w:pPr>
        <w:pStyle w:val="0"/>
        <w:ind w:firstLine="540"/>
        <w:jc w:val="both"/>
      </w:pPr>
      <w:r>
        <w:rPr>
          <w:sz w:val="20"/>
        </w:rPr>
        <w:t xml:space="preserve">Задача. Развитие "зеленых" технологий, стимулирование масштабирования "зеленых" отраслей промышленности, в том числе возобновляемой энергетики.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Развитие производства и экспорта экологически чистых товаров:</w:t>
      </w:r>
    </w:p>
    <w:p>
      <w:pPr>
        <w:pStyle w:val="0"/>
        <w:spacing w:before="200" w:line-rule="auto"/>
        <w:ind w:firstLine="540"/>
        <w:jc w:val="both"/>
      </w:pPr>
      <w:r>
        <w:rPr>
          <w:sz w:val="20"/>
        </w:rPr>
        <w:t xml:space="preserve">развитие наукоемких и ресурсосберегающих технологий и производств в рамках инновационного импортозамещения;</w:t>
      </w:r>
    </w:p>
    <w:p>
      <w:pPr>
        <w:pStyle w:val="0"/>
        <w:spacing w:before="200" w:line-rule="auto"/>
        <w:ind w:firstLine="540"/>
        <w:jc w:val="both"/>
      </w:pPr>
      <w:r>
        <w:rPr>
          <w:sz w:val="20"/>
        </w:rPr>
        <w:t xml:space="preserve">развитие производства экологически чистых продуктов питания и органического земледелия (поддержание биологического плодородия почв, обустройство пригородных зон);</w:t>
      </w:r>
    </w:p>
    <w:p>
      <w:pPr>
        <w:pStyle w:val="0"/>
        <w:spacing w:before="200" w:line-rule="auto"/>
        <w:ind w:firstLine="540"/>
        <w:jc w:val="both"/>
      </w:pPr>
      <w:r>
        <w:rPr>
          <w:sz w:val="20"/>
        </w:rPr>
        <w:t xml:space="preserve">поддержка экспорта продукции безотходных и экологически чистых инновационных производств;</w:t>
      </w:r>
    </w:p>
    <w:p>
      <w:pPr>
        <w:pStyle w:val="0"/>
        <w:spacing w:before="200" w:line-rule="auto"/>
        <w:ind w:firstLine="540"/>
        <w:jc w:val="both"/>
      </w:pPr>
      <w:r>
        <w:rPr>
          <w:sz w:val="20"/>
        </w:rPr>
        <w:t xml:space="preserve">поддержка создания производств биоразлагаемой тары и упаковки;</w:t>
      </w:r>
    </w:p>
    <w:p>
      <w:pPr>
        <w:pStyle w:val="0"/>
        <w:spacing w:before="200" w:line-rule="auto"/>
        <w:ind w:firstLine="540"/>
        <w:jc w:val="both"/>
      </w:pPr>
      <w:r>
        <w:rPr>
          <w:sz w:val="20"/>
        </w:rPr>
        <w:t xml:space="preserve">стимулирование минимального использования тары и упаковки при производстве в Курской области.</w:t>
      </w:r>
    </w:p>
    <w:p>
      <w:pPr>
        <w:pStyle w:val="0"/>
        <w:spacing w:before="200" w:line-rule="auto"/>
        <w:ind w:firstLine="540"/>
        <w:jc w:val="both"/>
      </w:pPr>
      <w:r>
        <w:rPr>
          <w:sz w:val="20"/>
        </w:rPr>
        <w:t xml:space="preserve">2. Повышение энергоэффективности в строительстве и городском хозяйстве:</w:t>
      </w:r>
    </w:p>
    <w:p>
      <w:pPr>
        <w:pStyle w:val="0"/>
        <w:spacing w:before="200" w:line-rule="auto"/>
        <w:ind w:firstLine="540"/>
        <w:jc w:val="both"/>
      </w:pPr>
      <w:r>
        <w:rPr>
          <w:sz w:val="20"/>
        </w:rPr>
        <w:t xml:space="preserve">внедрение возобновляемых источников энергии в городском пространстве (освещение пешеходных переходов, пешеходных дорожек, обеспечение работы светофоров и т.д.);</w:t>
      </w:r>
    </w:p>
    <w:p>
      <w:pPr>
        <w:pStyle w:val="0"/>
        <w:spacing w:before="200" w:line-rule="auto"/>
        <w:ind w:firstLine="540"/>
        <w:jc w:val="both"/>
      </w:pPr>
      <w:r>
        <w:rPr>
          <w:sz w:val="20"/>
        </w:rPr>
        <w:t xml:space="preserve">использование тепловых насосов;</w:t>
      </w:r>
    </w:p>
    <w:p>
      <w:pPr>
        <w:pStyle w:val="0"/>
        <w:spacing w:before="200" w:line-rule="auto"/>
        <w:ind w:firstLine="540"/>
        <w:jc w:val="both"/>
      </w:pPr>
      <w:r>
        <w:rPr>
          <w:sz w:val="20"/>
        </w:rPr>
        <w:t xml:space="preserve">стимулирование применения энергоэффективных технологий в строительной сфере (умный дом, энергоэффективный дом);</w:t>
      </w:r>
    </w:p>
    <w:p>
      <w:pPr>
        <w:pStyle w:val="0"/>
        <w:spacing w:before="200" w:line-rule="auto"/>
        <w:ind w:firstLine="540"/>
        <w:jc w:val="both"/>
      </w:pPr>
      <w:r>
        <w:rPr>
          <w:sz w:val="20"/>
        </w:rPr>
        <w:t xml:space="preserve">включение в классификацию многоквартирных домов класса энергоэффективности и осуществление мониторинга за этим показателем в процессе эксплуатации зданий;</w:t>
      </w:r>
    </w:p>
    <w:p>
      <w:pPr>
        <w:pStyle w:val="0"/>
        <w:spacing w:before="200" w:line-rule="auto"/>
        <w:ind w:firstLine="540"/>
        <w:jc w:val="both"/>
      </w:pPr>
      <w:r>
        <w:rPr>
          <w:sz w:val="20"/>
        </w:rPr>
        <w:t xml:space="preserve">введение требования реализации энергосберегающих мероприятий как обязательного условия предоставления финансовой поддержки для проведения ремонтов из федерального, регионального или местного бюджетов;</w:t>
      </w:r>
    </w:p>
    <w:p>
      <w:pPr>
        <w:pStyle w:val="0"/>
        <w:spacing w:before="200" w:line-rule="auto"/>
        <w:ind w:firstLine="540"/>
        <w:jc w:val="both"/>
      </w:pPr>
      <w:r>
        <w:rPr>
          <w:sz w:val="20"/>
        </w:rPr>
        <w:t xml:space="preserve">внедрение ресурсосберегающих технологий (светильников с датчиками движения; модернизация придомового освещения, переход к натриевым лампам; стимулирование введения многотарифного учета в быту; замена низковольтной аппаратуры на тепловизионный контроль);</w:t>
      </w:r>
    </w:p>
    <w:p>
      <w:pPr>
        <w:pStyle w:val="0"/>
        <w:spacing w:before="200" w:line-rule="auto"/>
        <w:ind w:firstLine="540"/>
        <w:jc w:val="both"/>
      </w:pPr>
      <w:r>
        <w:rPr>
          <w:sz w:val="20"/>
        </w:rPr>
        <w:t xml:space="preserve">стимулирование инициатив собственников жилья по проведению комплексных энергосберегающих ремонтов путем предоставления целевых бюджетных субсидий;</w:t>
      </w:r>
    </w:p>
    <w:p>
      <w:pPr>
        <w:pStyle w:val="0"/>
        <w:spacing w:before="200" w:line-rule="auto"/>
        <w:ind w:firstLine="540"/>
        <w:jc w:val="both"/>
      </w:pPr>
      <w:r>
        <w:rPr>
          <w:sz w:val="20"/>
        </w:rPr>
        <w:t xml:space="preserve">проработка вопроса о развитии биоэнергетики - использование отходов агропромышленного комплекса для производства биогаза (а также индивидуальной солнечной энергетики) с целью обеспечения электроэнергией и теплом удаленных сельских поселений, не подключенных к единой энергосети;</w:t>
      </w:r>
    </w:p>
    <w:p>
      <w:pPr>
        <w:pStyle w:val="0"/>
        <w:spacing w:before="200" w:line-rule="auto"/>
        <w:ind w:firstLine="540"/>
        <w:jc w:val="both"/>
      </w:pPr>
      <w:r>
        <w:rPr>
          <w:sz w:val="20"/>
        </w:rPr>
        <w:t xml:space="preserve">проработка мер налогового стимулирования внедрения ресурсосберегающих и экоэффективных технологий и введения "зеленого тарифа" (целевая субсидия от региональных властей):</w:t>
      </w:r>
    </w:p>
    <w:p>
      <w:pPr>
        <w:pStyle w:val="0"/>
        <w:spacing w:before="200" w:line-rule="auto"/>
        <w:ind w:firstLine="540"/>
        <w:jc w:val="both"/>
      </w:pPr>
      <w:r>
        <w:rPr>
          <w:sz w:val="20"/>
        </w:rPr>
        <w:t xml:space="preserve">реализация проекта "Зеленые крыши";</w:t>
      </w:r>
    </w:p>
    <w:p>
      <w:pPr>
        <w:pStyle w:val="0"/>
        <w:spacing w:before="200" w:line-rule="auto"/>
        <w:ind w:firstLine="540"/>
        <w:jc w:val="both"/>
      </w:pPr>
      <w:r>
        <w:rPr>
          <w:sz w:val="20"/>
        </w:rPr>
        <w:t xml:space="preserve">разработка и реализация пилотных проектов с использованием ресурсосберегающих технологий, возобновляемых источников энергии и с соблюдением принципов ответственного производства и потребления;</w:t>
      </w:r>
    </w:p>
    <w:p>
      <w:pPr>
        <w:pStyle w:val="0"/>
        <w:spacing w:before="200" w:line-rule="auto"/>
        <w:ind w:firstLine="540"/>
        <w:jc w:val="both"/>
      </w:pPr>
      <w:r>
        <w:rPr>
          <w:sz w:val="20"/>
        </w:rPr>
        <w:t xml:space="preserve">разработка и реализация пилотных проектов в сфере децентрализации теплоснабжения городских территорий Курской области с переходом на местные и возобновляемые виды топлива.</w:t>
      </w:r>
    </w:p>
    <w:p>
      <w:pPr>
        <w:pStyle w:val="0"/>
        <w:jc w:val="both"/>
      </w:pPr>
      <w:r>
        <w:rPr>
          <w:sz w:val="20"/>
        </w:rPr>
      </w:r>
    </w:p>
    <w:p>
      <w:pPr>
        <w:pStyle w:val="2"/>
        <w:outlineLvl w:val="2"/>
        <w:ind w:firstLine="540"/>
        <w:jc w:val="both"/>
      </w:pPr>
      <w:r>
        <w:rPr>
          <w:sz w:val="20"/>
        </w:rPr>
        <w:t xml:space="preserve">11.4. Экологизация ЖКХ, управление отходами</w:t>
      </w:r>
    </w:p>
    <w:p>
      <w:pPr>
        <w:pStyle w:val="0"/>
        <w:jc w:val="both"/>
      </w:pPr>
      <w:r>
        <w:rPr>
          <w:sz w:val="20"/>
        </w:rPr>
      </w:r>
    </w:p>
    <w:p>
      <w:pPr>
        <w:pStyle w:val="0"/>
        <w:ind w:firstLine="540"/>
        <w:jc w:val="both"/>
      </w:pPr>
      <w:r>
        <w:rPr>
          <w:sz w:val="20"/>
        </w:rPr>
        <w:t xml:space="preserve">Задача. Экологизация жилищно-коммунального комплекса Курской области, эффективное управление отходами производства и потребления.</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1. Ограничение генерации экологически вредных и бионеразлагаемых отходов и материалов:</w:t>
      </w:r>
    </w:p>
    <w:p>
      <w:pPr>
        <w:pStyle w:val="0"/>
        <w:spacing w:before="200" w:line-rule="auto"/>
        <w:ind w:firstLine="540"/>
        <w:jc w:val="both"/>
      </w:pPr>
      <w:r>
        <w:rPr>
          <w:sz w:val="20"/>
        </w:rPr>
        <w:t xml:space="preserve">установка автоматов по сбору пластиковых бутылок и алюминиевых банок ("ФАНДОМАТ" предназначен для приема использованных алюминиевых банок и ПЭТ-бутылок, за которые он немедленно расплачивается с пользователем монетами);</w:t>
      </w:r>
    </w:p>
    <w:p>
      <w:pPr>
        <w:pStyle w:val="0"/>
        <w:spacing w:before="200" w:line-rule="auto"/>
        <w:ind w:firstLine="540"/>
        <w:jc w:val="both"/>
      </w:pPr>
      <w:r>
        <w:rPr>
          <w:sz w:val="20"/>
        </w:rPr>
        <w:t xml:space="preserve">стимулирование минимизации использования упаковки в розничной и оптовой торговле;</w:t>
      </w:r>
    </w:p>
    <w:p>
      <w:pPr>
        <w:pStyle w:val="0"/>
        <w:spacing w:before="200" w:line-rule="auto"/>
        <w:ind w:firstLine="540"/>
        <w:jc w:val="both"/>
      </w:pPr>
      <w:r>
        <w:rPr>
          <w:sz w:val="20"/>
        </w:rPr>
        <w:t xml:space="preserve">ограничение на использование потенциально опасных товаров бытовой химии, токсичных и бионеразлагаемых продуктов;</w:t>
      </w:r>
    </w:p>
    <w:p>
      <w:pPr>
        <w:pStyle w:val="0"/>
        <w:spacing w:before="200" w:line-rule="auto"/>
        <w:ind w:firstLine="540"/>
        <w:jc w:val="both"/>
      </w:pPr>
      <w:r>
        <w:rPr>
          <w:sz w:val="20"/>
        </w:rPr>
        <w:t xml:space="preserve">отказ от использования химических реагентов для борьбы с гололедом, мытья улиц;</w:t>
      </w:r>
    </w:p>
    <w:p>
      <w:pPr>
        <w:pStyle w:val="0"/>
        <w:spacing w:before="200" w:line-rule="auto"/>
        <w:ind w:firstLine="540"/>
        <w:jc w:val="both"/>
      </w:pPr>
      <w:r>
        <w:rPr>
          <w:sz w:val="20"/>
        </w:rPr>
        <w:t xml:space="preserve">повышение экологичности используемых удобрений и веществ в сельском хозяйстве;</w:t>
      </w:r>
    </w:p>
    <w:p>
      <w:pPr>
        <w:pStyle w:val="0"/>
        <w:spacing w:before="200" w:line-rule="auto"/>
        <w:ind w:firstLine="540"/>
        <w:jc w:val="both"/>
      </w:pPr>
      <w:r>
        <w:rPr>
          <w:sz w:val="20"/>
        </w:rPr>
        <w:t xml:space="preserve">постепенный запрет на использование экологически опасных строительных материалов;</w:t>
      </w:r>
    </w:p>
    <w:p>
      <w:pPr>
        <w:pStyle w:val="0"/>
        <w:spacing w:before="200" w:line-rule="auto"/>
        <w:ind w:firstLine="540"/>
        <w:jc w:val="both"/>
      </w:pPr>
      <w:r>
        <w:rPr>
          <w:sz w:val="20"/>
        </w:rPr>
        <w:t xml:space="preserve">производство и продвижение продуктов, которые подходят для многократного использования.</w:t>
      </w:r>
    </w:p>
    <w:p>
      <w:pPr>
        <w:pStyle w:val="0"/>
        <w:spacing w:before="200" w:line-rule="auto"/>
        <w:ind w:firstLine="540"/>
        <w:jc w:val="both"/>
      </w:pPr>
      <w:r>
        <w:rPr>
          <w:sz w:val="20"/>
        </w:rPr>
        <w:t xml:space="preserve">2. Организация системы раздельного сбора (накопления) и переработки отходов:</w:t>
      </w:r>
    </w:p>
    <w:p>
      <w:pPr>
        <w:pStyle w:val="0"/>
        <w:spacing w:before="200" w:line-rule="auto"/>
        <w:ind w:firstLine="540"/>
        <w:jc w:val="both"/>
      </w:pPr>
      <w:r>
        <w:rPr>
          <w:sz w:val="20"/>
        </w:rPr>
        <w:t xml:space="preserve">внедрение системы раздельного накопления твердых коммунальных отходов;</w:t>
      </w:r>
    </w:p>
    <w:p>
      <w:pPr>
        <w:pStyle w:val="0"/>
        <w:spacing w:before="200" w:line-rule="auto"/>
        <w:ind w:firstLine="540"/>
        <w:jc w:val="both"/>
      </w:pPr>
      <w:r>
        <w:rPr>
          <w:sz w:val="20"/>
        </w:rPr>
        <w:t xml:space="preserve">развитие сети предприятий по переработке и сортировке твердых коммунальных отходов.</w:t>
      </w:r>
    </w:p>
    <w:p>
      <w:pPr>
        <w:pStyle w:val="0"/>
        <w:spacing w:before="200" w:line-rule="auto"/>
        <w:ind w:firstLine="540"/>
        <w:jc w:val="both"/>
      </w:pPr>
      <w:r>
        <w:rPr>
          <w:sz w:val="20"/>
        </w:rPr>
        <w:t xml:space="preserve">3. Совершенствование системы обращения с отходами:</w:t>
      </w:r>
    </w:p>
    <w:p>
      <w:pPr>
        <w:pStyle w:val="0"/>
        <w:spacing w:before="200" w:line-rule="auto"/>
        <w:ind w:firstLine="540"/>
        <w:jc w:val="both"/>
      </w:pPr>
      <w:r>
        <w:rPr>
          <w:sz w:val="20"/>
        </w:rPr>
        <w:t xml:space="preserve">ликвидация несанкционированных свалок;</w:t>
      </w:r>
    </w:p>
    <w:p>
      <w:pPr>
        <w:pStyle w:val="0"/>
        <w:spacing w:before="200" w:line-rule="auto"/>
        <w:ind w:firstLine="540"/>
        <w:jc w:val="both"/>
      </w:pPr>
      <w:r>
        <w:rPr>
          <w:sz w:val="20"/>
        </w:rPr>
        <w:t xml:space="preserve">расширение полигонов промышленных и твердых коммунальных отходов;</w:t>
      </w:r>
    </w:p>
    <w:p>
      <w:pPr>
        <w:pStyle w:val="0"/>
        <w:spacing w:before="200" w:line-rule="auto"/>
        <w:ind w:firstLine="540"/>
        <w:jc w:val="both"/>
      </w:pPr>
      <w:r>
        <w:rPr>
          <w:sz w:val="20"/>
        </w:rPr>
        <w:t xml:space="preserve">повышение эффективности функционирования института регионального оператора;</w:t>
      </w:r>
    </w:p>
    <w:p>
      <w:pPr>
        <w:pStyle w:val="0"/>
        <w:spacing w:before="200" w:line-rule="auto"/>
        <w:ind w:firstLine="540"/>
        <w:jc w:val="both"/>
      </w:pPr>
      <w:r>
        <w:rPr>
          <w:sz w:val="20"/>
        </w:rPr>
        <w:t xml:space="preserve">создание производственно-технических комплексов по обработке, утилизации и обезвреживанию отходов, строительство мусоросортировочных комплексов ТКО, мусороперегрузочных станций.</w:t>
      </w:r>
    </w:p>
    <w:p>
      <w:pPr>
        <w:pStyle w:val="0"/>
        <w:spacing w:before="200" w:line-rule="auto"/>
        <w:ind w:firstLine="540"/>
        <w:jc w:val="both"/>
      </w:pPr>
      <w:r>
        <w:rPr>
          <w:sz w:val="20"/>
        </w:rPr>
        <w:t xml:space="preserve">4. Стимулирование государственно-частного партнерства для обновления систем теплоснабжения, электросетевого хозяйства, водоснабжения, водоотведения.</w:t>
      </w:r>
    </w:p>
    <w:p>
      <w:pPr>
        <w:pStyle w:val="0"/>
        <w:spacing w:before="200" w:line-rule="auto"/>
        <w:ind w:firstLine="540"/>
        <w:jc w:val="both"/>
      </w:pPr>
      <w:r>
        <w:rPr>
          <w:sz w:val="20"/>
        </w:rPr>
        <w:t xml:space="preserve">5. Совершенствование нормативно-правовой базы и системы финансирования экопроектов.</w:t>
      </w:r>
    </w:p>
    <w:p>
      <w:pPr>
        <w:pStyle w:val="0"/>
        <w:spacing w:before="200" w:line-rule="auto"/>
        <w:ind w:firstLine="540"/>
        <w:jc w:val="both"/>
      </w:pPr>
      <w:r>
        <w:rPr>
          <w:sz w:val="20"/>
        </w:rPr>
        <w:t xml:space="preserve">6. Снижение уровня безучетного потребления, установка общедомовых и поквартирных приборов учета тепловой энергии, электроэнергии нового образца.</w:t>
      </w:r>
    </w:p>
    <w:p>
      <w:pPr>
        <w:pStyle w:val="0"/>
        <w:spacing w:before="200" w:line-rule="auto"/>
        <w:ind w:firstLine="540"/>
        <w:jc w:val="both"/>
      </w:pPr>
      <w:r>
        <w:rPr>
          <w:sz w:val="20"/>
        </w:rPr>
        <w:t xml:space="preserve">7. Капитальный ремонт и модернизация инженерных сетей: теплоснабжение, водоснабжение, водоотведение, очистные сооружения, реконструкции канализационно-очистных сооружений (поселок Северный Курска - износ очистных сооружений 100%);</w:t>
      </w:r>
    </w:p>
    <w:p>
      <w:pPr>
        <w:pStyle w:val="0"/>
        <w:spacing w:before="200" w:line-rule="auto"/>
        <w:ind w:firstLine="540"/>
        <w:jc w:val="both"/>
      </w:pPr>
      <w:r>
        <w:rPr>
          <w:sz w:val="20"/>
        </w:rPr>
        <w:t xml:space="preserve">вывод из строя нерентабельных котельных с переходом на индивидуальное поквартирное газовое отопление (децентрализация теплоснабжения);</w:t>
      </w:r>
    </w:p>
    <w:p>
      <w:pPr>
        <w:pStyle w:val="0"/>
        <w:spacing w:before="200" w:line-rule="auto"/>
        <w:ind w:firstLine="540"/>
        <w:jc w:val="both"/>
      </w:pPr>
      <w:r>
        <w:rPr>
          <w:sz w:val="20"/>
        </w:rPr>
        <w:t xml:space="preserve">обеспечение оцифровки состояния коммунальных сетей с использованием тепловизоров и другой техники для оптимизации расходов на ремонт и предупреждение аварий;</w:t>
      </w:r>
    </w:p>
    <w:p>
      <w:pPr>
        <w:pStyle w:val="0"/>
        <w:spacing w:before="200" w:line-rule="auto"/>
        <w:ind w:firstLine="540"/>
        <w:jc w:val="both"/>
      </w:pPr>
      <w:r>
        <w:rPr>
          <w:sz w:val="20"/>
        </w:rPr>
        <w:t xml:space="preserve">снижение объема сточных вод в промышленности, внедрение современных технологий по очистке и повторному использованию технической воды;</w:t>
      </w:r>
    </w:p>
    <w:p>
      <w:pPr>
        <w:pStyle w:val="0"/>
        <w:spacing w:before="200" w:line-rule="auto"/>
        <w:ind w:firstLine="540"/>
        <w:jc w:val="both"/>
      </w:pPr>
      <w:r>
        <w:rPr>
          <w:sz w:val="20"/>
        </w:rPr>
        <w:t xml:space="preserve">оборудование очистных сооружений средствами учета и контроля качества сбрасываемых сточных вод;</w:t>
      </w:r>
    </w:p>
    <w:p>
      <w:pPr>
        <w:pStyle w:val="0"/>
        <w:spacing w:before="200" w:line-rule="auto"/>
        <w:ind w:firstLine="540"/>
        <w:jc w:val="both"/>
      </w:pPr>
      <w:r>
        <w:rPr>
          <w:sz w:val="20"/>
        </w:rPr>
        <w:t xml:space="preserve">стимулирование внедрения современных технологий очистки бытовых стоков в малонаселенных пунктах, кварталах индивидуального жилья, на территориях дачных и садоводческих товариществ;</w:t>
      </w:r>
    </w:p>
    <w:p>
      <w:pPr>
        <w:pStyle w:val="0"/>
        <w:spacing w:before="200" w:line-rule="auto"/>
        <w:ind w:firstLine="540"/>
        <w:jc w:val="both"/>
      </w:pPr>
      <w:r>
        <w:rPr>
          <w:sz w:val="20"/>
        </w:rPr>
        <w:t xml:space="preserve">развитие экологических технологий водоочистки.</w:t>
      </w:r>
    </w:p>
    <w:p>
      <w:pPr>
        <w:pStyle w:val="0"/>
        <w:spacing w:before="200" w:line-rule="auto"/>
        <w:ind w:firstLine="540"/>
        <w:jc w:val="both"/>
      </w:pPr>
      <w:r>
        <w:rPr>
          <w:sz w:val="20"/>
        </w:rPr>
        <w:t xml:space="preserve">8. Создание благоприятных инфраструктурных условий в сельской местности:</w:t>
      </w:r>
    </w:p>
    <w:p>
      <w:pPr>
        <w:pStyle w:val="0"/>
        <w:spacing w:before="200" w:line-rule="auto"/>
        <w:ind w:firstLine="540"/>
        <w:jc w:val="both"/>
      </w:pPr>
      <w:r>
        <w:rPr>
          <w:sz w:val="20"/>
        </w:rPr>
        <w:t xml:space="preserve">комплексное обустройство сельских территорий объектами инженерной инфраструктуры путем развития газоснабжения, водоснабжения и электросетей в сельской местности;</w:t>
      </w:r>
    </w:p>
    <w:p>
      <w:pPr>
        <w:pStyle w:val="0"/>
        <w:spacing w:before="200" w:line-rule="auto"/>
        <w:ind w:firstLine="540"/>
        <w:jc w:val="both"/>
      </w:pPr>
      <w:r>
        <w:rPr>
          <w:sz w:val="20"/>
        </w:rPr>
        <w:t xml:space="preserve">совершенствование сбора твердых коммунальных отходов в малых населенных пунктах по схемам такого сбора;</w:t>
      </w:r>
    </w:p>
    <w:p>
      <w:pPr>
        <w:pStyle w:val="0"/>
        <w:spacing w:before="200" w:line-rule="auto"/>
        <w:ind w:firstLine="540"/>
        <w:jc w:val="both"/>
      </w:pPr>
      <w:r>
        <w:rPr>
          <w:sz w:val="20"/>
        </w:rPr>
        <w:t xml:space="preserve">организация центра оперативного мониторинга развития малых населенных пунктов Курской области, оперативное реагирование на аварии в инженерных сетях, проблемы в области социального развития и работы социальной инфраструктуры;</w:t>
      </w:r>
    </w:p>
    <w:p>
      <w:pPr>
        <w:pStyle w:val="0"/>
        <w:spacing w:before="200" w:line-rule="auto"/>
        <w:ind w:firstLine="540"/>
        <w:jc w:val="both"/>
      </w:pPr>
      <w:r>
        <w:rPr>
          <w:sz w:val="20"/>
        </w:rPr>
        <w:t xml:space="preserve">улучшение жилищных условий граждан, проживающих в сельской местности, в том числе молодых семей и молодых специалистов.</w:t>
      </w:r>
    </w:p>
    <w:p>
      <w:pPr>
        <w:pStyle w:val="0"/>
        <w:jc w:val="both"/>
      </w:pPr>
      <w:r>
        <w:rPr>
          <w:sz w:val="20"/>
        </w:rPr>
      </w:r>
    </w:p>
    <w:p>
      <w:pPr>
        <w:pStyle w:val="2"/>
        <w:outlineLvl w:val="2"/>
        <w:ind w:firstLine="540"/>
        <w:jc w:val="both"/>
      </w:pPr>
      <w:r>
        <w:rPr>
          <w:sz w:val="20"/>
        </w:rPr>
        <w:t xml:space="preserve">11.5. Развитие территориальных подсистем единой государственной системы предупреждения и ликвидации чрезвычайных ситуаций, устойчивое функционирование объектов жизнеобеспечения при угрозе и возникновении чрезвычайных ситуаций</w:t>
      </w:r>
    </w:p>
    <w:p>
      <w:pPr>
        <w:pStyle w:val="0"/>
        <w:jc w:val="both"/>
      </w:pPr>
      <w:r>
        <w:rPr>
          <w:sz w:val="20"/>
        </w:rPr>
      </w:r>
    </w:p>
    <w:p>
      <w:pPr>
        <w:pStyle w:val="0"/>
        <w:ind w:firstLine="540"/>
        <w:jc w:val="both"/>
      </w:pPr>
      <w:r>
        <w:rPr>
          <w:sz w:val="20"/>
        </w:rPr>
        <w:t xml:space="preserve">Задача. Развитие системы гражданской обороны, защиты населения и территории Курской области от чрезвычайных ситуаций и, как следствие, минимизация социальных и экономических последствий возникновения чрезвычайных ситуаций.</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реализация </w:t>
      </w:r>
      <w:hyperlink w:history="0" r:id="rId89" w:tooltip="Указ Президента РФ от 20.12.2016 N 696 &quot;Об утверждении Основ государственной политики Российской Федерации в области гражданской обороны на период до 2030 года&quot; {КонсультантПлюс}">
        <w:r>
          <w:rPr>
            <w:sz w:val="20"/>
            <w:color w:val="0000ff"/>
          </w:rPr>
          <w:t xml:space="preserve">Основ</w:t>
        </w:r>
      </w:hyperlink>
      <w:r>
        <w:rPr>
          <w:sz w:val="20"/>
        </w:rPr>
        <w:t xml:space="preserve"> государственной политики Российской Федерации в области гражданской обороны на период до 2030 года;</w:t>
      </w:r>
    </w:p>
    <w:p>
      <w:pPr>
        <w:pStyle w:val="0"/>
        <w:spacing w:before="200" w:line-rule="auto"/>
        <w:ind w:firstLine="540"/>
        <w:jc w:val="both"/>
      </w:pPr>
      <w:r>
        <w:rPr>
          <w:sz w:val="20"/>
        </w:rPr>
        <w:t xml:space="preserve">реализация </w:t>
      </w:r>
      <w:hyperlink w:history="0" r:id="rId90" w:tooltip="Указ Президента РФ от 11.01.2018 N 12 &quot;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quot; {КонсультантПлюс}">
        <w:r>
          <w:rPr>
            <w:sz w:val="20"/>
            <w:color w:val="0000ff"/>
          </w:rPr>
          <w:t xml:space="preserve">Основ</w:t>
        </w:r>
      </w:hyperlink>
      <w:r>
        <w:rPr>
          <w:sz w:val="20"/>
        </w:rPr>
        <w:t xml:space="preserve"> государственной политики Российской Федерации в области защиты населения и территорий от чрезвычайных ситуаций на период до 2030 года;</w:t>
      </w:r>
    </w:p>
    <w:p>
      <w:pPr>
        <w:pStyle w:val="0"/>
        <w:spacing w:before="200" w:line-rule="auto"/>
        <w:ind w:firstLine="540"/>
        <w:jc w:val="both"/>
      </w:pPr>
      <w:r>
        <w:rPr>
          <w:sz w:val="20"/>
        </w:rPr>
        <w:t xml:space="preserve">реализация </w:t>
      </w:r>
      <w:hyperlink w:history="0" r:id="rId91" w:tooltip="Указ Президента РФ от 01.01.2018 N 2 &quot;Об утверждении Основ государственной политики Российской Федерации в области пожарной безопасности на период до 2030 года&quot; {КонсультантПлюс}">
        <w:r>
          <w:rPr>
            <w:sz w:val="20"/>
            <w:color w:val="0000ff"/>
          </w:rPr>
          <w:t xml:space="preserve">Основ</w:t>
        </w:r>
      </w:hyperlink>
      <w:r>
        <w:rPr>
          <w:sz w:val="20"/>
        </w:rPr>
        <w:t xml:space="preserve"> государственной политики Российской Федерации в области пожарной безопасности на период до 2030 года;</w:t>
      </w:r>
    </w:p>
    <w:p>
      <w:pPr>
        <w:pStyle w:val="0"/>
        <w:spacing w:before="200" w:line-rule="auto"/>
        <w:ind w:firstLine="540"/>
        <w:jc w:val="both"/>
      </w:pPr>
      <w:r>
        <w:rPr>
          <w:sz w:val="20"/>
        </w:rPr>
        <w:t xml:space="preserve">проведение единой политики по вопросам гражданской обороны, предупреждения и ликвидации чрезвычайных ситуаций, защиты жизни и здоровья людей, материальных и культурных ценностей, окружающей природной среды;</w:t>
      </w:r>
    </w:p>
    <w:p>
      <w:pPr>
        <w:pStyle w:val="0"/>
        <w:spacing w:before="200" w:line-rule="auto"/>
        <w:ind w:firstLine="540"/>
        <w:jc w:val="both"/>
      </w:pPr>
      <w:r>
        <w:rPr>
          <w:sz w:val="20"/>
        </w:rPr>
        <w:t xml:space="preserve">учет всех возможных потенциальных источников чрезвычайных ситуаций, определение степени их опасности для населения и территории области в зависимости от величины риска возникновения и тяжести последствий возможных чрезвычайных ситуаций;</w:t>
      </w:r>
    </w:p>
    <w:p>
      <w:pPr>
        <w:pStyle w:val="0"/>
        <w:spacing w:before="200" w:line-rule="auto"/>
        <w:ind w:firstLine="540"/>
        <w:jc w:val="both"/>
      </w:pPr>
      <w:r>
        <w:rPr>
          <w:sz w:val="20"/>
        </w:rPr>
        <w:t xml:space="preserve">разработка и реализация правовых и экономических мер по обеспечению защиты населения, технологической и экологической безопасности территории от чрезвычайных ситуаций;</w:t>
      </w:r>
    </w:p>
    <w:p>
      <w:pPr>
        <w:pStyle w:val="0"/>
        <w:spacing w:before="200" w:line-rule="auto"/>
        <w:ind w:firstLine="540"/>
        <w:jc w:val="both"/>
      </w:pPr>
      <w:r>
        <w:rPr>
          <w:sz w:val="20"/>
        </w:rPr>
        <w:t xml:space="preserve">участие в федеральных и межрегиональных целевых программах, направленных на предупреждение чрезвычайных ситуаций и повышение устойчивости функционирования предприятий, учреждений и организаций независимо от их организационно-правовых форм, а также подведомственных им объектов производства и социального назначения;</w:t>
      </w:r>
    </w:p>
    <w:p>
      <w:pPr>
        <w:pStyle w:val="0"/>
        <w:spacing w:before="200" w:line-rule="auto"/>
        <w:ind w:firstLine="540"/>
        <w:jc w:val="both"/>
      </w:pPr>
      <w:r>
        <w:rPr>
          <w:sz w:val="20"/>
        </w:rPr>
        <w:t xml:space="preserve">прогнозирование и оценка последствий чрезвычайных ситуаций для населения и промышленности области, определение на основе прогноза потребностей в силах, материально-технических и финансовых ресурсах для ликвидации чрезвычайных ситуаций;</w:t>
      </w:r>
    </w:p>
    <w:p>
      <w:pPr>
        <w:pStyle w:val="0"/>
        <w:spacing w:before="200" w:line-rule="auto"/>
        <w:ind w:firstLine="540"/>
        <w:jc w:val="both"/>
      </w:pPr>
      <w:r>
        <w:rPr>
          <w:sz w:val="20"/>
        </w:rPr>
        <w:t xml:space="preserve">совершенствование субъектовой составляющей единой системы подготовки населения в области гражданской обороны и защиты от чрезвычайных ситуаций;</w:t>
      </w:r>
    </w:p>
    <w:p>
      <w:pPr>
        <w:pStyle w:val="0"/>
        <w:spacing w:before="200" w:line-rule="auto"/>
        <w:ind w:firstLine="540"/>
        <w:jc w:val="both"/>
      </w:pPr>
      <w:r>
        <w:rPr>
          <w:sz w:val="20"/>
        </w:rPr>
        <w:t xml:space="preserve">совершенствование системы мониторинга и прогнозирования чрезвычайных ситуаций, разработка и внедрение новых технологий защиты населения и территорий от ЧС природного и техногенного характера в рамках Комплексной системы обеспечения безопасности жизнедеятельности населения и территорий Курской области;</w:t>
      </w:r>
    </w:p>
    <w:p>
      <w:pPr>
        <w:pStyle w:val="0"/>
        <w:spacing w:before="200" w:line-rule="auto"/>
        <w:ind w:firstLine="540"/>
        <w:jc w:val="both"/>
      </w:pPr>
      <w:r>
        <w:rPr>
          <w:sz w:val="20"/>
        </w:rPr>
        <w:t xml:space="preserve">повышение уровня готовности систем оповещения и информирования населения об опасностях, возникших при военных конфликтах и чрезвычайных ситуациях, а также обеспеченности населения защитными сооружениями гражданской обороны, средствами индивидуальной защиты и медицинскими средствами индивидуальной защиты;</w:t>
      </w:r>
    </w:p>
    <w:p>
      <w:pPr>
        <w:pStyle w:val="0"/>
        <w:spacing w:before="200" w:line-rule="auto"/>
        <w:ind w:firstLine="540"/>
        <w:jc w:val="both"/>
      </w:pPr>
      <w:r>
        <w:rPr>
          <w:sz w:val="20"/>
        </w:rPr>
        <w:t xml:space="preserve">снижение количества чрезвычайных ситуаций природного и техногенного характера, пожаров, происшествий на водных объектах и численности погибшего в них населения;</w:t>
      </w:r>
    </w:p>
    <w:p>
      <w:pPr>
        <w:pStyle w:val="0"/>
        <w:spacing w:before="200" w:line-rule="auto"/>
        <w:ind w:firstLine="540"/>
        <w:jc w:val="both"/>
      </w:pPr>
      <w:r>
        <w:rPr>
          <w:sz w:val="20"/>
        </w:rPr>
        <w:t xml:space="preserve">повышение грамотности населения в вопросах защиты населения и территории от чрезвычайных ситуаций с использованием средств массовой информации и сети Интернет;</w:t>
      </w:r>
    </w:p>
    <w:p>
      <w:pPr>
        <w:pStyle w:val="0"/>
        <w:spacing w:before="200" w:line-rule="auto"/>
        <w:ind w:firstLine="540"/>
        <w:jc w:val="both"/>
      </w:pPr>
      <w:r>
        <w:rPr>
          <w:sz w:val="20"/>
        </w:rPr>
        <w:t xml:space="preserve">подготовка населения к действиям по сигналам гражданской обороны и в чрезвычайных ситуациях, организация своевременного оповещения и информирования населения об угрозе возникновения или о возникновении чрезвычайных ситуациях, в том числе в местах массового пребывания людей;</w:t>
      </w:r>
    </w:p>
    <w:p>
      <w:pPr>
        <w:pStyle w:val="0"/>
        <w:spacing w:before="200" w:line-rule="auto"/>
        <w:ind w:firstLine="540"/>
        <w:jc w:val="both"/>
      </w:pPr>
      <w:r>
        <w:rPr>
          <w:sz w:val="20"/>
        </w:rPr>
        <w:t xml:space="preserve">осуществление сотрудничества в области предупреждения и ликвидации чрезвычайных ситуаций с другими субъектами Российской Федерации;</w:t>
      </w:r>
    </w:p>
    <w:p>
      <w:pPr>
        <w:pStyle w:val="0"/>
        <w:spacing w:before="200" w:line-rule="auto"/>
        <w:ind w:firstLine="540"/>
        <w:jc w:val="both"/>
      </w:pPr>
      <w:r>
        <w:rPr>
          <w:sz w:val="20"/>
        </w:rPr>
        <w:t xml:space="preserve">обеспечение согласованности действий территориальных органов федеральных органов исполнительной власти, органов исполнительной власти области, органов местного самоуправления и организаций при решении вопросов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а также восстановления объектов экономики, жилищно-коммунального хозяйства, социальной сферы, пострадавших в результате чрезвычайных ситуаций;</w:t>
      </w:r>
    </w:p>
    <w:p>
      <w:pPr>
        <w:pStyle w:val="0"/>
        <w:spacing w:before="200" w:line-rule="auto"/>
        <w:ind w:firstLine="540"/>
        <w:jc w:val="both"/>
      </w:pPr>
      <w:r>
        <w:rPr>
          <w:sz w:val="20"/>
        </w:rPr>
        <w:t xml:space="preserve">развитие взаимодействия органов государственной власти с гражданским обществом по вопросам противодействия угрозам криминогенного характера и повышения уровня доверия жителей к органам власти.</w:t>
      </w:r>
    </w:p>
    <w:p>
      <w:pPr>
        <w:pStyle w:val="0"/>
        <w:spacing w:before="200" w:line-rule="auto"/>
        <w:ind w:firstLine="540"/>
        <w:jc w:val="both"/>
      </w:pPr>
      <w:r>
        <w:rPr>
          <w:sz w:val="20"/>
        </w:rPr>
        <w:t xml:space="preserve">Задача. Обеспечение общественной безопасности, противодействие преступности.</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развертывание правоохранительного сегмента Комплексной системы обеспечения безопасности жизнедеятельности населения Курской области (АПК "Безопасный город") на территории всех муниципальных образований региона; предупреждение террористических и экстремистских проявлений;</w:t>
      </w:r>
    </w:p>
    <w:p>
      <w:pPr>
        <w:pStyle w:val="0"/>
        <w:spacing w:before="200" w:line-rule="auto"/>
        <w:ind w:firstLine="540"/>
        <w:jc w:val="both"/>
      </w:pPr>
      <w:r>
        <w:rPr>
          <w:sz w:val="20"/>
        </w:rPr>
        <w:t xml:space="preserve">снижение количества преступлений, связанных с незаконным оборотом наркотиков, от общего числа выявленных преступлений;</w:t>
      </w:r>
    </w:p>
    <w:p>
      <w:pPr>
        <w:pStyle w:val="0"/>
        <w:spacing w:before="200" w:line-rule="auto"/>
        <w:ind w:firstLine="540"/>
        <w:jc w:val="both"/>
      </w:pPr>
      <w:r>
        <w:rPr>
          <w:sz w:val="20"/>
        </w:rPr>
        <w:t xml:space="preserve">совершенствование системы оказания наркологической медицинской помощи больным наркоманией и их реабилитации;</w:t>
      </w:r>
    </w:p>
    <w:p>
      <w:pPr>
        <w:pStyle w:val="0"/>
        <w:spacing w:before="200" w:line-rule="auto"/>
        <w:ind w:firstLine="540"/>
        <w:jc w:val="both"/>
      </w:pPr>
      <w:r>
        <w:rPr>
          <w:sz w:val="20"/>
        </w:rPr>
        <w:t xml:space="preserve">активизация антинаркотической пропаганды с использованием средств массовой информации и современных информационных технологий;</w:t>
      </w:r>
    </w:p>
    <w:p>
      <w:pPr>
        <w:pStyle w:val="0"/>
        <w:spacing w:before="200" w:line-rule="auto"/>
        <w:ind w:firstLine="540"/>
        <w:jc w:val="both"/>
      </w:pPr>
      <w:r>
        <w:rPr>
          <w:sz w:val="20"/>
        </w:rPr>
        <w:t xml:space="preserve">осуществление регулярного комплексного мониторинга наркоситуации на территории Курской области и социологических исследований по проблемам наркопотребления населением Курской области;</w:t>
      </w:r>
    </w:p>
    <w:p>
      <w:pPr>
        <w:pStyle w:val="0"/>
        <w:spacing w:before="200" w:line-rule="auto"/>
        <w:ind w:firstLine="540"/>
        <w:jc w:val="both"/>
      </w:pPr>
      <w:r>
        <w:rPr>
          <w:sz w:val="20"/>
        </w:rPr>
        <w:t xml:space="preserve">ликвидация местной сырьевой базы для изготовления и производства наркотиков растительного происхождения;</w:t>
      </w:r>
    </w:p>
    <w:p>
      <w:pPr>
        <w:pStyle w:val="0"/>
        <w:spacing w:before="200" w:line-rule="auto"/>
        <w:ind w:firstLine="540"/>
        <w:jc w:val="both"/>
      </w:pPr>
      <w:r>
        <w:rPr>
          <w:sz w:val="20"/>
        </w:rPr>
        <w:t xml:space="preserve">проведение профилактических мероприятий, направленных на сокращение потребления наркотиков, основанных на формировании антинаркотического мировоззрения;</w:t>
      </w:r>
    </w:p>
    <w:p>
      <w:pPr>
        <w:pStyle w:val="0"/>
        <w:spacing w:before="200" w:line-rule="auto"/>
        <w:ind w:firstLine="540"/>
        <w:jc w:val="both"/>
      </w:pPr>
      <w:r>
        <w:rPr>
          <w:sz w:val="20"/>
        </w:rPr>
        <w:t xml:space="preserve">предупреждение немедицинского использования психоактивных лекарственных препаратов, предотвращение их вывода в "теневой" оборот;</w:t>
      </w:r>
    </w:p>
    <w:p>
      <w:pPr>
        <w:pStyle w:val="0"/>
        <w:spacing w:before="200" w:line-rule="auto"/>
        <w:ind w:firstLine="540"/>
        <w:jc w:val="both"/>
      </w:pPr>
      <w:r>
        <w:rPr>
          <w:sz w:val="20"/>
        </w:rPr>
        <w:t xml:space="preserve">развитие волонтерского антинаркотического движения на основе государственной поддержки и установление постоянного взаимодействия с волонтерскими антинаркотическими движениями других субъектов Российской Федерации;</w:t>
      </w:r>
    </w:p>
    <w:p>
      <w:pPr>
        <w:pStyle w:val="0"/>
        <w:spacing w:before="200" w:line-rule="auto"/>
        <w:ind w:firstLine="540"/>
        <w:jc w:val="both"/>
      </w:pPr>
      <w:r>
        <w:rPr>
          <w:sz w:val="20"/>
        </w:rPr>
        <w:t xml:space="preserve">создание условий для вовлечения граждан в антинаркотическую деятельность, а также оказание государственной поддержки общественным антинаркотическим объединениям и организациям, занимающимся профилактикой наркомании;</w:t>
      </w:r>
    </w:p>
    <w:p>
      <w:pPr>
        <w:pStyle w:val="0"/>
        <w:spacing w:before="200" w:line-rule="auto"/>
        <w:ind w:firstLine="540"/>
        <w:jc w:val="both"/>
      </w:pPr>
      <w:r>
        <w:rPr>
          <w:sz w:val="20"/>
        </w:rPr>
        <w:t xml:space="preserve">профилактика, предупреждение, выявление и пресечение нарушений миграционного законодательства Российской Федерации, в том числе в рамках защиты регионального рынка труда;</w:t>
      </w:r>
    </w:p>
    <w:p>
      <w:pPr>
        <w:pStyle w:val="0"/>
        <w:spacing w:before="200" w:line-rule="auto"/>
        <w:ind w:firstLine="540"/>
        <w:jc w:val="both"/>
      </w:pPr>
      <w:r>
        <w:rPr>
          <w:sz w:val="20"/>
        </w:rPr>
        <w:t xml:space="preserve">организация профилактической, информационной и разъяснительной работы с гражданами, работодателями, заказчиками работ и услуг в целях предупреждения нарушений миграционного законодательства Российской Федерации;</w:t>
      </w:r>
    </w:p>
    <w:p>
      <w:pPr>
        <w:pStyle w:val="0"/>
        <w:spacing w:before="200" w:line-rule="auto"/>
        <w:ind w:firstLine="540"/>
        <w:jc w:val="both"/>
      </w:pPr>
      <w:r>
        <w:rPr>
          <w:sz w:val="20"/>
        </w:rPr>
        <w:t xml:space="preserve">профилактика межнациональных и межрелигиозных конфликтов, формирование у иностранных граждан и принимающего сообщества навыков межкультурного общения, противодействие социальной исключенности иностранных граждан, пространственной сегрегации и формированию этнических анклавов;</w:t>
      </w:r>
    </w:p>
    <w:p>
      <w:pPr>
        <w:pStyle w:val="0"/>
        <w:spacing w:before="200" w:line-rule="auto"/>
        <w:ind w:firstLine="540"/>
        <w:jc w:val="both"/>
      </w:pPr>
      <w:r>
        <w:rPr>
          <w:sz w:val="20"/>
        </w:rPr>
        <w:t xml:space="preserve">совершенствование социальной и культурной адаптации различных категорий иностранных граждан, в том числе в рамках существующих программ и в формате государственно-общественного партнерства с участием общественных и образовательных организаций, учреждений культуры;</w:t>
      </w:r>
    </w:p>
    <w:p>
      <w:pPr>
        <w:pStyle w:val="0"/>
        <w:spacing w:before="200" w:line-rule="auto"/>
        <w:ind w:firstLine="540"/>
        <w:jc w:val="both"/>
      </w:pPr>
      <w:r>
        <w:rPr>
          <w:sz w:val="20"/>
        </w:rPr>
        <w:t xml:space="preserve">изучение, оценка и прогнозирование изменений миграционной ситуации;</w:t>
      </w:r>
    </w:p>
    <w:p>
      <w:pPr>
        <w:pStyle w:val="0"/>
        <w:spacing w:before="200" w:line-rule="auto"/>
        <w:ind w:firstLine="540"/>
        <w:jc w:val="both"/>
      </w:pPr>
      <w:r>
        <w:rPr>
          <w:sz w:val="20"/>
        </w:rPr>
        <w:t xml:space="preserve">координация деятельности федеральных органов государственной власти, органов государственной власти Курской области, органов местного самоуправления, институтов гражданского общества при принятии управленческих решений в сфере миграции.</w:t>
      </w:r>
    </w:p>
    <w:p>
      <w:pPr>
        <w:pStyle w:val="0"/>
        <w:spacing w:before="200" w:line-rule="auto"/>
        <w:ind w:firstLine="540"/>
        <w:jc w:val="both"/>
      </w:pPr>
      <w:r>
        <w:rPr>
          <w:sz w:val="20"/>
        </w:rPr>
        <w:t xml:space="preserve">Задача. Обеспечение режима безопасного функционирования и повышение уровня антитеррористической защищенности организаций жизнеобеспечения населения, мест проведения массовых мероприятий, транспортной инфраструктуры и других критически важных и потенциально опасных объектов.</w:t>
      </w:r>
    </w:p>
    <w:p>
      <w:pPr>
        <w:pStyle w:val="0"/>
        <w:spacing w:before="200" w:line-rule="auto"/>
        <w:ind w:firstLine="540"/>
        <w:jc w:val="both"/>
      </w:pPr>
      <w:r>
        <w:rPr>
          <w:sz w:val="20"/>
        </w:rPr>
        <w:t xml:space="preserve">Основные мероприятия:</w:t>
      </w:r>
    </w:p>
    <w:p>
      <w:pPr>
        <w:pStyle w:val="0"/>
        <w:spacing w:before="200" w:line-rule="auto"/>
        <w:ind w:firstLine="540"/>
        <w:jc w:val="both"/>
      </w:pPr>
      <w:r>
        <w:rPr>
          <w:sz w:val="20"/>
        </w:rPr>
        <w:t xml:space="preserve">обеспечение поставки и эксплуатационно-техническое обслуживание оборудования для систем видеонаблюдения, экстренной связи "гражданин - полиция" и диспетчерских центров в местах массового пребывания людей;</w:t>
      </w:r>
    </w:p>
    <w:p>
      <w:pPr>
        <w:pStyle w:val="0"/>
        <w:spacing w:before="200" w:line-rule="auto"/>
        <w:ind w:firstLine="540"/>
        <w:jc w:val="both"/>
      </w:pPr>
      <w:r>
        <w:rPr>
          <w:sz w:val="20"/>
        </w:rPr>
        <w:t xml:space="preserve">повышение качества мониторинга явлений и процессов в общественно-политической, экономической, социальной и иных сферах, способствующих формированию угроз террористического характера, расширению социальной базы терроризма, в рамках регионального сегмента общегосударственной системы противодействия терроризму в Российской Федерации на территории Курской области;</w:t>
      </w:r>
    </w:p>
    <w:p>
      <w:pPr>
        <w:pStyle w:val="0"/>
        <w:spacing w:before="200" w:line-rule="auto"/>
        <w:ind w:firstLine="540"/>
        <w:jc w:val="both"/>
      </w:pPr>
      <w:r>
        <w:rPr>
          <w:sz w:val="20"/>
        </w:rPr>
        <w:t xml:space="preserve">реализация эффективных мер информационного противодействия распространению идеологии экстремизма и терроризма;</w:t>
      </w:r>
    </w:p>
    <w:p>
      <w:pPr>
        <w:pStyle w:val="0"/>
        <w:spacing w:before="200" w:line-rule="auto"/>
        <w:ind w:firstLine="540"/>
        <w:jc w:val="both"/>
      </w:pPr>
      <w:r>
        <w:rPr>
          <w:sz w:val="20"/>
        </w:rPr>
        <w:t xml:space="preserve">усиление антитеррористической защищенности мест массового пребывания людей и объектов образования, здравоохранения, культуры, спорта, торговли, религиозных объектов и т.д. средствами инженерно-технической укрепленности, средствами видеонаблюдения, экстренного оповещения и пожарной безопасности;</w:t>
      </w:r>
    </w:p>
    <w:p>
      <w:pPr>
        <w:pStyle w:val="0"/>
        <w:spacing w:before="200" w:line-rule="auto"/>
        <w:ind w:firstLine="540"/>
        <w:jc w:val="both"/>
      </w:pPr>
      <w:r>
        <w:rPr>
          <w:sz w:val="20"/>
        </w:rPr>
        <w:t xml:space="preserve">выделение и оборудование помещений (мест) в соответствии с </w:t>
      </w:r>
      <w:hyperlink w:history="0" r:id="rId92" w:tooltip="Приказ МВД России от 17.11.2015 N 1092 &quot;Об утверждении Требований к отдельным объектам инфраструктуры мест проведения официальных спортивных соревнований и техническому оснащению стадионов для обеспечения общественного порядка и общественной безопасности&quot; (Зарегистрировано в Минюсте России 31.12.2015 N 40464) {КонсультантПлюс}">
        <w:r>
          <w:rPr>
            <w:sz w:val="20"/>
            <w:color w:val="0000ff"/>
          </w:rPr>
          <w:t xml:space="preserve">требованиями</w:t>
        </w:r>
      </w:hyperlink>
      <w:r>
        <w:rPr>
          <w:sz w:val="20"/>
        </w:rPr>
        <w:t xml:space="preserve"> к отдельным объектам мест проведения официальных спортивных мероприятий (приказ Министерства внутренних дел Российской Федерации от 17 ноября 2015 г. N 1092); оборудование КПП и зоны осмотра граждан и транспортных средств, а также дополнительное оснащение объектов средствами инженерно-технической укрепленности, техническими средствами досмотра и охраны;</w:t>
      </w:r>
    </w:p>
    <w:p>
      <w:pPr>
        <w:pStyle w:val="0"/>
        <w:spacing w:before="200" w:line-rule="auto"/>
        <w:ind w:firstLine="540"/>
        <w:jc w:val="both"/>
      </w:pPr>
      <w:r>
        <w:rPr>
          <w:sz w:val="20"/>
        </w:rPr>
        <w:t xml:space="preserve">заключение договоров руководителями учреждений, на балансе которых находятся объекты спорта, с частными охранными предприятиями, силы и средства которых привлекаются для обеспечения спортивных мероприятий, в том числе на футбольных матчах, в качестве контролеров-распорядителей;</w:t>
      </w:r>
    </w:p>
    <w:p>
      <w:pPr>
        <w:pStyle w:val="0"/>
        <w:spacing w:before="200" w:line-rule="auto"/>
        <w:ind w:firstLine="540"/>
        <w:jc w:val="both"/>
      </w:pPr>
      <w:r>
        <w:rPr>
          <w:sz w:val="20"/>
        </w:rPr>
        <w:t xml:space="preserve">обучение контролеров-распорядителей и привлечение их в установленном порядке к мероприятиям по обеспечению безопасности при проведении официальных спортивных мероприятий;</w:t>
      </w:r>
    </w:p>
    <w:p>
      <w:pPr>
        <w:pStyle w:val="0"/>
        <w:spacing w:before="200" w:line-rule="auto"/>
        <w:ind w:firstLine="540"/>
        <w:jc w:val="both"/>
      </w:pPr>
      <w:r>
        <w:rPr>
          <w:sz w:val="20"/>
        </w:rPr>
        <w:t xml:space="preserve">разработка алгоритма совместных действий по поддержанию правопорядка и обеспечению безопасности, эвакуации граждан в случаях осложнения обстановки, террористических актов, техногенных и иных происшествий.</w:t>
      </w:r>
    </w:p>
    <w:p>
      <w:pPr>
        <w:pStyle w:val="0"/>
        <w:jc w:val="both"/>
      </w:pPr>
      <w:r>
        <w:rPr>
          <w:sz w:val="20"/>
        </w:rPr>
      </w:r>
    </w:p>
    <w:p>
      <w:pPr>
        <w:pStyle w:val="2"/>
        <w:outlineLvl w:val="1"/>
        <w:jc w:val="center"/>
      </w:pPr>
      <w:r>
        <w:rPr>
          <w:sz w:val="20"/>
        </w:rPr>
        <w:t xml:space="preserve">12. Экономическое районирование Курской области</w:t>
      </w:r>
    </w:p>
    <w:p>
      <w:pPr>
        <w:pStyle w:val="0"/>
        <w:jc w:val="both"/>
      </w:pPr>
      <w:r>
        <w:rPr>
          <w:sz w:val="20"/>
        </w:rPr>
      </w:r>
    </w:p>
    <w:p>
      <w:pPr>
        <w:pStyle w:val="2"/>
        <w:outlineLvl w:val="2"/>
        <w:ind w:firstLine="540"/>
        <w:jc w:val="both"/>
      </w:pPr>
      <w:r>
        <w:rPr>
          <w:sz w:val="20"/>
        </w:rPr>
        <w:t xml:space="preserve">Анализ пространственной структуры Курской области</w:t>
      </w:r>
    </w:p>
    <w:p>
      <w:pPr>
        <w:pStyle w:val="0"/>
        <w:jc w:val="both"/>
      </w:pPr>
      <w:r>
        <w:rPr>
          <w:sz w:val="20"/>
        </w:rPr>
      </w:r>
    </w:p>
    <w:p>
      <w:pPr>
        <w:pStyle w:val="0"/>
        <w:ind w:firstLine="540"/>
        <w:jc w:val="both"/>
      </w:pPr>
      <w:r>
        <w:rPr>
          <w:sz w:val="20"/>
        </w:rPr>
        <w:t xml:space="preserve">Дифференциация пространства Курской области во многом определяется исторически сложившимися природно-хозяйственными условиями, транзитными транспортными коридорами и спецификой хозяйственного освоения территории. Курская область на протяжении многих веков являлась одним из центров зарождения и формирования русской государственности.</w:t>
      </w:r>
    </w:p>
    <w:p>
      <w:pPr>
        <w:pStyle w:val="0"/>
        <w:spacing w:before="200" w:line-rule="auto"/>
        <w:ind w:firstLine="540"/>
        <w:jc w:val="both"/>
      </w:pPr>
      <w:r>
        <w:rPr>
          <w:sz w:val="20"/>
        </w:rPr>
        <w:t xml:space="preserve">В настоящее время Курская область, занимая приграничное положение (юго-западная приграничная хорда) и находясь на пересечении транспортных магистралей, связывающих Россию с Украиной, имеет важное геополитическое значение в Российской Федерации. Через территорию Курской области проходят меридиональный транспортный коридор, связывающий центральную Россию с восточной Украиной, Северным Причерноморьем, Крымом и далее со странами юго-восточной и южной Европы, субширотный коридор, связывающий Центрально-Черноземные области и Поволжье, а также Казахстан с Украиной и странами центральной и западной Европы. Крупнейший населенный пункт, многофункциональный центр области - город Курск.</w:t>
      </w:r>
    </w:p>
    <w:p>
      <w:pPr>
        <w:pStyle w:val="0"/>
        <w:spacing w:before="200" w:line-rule="auto"/>
        <w:ind w:firstLine="540"/>
        <w:jc w:val="both"/>
      </w:pPr>
      <w:r>
        <w:rPr>
          <w:sz w:val="20"/>
        </w:rPr>
        <w:t xml:space="preserve">В пространственном развитии Курской области можно выделить ряд особенностей на основе анализа карт-анаморфоз. Так, по численности жителей хорошо заметны два ключевых центра области: Курская городская агломерация и город Железногорск. Также необходимо выделить приграничные южные и юго-западные районы Курской области, характеризующиеся относительно высокими значениями плотности населения.</w:t>
      </w:r>
    </w:p>
    <w:p>
      <w:pPr>
        <w:pStyle w:val="0"/>
        <w:jc w:val="both"/>
      </w:pPr>
      <w:r>
        <w:rPr>
          <w:sz w:val="20"/>
        </w:rPr>
      </w:r>
    </w:p>
    <w:p>
      <w:pPr>
        <w:pStyle w:val="0"/>
        <w:jc w:val="center"/>
      </w:pPr>
      <w:r>
        <w:rPr>
          <w:position w:val="-259"/>
        </w:rPr>
        <w:drawing>
          <wp:inline distT="0" distB="0" distL="0" distR="0">
            <wp:extent cx="4322445" cy="3420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322445" cy="342011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1. Анаморфоза Курской области по численности</w:t>
      </w:r>
    </w:p>
    <w:p>
      <w:pPr>
        <w:pStyle w:val="2"/>
        <w:jc w:val="center"/>
      </w:pPr>
      <w:r>
        <w:rPr>
          <w:sz w:val="20"/>
        </w:rPr>
        <w:t xml:space="preserve">населения, человек</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ind w:firstLine="540"/>
        <w:jc w:val="both"/>
      </w:pPr>
      <w:r>
        <w:rPr>
          <w:sz w:val="20"/>
        </w:rPr>
        <w:t xml:space="preserve">В структуре промышленного производства в регионе выделяются три основных промышленных центра: Курск, Железногорск, Курчатов.</w:t>
      </w:r>
    </w:p>
    <w:p>
      <w:pPr>
        <w:pStyle w:val="0"/>
        <w:jc w:val="both"/>
      </w:pPr>
      <w:r>
        <w:rPr>
          <w:sz w:val="20"/>
        </w:rPr>
      </w:r>
    </w:p>
    <w:p>
      <w:pPr>
        <w:pStyle w:val="0"/>
        <w:jc w:val="center"/>
      </w:pPr>
      <w:r>
        <w:rPr>
          <w:position w:val="-230"/>
        </w:rPr>
        <w:drawing>
          <wp:inline distT="0" distB="0" distL="0" distR="0">
            <wp:extent cx="4322445" cy="3054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4322445" cy="305435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2. Анаморфоза Курской области по объему отгруженных</w:t>
      </w:r>
    </w:p>
    <w:p>
      <w:pPr>
        <w:pStyle w:val="2"/>
        <w:jc w:val="center"/>
      </w:pPr>
      <w:r>
        <w:rPr>
          <w:sz w:val="20"/>
        </w:rPr>
        <w:t xml:space="preserve">товаров собственного производства</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ind w:firstLine="540"/>
        <w:jc w:val="both"/>
      </w:pPr>
      <w:r>
        <w:rPr>
          <w:sz w:val="20"/>
        </w:rPr>
        <w:t xml:space="preserve">При этом основными центрами привлечения инвестиций в последние годы, помимо отмеченных промышленных центров Курской области, выступают Курчатовский район, а также северо-восточные районы области: Дмитриевский, Железногорский и Конышевский. Таким образом, внутрирегиональное распределение инвестиций характеризуется высокой неравномерностью.</w:t>
      </w:r>
    </w:p>
    <w:p>
      <w:pPr>
        <w:pStyle w:val="0"/>
        <w:spacing w:before="200" w:line-rule="auto"/>
        <w:ind w:firstLine="540"/>
        <w:jc w:val="both"/>
      </w:pPr>
      <w:r>
        <w:rPr>
          <w:sz w:val="20"/>
        </w:rPr>
        <w:t xml:space="preserve">Точками роста Курской области первого порядка можно считать:</w:t>
      </w:r>
    </w:p>
    <w:p>
      <w:pPr>
        <w:pStyle w:val="0"/>
        <w:spacing w:before="200" w:line-rule="auto"/>
        <w:ind w:firstLine="540"/>
        <w:jc w:val="both"/>
      </w:pPr>
      <w:r>
        <w:rPr>
          <w:sz w:val="20"/>
        </w:rPr>
        <w:t xml:space="preserve">а) Курск и Курчатов, которые образуют сформировавшийся основной полюс роста Курской области - Курско-Курчатовскую агломерацию;</w:t>
      </w:r>
    </w:p>
    <w:p>
      <w:pPr>
        <w:pStyle w:val="0"/>
        <w:spacing w:before="200" w:line-rule="auto"/>
        <w:ind w:firstLine="540"/>
        <w:jc w:val="both"/>
      </w:pPr>
      <w:r>
        <w:rPr>
          <w:sz w:val="20"/>
        </w:rPr>
        <w:t xml:space="preserve">б) Железногорск и Железногорский район, которые выступают основным индустриальным регионом Курской области.</w:t>
      </w:r>
    </w:p>
    <w:p>
      <w:pPr>
        <w:pStyle w:val="0"/>
        <w:spacing w:before="200" w:line-rule="auto"/>
        <w:ind w:firstLine="540"/>
        <w:jc w:val="both"/>
      </w:pPr>
      <w:r>
        <w:rPr>
          <w:sz w:val="20"/>
        </w:rPr>
        <w:t xml:space="preserve">К точкам роста второго порядка можно отнести: Рыльск и Льгов, находящиеся в транспортной доступности от главного полюса роста, Обоянь (центр основного транспортного коридора Курск - Белгород), Щигры. При этом перспективное развитие Обояни будет связано с увеличением объемов взаимодействия с Белгородской областью и формированием трансграничного пояса роста с коридором Курск - Белгород. К перспективным точкам роста второго порядка можно отнести п. Касторное и п. Горшечное, которые формируют восточный пояс роста региона. Развитие данных территорий зависит от реализации транзитного потенциала и активизации социально-экономических связей со Старооскольско-Губкинской агломерацией Белгородской области. От восстановления трансграничных связей с Украиной будет зависеть и развитие Рыльского пояса роста.</w:t>
      </w:r>
    </w:p>
    <w:p>
      <w:pPr>
        <w:pStyle w:val="0"/>
        <w:jc w:val="both"/>
      </w:pPr>
      <w:r>
        <w:rPr>
          <w:sz w:val="20"/>
        </w:rPr>
      </w:r>
    </w:p>
    <w:p>
      <w:pPr>
        <w:pStyle w:val="2"/>
        <w:outlineLvl w:val="2"/>
        <w:ind w:firstLine="540"/>
        <w:jc w:val="both"/>
      </w:pPr>
      <w:r>
        <w:rPr>
          <w:sz w:val="20"/>
        </w:rPr>
        <w:t xml:space="preserve">Экономическое районирование Курской области</w:t>
      </w:r>
    </w:p>
    <w:p>
      <w:pPr>
        <w:pStyle w:val="0"/>
        <w:jc w:val="both"/>
      </w:pPr>
      <w:r>
        <w:rPr>
          <w:sz w:val="20"/>
        </w:rPr>
      </w:r>
    </w:p>
    <w:p>
      <w:pPr>
        <w:pStyle w:val="0"/>
        <w:ind w:firstLine="540"/>
        <w:jc w:val="both"/>
      </w:pPr>
      <w:r>
        <w:rPr>
          <w:sz w:val="20"/>
        </w:rPr>
        <w:t xml:space="preserve">В целях реализации пространственного потенциала и формирования современной политики, направленной на формирование умной специализации отдельных территорий, разработаны следующие варианты перспективного экономического районирования Курской области.</w:t>
      </w:r>
    </w:p>
    <w:p>
      <w:pPr>
        <w:pStyle w:val="0"/>
        <w:jc w:val="both"/>
      </w:pPr>
      <w:r>
        <w:rPr>
          <w:sz w:val="20"/>
        </w:rPr>
      </w:r>
    </w:p>
    <w:p>
      <w:pPr>
        <w:pStyle w:val="0"/>
        <w:jc w:val="center"/>
      </w:pPr>
      <w:r>
        <w:rPr>
          <w:position w:val="-250"/>
        </w:rPr>
        <w:drawing>
          <wp:inline distT="0" distB="0" distL="0" distR="0">
            <wp:extent cx="4681855" cy="3310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681855" cy="331025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3. Основной вариант экономического районирования</w:t>
      </w:r>
    </w:p>
    <w:p>
      <w:pPr>
        <w:pStyle w:val="2"/>
        <w:jc w:val="center"/>
      </w:pPr>
      <w:r>
        <w:rPr>
          <w:sz w:val="20"/>
        </w:rPr>
        <w:t xml:space="preserve">Курской области: классический (функционально-узловой)</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jc w:val="both"/>
      </w:pPr>
      <w:r>
        <w:rPr>
          <w:sz w:val="20"/>
        </w:rPr>
        <w:t xml:space="preserve">Примечание. Точки роста - крупные центры расселения и хозяйства Курской области, сохраняющие свою конкурентоспособность и способные в будущем привлечь инвестиции. Зоны роста (опережающего развития) - близко расположенные точки роста, имеющие перспективы взаимодействия и формирования хозяйственных связей. Пояса роста - территории, соединяющие зоны роста за счет важнейших транспортных магистралей.</w:t>
      </w:r>
    </w:p>
    <w:p>
      <w:pPr>
        <w:pStyle w:val="0"/>
        <w:jc w:val="both"/>
      </w:pPr>
      <w:r>
        <w:rPr>
          <w:sz w:val="20"/>
        </w:rPr>
      </w:r>
    </w:p>
    <w:p>
      <w:pPr>
        <w:pStyle w:val="0"/>
        <w:ind w:firstLine="540"/>
        <w:jc w:val="both"/>
      </w:pPr>
      <w:r>
        <w:rPr>
          <w:sz w:val="20"/>
        </w:rPr>
        <w:t xml:space="preserve">Основной вариант: Классический (функционально-узловой).</w:t>
      </w:r>
    </w:p>
    <w:p>
      <w:pPr>
        <w:pStyle w:val="0"/>
        <w:spacing w:before="200" w:line-rule="auto"/>
        <w:ind w:firstLine="540"/>
        <w:jc w:val="both"/>
      </w:pPr>
      <w:r>
        <w:rPr>
          <w:sz w:val="20"/>
        </w:rPr>
        <w:t xml:space="preserve">1. Курский центральный многофункциональный (Курск, Курский район, Октябрьский район, Курчатов, Курчатовский район).</w:t>
      </w:r>
    </w:p>
    <w:p>
      <w:pPr>
        <w:pStyle w:val="0"/>
        <w:spacing w:before="200" w:line-rule="auto"/>
        <w:ind w:firstLine="540"/>
        <w:jc w:val="both"/>
      </w:pPr>
      <w:r>
        <w:rPr>
          <w:sz w:val="20"/>
        </w:rPr>
        <w:t xml:space="preserve">2. Железногорский многоукладный индустриальный (Железногорск, Железногорский район, Дмитриевский район).</w:t>
      </w:r>
    </w:p>
    <w:p>
      <w:pPr>
        <w:pStyle w:val="0"/>
        <w:spacing w:before="200" w:line-rule="auto"/>
        <w:ind w:firstLine="540"/>
        <w:jc w:val="both"/>
      </w:pPr>
      <w:r>
        <w:rPr>
          <w:sz w:val="20"/>
        </w:rPr>
        <w:t xml:space="preserve">3. Льговский транспортно-промышленный (Льговский район, Конышевский район).</w:t>
      </w:r>
    </w:p>
    <w:p>
      <w:pPr>
        <w:pStyle w:val="0"/>
        <w:spacing w:before="200" w:line-rule="auto"/>
        <w:ind w:firstLine="540"/>
        <w:jc w:val="both"/>
      </w:pPr>
      <w:r>
        <w:rPr>
          <w:sz w:val="20"/>
        </w:rPr>
        <w:t xml:space="preserve">4. Рыльско-Суджанский приграничный (Рыльский район, Суджанский район, Кореневский район, Глушковский район, Хомутовский район, Беловский район).</w:t>
      </w:r>
    </w:p>
    <w:p>
      <w:pPr>
        <w:pStyle w:val="0"/>
        <w:spacing w:before="200" w:line-rule="auto"/>
        <w:ind w:firstLine="540"/>
        <w:jc w:val="both"/>
      </w:pPr>
      <w:r>
        <w:rPr>
          <w:sz w:val="20"/>
        </w:rPr>
        <w:t xml:space="preserve">5. Северный аграрно-промышленный перспективного освоения (Щигры, Щигровский район, Фатежский район, Золотухинский район, Поныровский район, Черемисиновский район, Советский район, Тимский район).</w:t>
      </w:r>
    </w:p>
    <w:p>
      <w:pPr>
        <w:pStyle w:val="0"/>
        <w:spacing w:before="200" w:line-rule="auto"/>
        <w:ind w:firstLine="540"/>
        <w:jc w:val="both"/>
      </w:pPr>
      <w:r>
        <w:rPr>
          <w:sz w:val="20"/>
        </w:rPr>
        <w:t xml:space="preserve">6. Восточный транспортно-логистический с развитыми сельскохозяйственными функциями (Касторенский район, Горшеченский район, Мантуровский район).</w:t>
      </w:r>
    </w:p>
    <w:p>
      <w:pPr>
        <w:pStyle w:val="0"/>
        <w:spacing w:before="200" w:line-rule="auto"/>
        <w:ind w:firstLine="540"/>
        <w:jc w:val="both"/>
      </w:pPr>
      <w:r>
        <w:rPr>
          <w:sz w:val="20"/>
        </w:rPr>
        <w:t xml:space="preserve">7. Южный трансграничный перспективного освоения (Обоянский район, Медвенский район, Солнцевский район, Пристенский район, Большесолдатский район).</w:t>
      </w:r>
    </w:p>
    <w:p>
      <w:pPr>
        <w:pStyle w:val="0"/>
        <w:spacing w:before="200" w:line-rule="auto"/>
        <w:ind w:firstLine="540"/>
        <w:jc w:val="both"/>
      </w:pPr>
      <w:r>
        <w:rPr>
          <w:sz w:val="20"/>
        </w:rPr>
        <w:t xml:space="preserve">1. Курский центральный многофункциональный.</w:t>
      </w:r>
    </w:p>
    <w:p>
      <w:pPr>
        <w:pStyle w:val="0"/>
        <w:spacing w:before="200" w:line-rule="auto"/>
        <w:ind w:firstLine="540"/>
        <w:jc w:val="both"/>
      </w:pPr>
      <w:r>
        <w:rPr>
          <w:sz w:val="20"/>
        </w:rPr>
        <w:t xml:space="preserve">Состав: Курск, Курский район, Октябрьский район, Курчатов, Курчатовский район.</w:t>
      </w:r>
    </w:p>
    <w:p>
      <w:pPr>
        <w:pStyle w:val="0"/>
        <w:spacing w:before="200" w:line-rule="auto"/>
        <w:ind w:firstLine="540"/>
        <w:jc w:val="both"/>
      </w:pPr>
      <w:r>
        <w:rPr>
          <w:sz w:val="20"/>
        </w:rPr>
        <w:t xml:space="preserve">Курский столичный экономический район играет роль консолидирующего регионального ядра Курской области. В районе сконцентрирован основной потенциал Курской области, в том числе научно-образовательный, промышленный и транспортно-логистический. Включает территории Курской агломерации (городской округ Курск и Курский район), Октябрьского района, городского округа Курчатов и Курчатовского района.</w:t>
      </w:r>
    </w:p>
    <w:p>
      <w:pPr>
        <w:pStyle w:val="0"/>
        <w:spacing w:before="200" w:line-rule="auto"/>
        <w:ind w:firstLine="540"/>
        <w:jc w:val="both"/>
      </w:pPr>
      <w:r>
        <w:rPr>
          <w:sz w:val="20"/>
        </w:rPr>
        <w:t xml:space="preserve">Перспективные границы центрального многофункционального экономического района совпадают с границами Курско-Курчатовской агломерации. В пределах Курско-Курчатовской агломерации (30 - 45 минутная изохрона) формируется зона приоритетного развития со специализацией на инновационных отраслях промышленности, научно-образовательном комплексе и отраслях человеческого капитала, транспортно-логистической деятельности и сфере услуг. При этом в перспективе при развитии линий скоростного общественного транспорта и снижения среднего времени в пути возможно расширение границ Курско-Курчатовской агломерации на север и на юг вдоль субмеридиональных коридоров (автомобильная магистраль М2) путем формирования пригородных урбанизированных территорий малоэтажной застройки. В перспективе возможно формирование развитой Курско-Белгородской конурбации на основе расширения двустороннего сотрудничества, реализации совместных проектов и развития пригородного строительства.</w:t>
      </w:r>
    </w:p>
    <w:p>
      <w:pPr>
        <w:pStyle w:val="0"/>
        <w:spacing w:before="200" w:line-rule="auto"/>
        <w:ind w:firstLine="540"/>
        <w:jc w:val="both"/>
      </w:pPr>
      <w:r>
        <w:rPr>
          <w:sz w:val="20"/>
        </w:rPr>
        <w:t xml:space="preserve">Для завершения формирования полноценной Курско-Курчатовской агломерации критически важным является формирование линий скоростного общественного транспорта, обеспечивающего 30 - 45-минутную транспортную доступность, а также расширение и ликвидация узких мест в транспортной инфраструктуре. Это предполагает создание четырехполосных автомагистралей по направлению Курск - Курчатов (существующая дорога проходит через населенные пункты и имеет ограничения на скорость передвижения), расширение автодороги "Крым" в Курском районе, а также возможное расширение автодороги Е38 с целью усиления агломерационного эффекта. Также ключевое значение имеет формирование экологически чистого скоростного общественного транспорта в границах города Курска для повышения связанности Сеймского, Центрального и Железнодорожного административных округов города Курска.</w:t>
      </w:r>
    </w:p>
    <w:p>
      <w:pPr>
        <w:pStyle w:val="0"/>
        <w:spacing w:before="200" w:line-rule="auto"/>
        <w:ind w:firstLine="540"/>
        <w:jc w:val="both"/>
      </w:pPr>
      <w:r>
        <w:rPr>
          <w:sz w:val="20"/>
        </w:rPr>
        <w:t xml:space="preserve">2. Железногорский многоукладный индустриальный.</w:t>
      </w:r>
    </w:p>
    <w:p>
      <w:pPr>
        <w:pStyle w:val="0"/>
        <w:spacing w:before="200" w:line-rule="auto"/>
        <w:ind w:firstLine="540"/>
        <w:jc w:val="both"/>
      </w:pPr>
      <w:r>
        <w:rPr>
          <w:sz w:val="20"/>
        </w:rPr>
        <w:t xml:space="preserve">Состав: Железногорск, Железногорский район, Дмитриевский район.</w:t>
      </w:r>
    </w:p>
    <w:p>
      <w:pPr>
        <w:pStyle w:val="0"/>
        <w:spacing w:before="200" w:line-rule="auto"/>
        <w:ind w:firstLine="540"/>
        <w:jc w:val="both"/>
      </w:pPr>
      <w:r>
        <w:rPr>
          <w:sz w:val="20"/>
        </w:rPr>
        <w:t xml:space="preserve">В пределах района выделяется ключевой полюс роста - город Железногорск со специализацией на металлургическом производстве. В состав района входят город Железногорск и Железногорский район. Железногорск в настоящее время относится к моногородам второй категории. Перспективы города связаны с формированием многоукладной экологоориентированной диверсифицированной экономики, развитием промышленных кластеров, например, экологически чистой упаковки, и повышением качества городской среды.</w:t>
      </w:r>
    </w:p>
    <w:p>
      <w:pPr>
        <w:pStyle w:val="0"/>
        <w:spacing w:before="200" w:line-rule="auto"/>
        <w:ind w:firstLine="540"/>
        <w:jc w:val="both"/>
      </w:pPr>
      <w:r>
        <w:rPr>
          <w:sz w:val="20"/>
        </w:rPr>
        <w:t xml:space="preserve">Железногорск, являясь крупнейшим промышленным центром области, берет на себя функции межрайонного значения. К Железногорску тяготеет (транспортный коридор М3 "Украина") Дмитриевский район со специализацией на обрабатывающей промышленности и сельхозпереработке, имеющий развитые связи с Железногорском районом в части движения населения.</w:t>
      </w:r>
    </w:p>
    <w:p>
      <w:pPr>
        <w:pStyle w:val="0"/>
        <w:spacing w:before="200" w:line-rule="auto"/>
        <w:ind w:firstLine="540"/>
        <w:jc w:val="both"/>
      </w:pPr>
      <w:r>
        <w:rPr>
          <w:sz w:val="20"/>
        </w:rPr>
        <w:t xml:space="preserve">3. Льговский транспортно-промышленный.</w:t>
      </w:r>
    </w:p>
    <w:p>
      <w:pPr>
        <w:pStyle w:val="0"/>
        <w:spacing w:before="200" w:line-rule="auto"/>
        <w:ind w:firstLine="540"/>
        <w:jc w:val="both"/>
      </w:pPr>
      <w:r>
        <w:rPr>
          <w:sz w:val="20"/>
        </w:rPr>
        <w:t xml:space="preserve">Состав: Льгов, Льговский район, Конышевский район Курской области.</w:t>
      </w:r>
    </w:p>
    <w:p>
      <w:pPr>
        <w:pStyle w:val="0"/>
        <w:spacing w:before="200" w:line-rule="auto"/>
        <w:ind w:firstLine="540"/>
        <w:jc w:val="both"/>
      </w:pPr>
      <w:r>
        <w:rPr>
          <w:sz w:val="20"/>
        </w:rPr>
        <w:t xml:space="preserve">Льговский транспортно-промышленный экономический район объединяет городской округ Льгов, Льговский район и Конышевский район Курской области. Льгов представляет собой транспортно-промышленный центр, находящийся на пересечении западной меридиональной оси Дмитриев - Льгов - Суджа и главной широтной оси области Курск - Курчатов - Льгов - Рыльск. Перспективы данного района связаны с наращиванием размещения высокотехнологичных обрабатывающих производств, логистических комплексов.</w:t>
      </w:r>
    </w:p>
    <w:p>
      <w:pPr>
        <w:pStyle w:val="0"/>
        <w:spacing w:before="200" w:line-rule="auto"/>
        <w:ind w:firstLine="540"/>
        <w:jc w:val="both"/>
      </w:pPr>
      <w:r>
        <w:rPr>
          <w:sz w:val="20"/>
        </w:rPr>
        <w:t xml:space="preserve">4. Рыльско-Суджанский приграничный.</w:t>
      </w:r>
    </w:p>
    <w:p>
      <w:pPr>
        <w:pStyle w:val="0"/>
        <w:spacing w:before="200" w:line-rule="auto"/>
        <w:ind w:firstLine="540"/>
        <w:jc w:val="both"/>
      </w:pPr>
      <w:r>
        <w:rPr>
          <w:sz w:val="20"/>
        </w:rPr>
        <w:t xml:space="preserve">Состав: Рыльский район, Кореневский район, Суджанский район, Глушковский район, Хомутовский район, Беловский район.</w:t>
      </w:r>
    </w:p>
    <w:p>
      <w:pPr>
        <w:pStyle w:val="0"/>
        <w:spacing w:before="200" w:line-rule="auto"/>
        <w:ind w:firstLine="540"/>
        <w:jc w:val="both"/>
      </w:pPr>
      <w:r>
        <w:rPr>
          <w:sz w:val="20"/>
        </w:rPr>
        <w:t xml:space="preserve">Рыльско-Суджанский приграничный экономический район включает муниципальные образования, имеющие геостратегическое значение, а также обладающие значительным историко-культурным потенциалом. На территории Рыльского и Суджанского районов находятся пограничные пункты пропуска, что предопределяет их специализацию на организации приграничного сотрудничества. В пределах района выделяется основной центр - Рыльск - многофункциональный межрайонный центр и центр второго порядка - Суджа. Развитие Рыльско-Суджанского приграничного района связано с функционированием высокотехнологичных обрабатывающих производств на транзитных пересечениях Курской области, верхних стадий агропромышленного комплекса и приграничных транспортно-коммуникационных и логистических комплексов.</w:t>
      </w:r>
    </w:p>
    <w:p>
      <w:pPr>
        <w:pStyle w:val="0"/>
        <w:spacing w:before="200" w:line-rule="auto"/>
        <w:ind w:firstLine="540"/>
        <w:jc w:val="both"/>
      </w:pPr>
      <w:r>
        <w:rPr>
          <w:sz w:val="20"/>
        </w:rPr>
        <w:t xml:space="preserve">5. Северный аграрно-промышленный перспективного освоения.</w:t>
      </w:r>
    </w:p>
    <w:p>
      <w:pPr>
        <w:pStyle w:val="0"/>
        <w:spacing w:before="200" w:line-rule="auto"/>
        <w:ind w:firstLine="540"/>
        <w:jc w:val="both"/>
      </w:pPr>
      <w:r>
        <w:rPr>
          <w:sz w:val="20"/>
        </w:rPr>
        <w:t xml:space="preserve">Состав: Щигры, Щигровский район, Фатежский район, Золотухинский район, Поныровский район, Черемисиновский район, Советский район и Тимский район.</w:t>
      </w:r>
    </w:p>
    <w:p>
      <w:pPr>
        <w:pStyle w:val="0"/>
        <w:spacing w:before="200" w:line-rule="auto"/>
        <w:ind w:firstLine="540"/>
        <w:jc w:val="both"/>
      </w:pPr>
      <w:r>
        <w:rPr>
          <w:sz w:val="20"/>
        </w:rPr>
        <w:t xml:space="preserve">Центром района является город Щигры, выполняющий межрайонные функции как крупный центр перерабатывающей промышленности. Экономический район связан автомобильными и железнодорожными коридорами, связывающими Курск и Воронеж. В районе черноземные почвы, что обуславливает его сельскохозяйственную специализацию. Специализация Фатежского района на транспорте, логистике и сельском хозяйстве обуславливает отнесение Фатежского района к данному экономическому району. В долгосрочной перспективе при расширении автомобильной дороги М2 и развитии скоростных коммуникаций с Курско-Курчатовской агломерацией Фатежский район может стать полюсом роста второго порядка для Курско-Курчатовской агломерации.</w:t>
      </w:r>
    </w:p>
    <w:p>
      <w:pPr>
        <w:pStyle w:val="0"/>
        <w:spacing w:before="200" w:line-rule="auto"/>
        <w:ind w:firstLine="540"/>
        <w:jc w:val="both"/>
      </w:pPr>
      <w:r>
        <w:rPr>
          <w:sz w:val="20"/>
        </w:rPr>
        <w:t xml:space="preserve">6. Восточный транспортно-логистический с развитыми сельскохозяйственными функциями.</w:t>
      </w:r>
    </w:p>
    <w:p>
      <w:pPr>
        <w:pStyle w:val="0"/>
        <w:spacing w:before="200" w:line-rule="auto"/>
        <w:ind w:firstLine="540"/>
        <w:jc w:val="both"/>
      </w:pPr>
      <w:r>
        <w:rPr>
          <w:sz w:val="20"/>
        </w:rPr>
        <w:t xml:space="preserve">Состав: Касторенский район, Горшеченский район, Мантуровский район.</w:t>
      </w:r>
    </w:p>
    <w:p>
      <w:pPr>
        <w:pStyle w:val="0"/>
        <w:spacing w:before="200" w:line-rule="auto"/>
        <w:ind w:firstLine="540"/>
        <w:jc w:val="both"/>
      </w:pPr>
      <w:r>
        <w:rPr>
          <w:sz w:val="20"/>
        </w:rPr>
        <w:t xml:space="preserve">Район находится в зоне влияния Старооскольско-Губкинской агломерации (Горшеченский, Мантуровский районы), что создает условия для реализации агломерационного потенциала. Перспективы района связаны с расширением агропромышленного цикла, переработкой и его обслуживанием, развитием транспорта и формированием логистического комплекса в районе Касторное - Горшечное, использованием потенциала приграничного положения (восточный выход на Москву и Липецк), учетом потенциального спроса со стороны Белгородской области.</w:t>
      </w:r>
    </w:p>
    <w:p>
      <w:pPr>
        <w:pStyle w:val="0"/>
        <w:spacing w:before="200" w:line-rule="auto"/>
        <w:ind w:firstLine="540"/>
        <w:jc w:val="both"/>
      </w:pPr>
      <w:r>
        <w:rPr>
          <w:sz w:val="20"/>
        </w:rPr>
        <w:t xml:space="preserve">7. Южный трансграничный перспективного освоения.</w:t>
      </w:r>
    </w:p>
    <w:p>
      <w:pPr>
        <w:pStyle w:val="0"/>
        <w:spacing w:before="200" w:line-rule="auto"/>
        <w:ind w:firstLine="540"/>
        <w:jc w:val="both"/>
      </w:pPr>
      <w:r>
        <w:rPr>
          <w:sz w:val="20"/>
        </w:rPr>
        <w:t xml:space="preserve">Состав: Обоянский район, Медвенский район, Солнцевский район, Пристенский район, Большесолдатский район.</w:t>
      </w:r>
    </w:p>
    <w:p>
      <w:pPr>
        <w:pStyle w:val="0"/>
        <w:spacing w:before="200" w:line-rule="auto"/>
        <w:ind w:firstLine="540"/>
        <w:jc w:val="both"/>
      </w:pPr>
      <w:r>
        <w:rPr>
          <w:sz w:val="20"/>
        </w:rPr>
        <w:t xml:space="preserve">Район объединяет муниципальные образования, обладающие потенциалом приграничного экономико-географического положения. Обоянь представляет собой перспективный район комплексного развития с упором на развитие сервисных отраслей благодаря расположению в пределах транспортного коридора развития - Курск - Белгород. В долгосрочной перспективе Обоянский район может стать южным полюсом роста второго порядка для Курско-Курчатовской агломерации.</w:t>
      </w:r>
    </w:p>
    <w:p>
      <w:pPr>
        <w:pStyle w:val="0"/>
        <w:ind w:firstLine="540"/>
        <w:jc w:val="both"/>
      </w:pPr>
      <w:r>
        <w:rPr>
          <w:sz w:val="20"/>
        </w:rPr>
      </w:r>
    </w:p>
    <w:p>
      <w:pPr>
        <w:pStyle w:val="2"/>
        <w:outlineLvl w:val="2"/>
        <w:ind w:firstLine="540"/>
        <w:jc w:val="both"/>
      </w:pPr>
      <w:r>
        <w:rPr>
          <w:sz w:val="20"/>
        </w:rPr>
        <w:t xml:space="preserve">Дополнительные варианты экономического районирования Курской области</w:t>
      </w:r>
    </w:p>
    <w:p>
      <w:pPr>
        <w:pStyle w:val="0"/>
        <w:ind w:firstLine="540"/>
        <w:jc w:val="both"/>
      </w:pPr>
      <w:r>
        <w:rPr>
          <w:sz w:val="20"/>
        </w:rPr>
      </w:r>
    </w:p>
    <w:p>
      <w:pPr>
        <w:pStyle w:val="0"/>
        <w:ind w:firstLine="540"/>
        <w:jc w:val="both"/>
      </w:pPr>
      <w:r>
        <w:rPr>
          <w:sz w:val="20"/>
        </w:rPr>
        <w:t xml:space="preserve">Дополнительный вариант 1. Современный конурбационный (перспективного расселения).</w:t>
      </w:r>
    </w:p>
    <w:p>
      <w:pPr>
        <w:pStyle w:val="0"/>
        <w:spacing w:before="200" w:line-rule="auto"/>
        <w:ind w:firstLine="540"/>
        <w:jc w:val="both"/>
      </w:pPr>
      <w:r>
        <w:rPr>
          <w:sz w:val="20"/>
        </w:rPr>
        <w:t xml:space="preserve">1. Курский центральный многофункциональный (Курск, Курский район, Октябрьский район, Курчатов, Курчатовский район).</w:t>
      </w:r>
    </w:p>
    <w:p>
      <w:pPr>
        <w:pStyle w:val="0"/>
        <w:spacing w:before="200" w:line-rule="auto"/>
        <w:ind w:firstLine="540"/>
        <w:jc w:val="both"/>
      </w:pPr>
      <w:r>
        <w:rPr>
          <w:sz w:val="20"/>
        </w:rPr>
        <w:t xml:space="preserve">2. Железногорский многоукладный индустриальный (Железногорск, Железногорский район, Дмитриевский район).</w:t>
      </w:r>
    </w:p>
    <w:p>
      <w:pPr>
        <w:pStyle w:val="0"/>
        <w:spacing w:before="200" w:line-rule="auto"/>
        <w:ind w:firstLine="540"/>
        <w:jc w:val="both"/>
      </w:pPr>
      <w:r>
        <w:rPr>
          <w:sz w:val="20"/>
        </w:rPr>
        <w:t xml:space="preserve">3. Льговский транспортно-промышленный (Льговский район, Конышевский район).</w:t>
      </w:r>
    </w:p>
    <w:p>
      <w:pPr>
        <w:pStyle w:val="0"/>
        <w:spacing w:before="200" w:line-rule="auto"/>
        <w:ind w:firstLine="540"/>
        <w:jc w:val="both"/>
      </w:pPr>
      <w:r>
        <w:rPr>
          <w:sz w:val="20"/>
        </w:rPr>
        <w:t xml:space="preserve">4. Рыльско-Сужданский приграничный (Рыльский район, Суджанский район, Кореневский район, Глушковский район, Хомутовский район).</w:t>
      </w:r>
    </w:p>
    <w:p>
      <w:pPr>
        <w:pStyle w:val="0"/>
        <w:spacing w:before="200" w:line-rule="auto"/>
        <w:ind w:firstLine="540"/>
        <w:jc w:val="both"/>
      </w:pPr>
      <w:r>
        <w:rPr>
          <w:sz w:val="20"/>
        </w:rPr>
        <w:t xml:space="preserve">5. Северный аграрно-промышленный перспективного освоения (Щигры, Щигровский район, Фатежский район, Золотухинский район, Поныровский район, Черемисиновский район, Советский район, Тимский район).</w:t>
      </w:r>
    </w:p>
    <w:p>
      <w:pPr>
        <w:pStyle w:val="0"/>
        <w:spacing w:before="200" w:line-rule="auto"/>
        <w:ind w:firstLine="540"/>
        <w:jc w:val="both"/>
      </w:pPr>
      <w:r>
        <w:rPr>
          <w:sz w:val="20"/>
        </w:rPr>
        <w:t xml:space="preserve">6. Восточный транспортно-логистический с развитыми сельскохозяйственными функциями (Касторенский район, Горшеченский район, Мантуровский район).</w:t>
      </w:r>
    </w:p>
    <w:p>
      <w:pPr>
        <w:pStyle w:val="0"/>
        <w:spacing w:before="200" w:line-rule="auto"/>
        <w:ind w:firstLine="540"/>
        <w:jc w:val="both"/>
      </w:pPr>
      <w:r>
        <w:rPr>
          <w:sz w:val="20"/>
        </w:rPr>
        <w:t xml:space="preserve">7. Южный трансграничный перспективного расселения (Обоянский район, Медвенский район, Солнцевский район, Пристенский район, Большесолдатский район, Беловский район).</w:t>
      </w:r>
    </w:p>
    <w:p>
      <w:pPr>
        <w:pStyle w:val="0"/>
        <w:jc w:val="both"/>
      </w:pPr>
      <w:r>
        <w:rPr>
          <w:sz w:val="20"/>
        </w:rPr>
      </w:r>
    </w:p>
    <w:p>
      <w:pPr>
        <w:pStyle w:val="0"/>
        <w:jc w:val="center"/>
      </w:pPr>
      <w:r>
        <w:rPr>
          <w:position w:val="-270"/>
        </w:rPr>
        <w:drawing>
          <wp:inline distT="0" distB="0" distL="0" distR="0">
            <wp:extent cx="5041265" cy="3559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5041265" cy="355981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4. Дополнительный вариант N 1 экономического</w:t>
      </w:r>
    </w:p>
    <w:p>
      <w:pPr>
        <w:pStyle w:val="2"/>
        <w:jc w:val="center"/>
      </w:pPr>
      <w:r>
        <w:rPr>
          <w:sz w:val="20"/>
        </w:rPr>
        <w:t xml:space="preserve">районирования Курской области: современный конурбационный</w:t>
      </w:r>
    </w:p>
    <w:p>
      <w:pPr>
        <w:pStyle w:val="2"/>
        <w:jc w:val="center"/>
      </w:pPr>
      <w:r>
        <w:rPr>
          <w:sz w:val="20"/>
        </w:rPr>
        <w:t xml:space="preserve">(перспективного расселения)</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ind w:firstLine="540"/>
        <w:jc w:val="both"/>
      </w:pPr>
      <w:r>
        <w:rPr>
          <w:sz w:val="20"/>
        </w:rPr>
        <w:t xml:space="preserve">Дополнительный вариант 2. Гравитационно-функциональный.</w:t>
      </w:r>
    </w:p>
    <w:p>
      <w:pPr>
        <w:pStyle w:val="0"/>
        <w:spacing w:before="200" w:line-rule="auto"/>
        <w:ind w:firstLine="540"/>
        <w:jc w:val="both"/>
      </w:pPr>
      <w:r>
        <w:rPr>
          <w:sz w:val="20"/>
        </w:rPr>
        <w:t xml:space="preserve">1. Курский столичный (центральный) многофункциональный (Курск, Курский район, Октябрьский район, Курчатов, Курчатовский район).</w:t>
      </w:r>
    </w:p>
    <w:p>
      <w:pPr>
        <w:pStyle w:val="0"/>
        <w:spacing w:before="200" w:line-rule="auto"/>
        <w:ind w:firstLine="540"/>
        <w:jc w:val="both"/>
      </w:pPr>
      <w:r>
        <w:rPr>
          <w:sz w:val="20"/>
        </w:rPr>
        <w:t xml:space="preserve">2. Железногорский диверсифицированный (многоукладный) индустриальный (Железногорск, Железногорский район, Дмитриевский район).</w:t>
      </w:r>
    </w:p>
    <w:p>
      <w:pPr>
        <w:pStyle w:val="0"/>
        <w:spacing w:before="200" w:line-rule="auto"/>
        <w:ind w:firstLine="540"/>
        <w:jc w:val="both"/>
      </w:pPr>
      <w:r>
        <w:rPr>
          <w:sz w:val="20"/>
        </w:rPr>
        <w:t xml:space="preserve">3. Льговский транспортно-промышленный (Льговский район, Конышевский район).</w:t>
      </w:r>
    </w:p>
    <w:p>
      <w:pPr>
        <w:pStyle w:val="0"/>
        <w:spacing w:before="200" w:line-rule="auto"/>
        <w:ind w:firstLine="540"/>
        <w:jc w:val="both"/>
      </w:pPr>
      <w:r>
        <w:rPr>
          <w:sz w:val="20"/>
        </w:rPr>
        <w:t xml:space="preserve">4. Рыльский приграничный (Рыльский район, Суджанский район, Кореневский район, Глушковский район, Хомутовский район).</w:t>
      </w:r>
    </w:p>
    <w:p>
      <w:pPr>
        <w:pStyle w:val="0"/>
        <w:spacing w:before="200" w:line-rule="auto"/>
        <w:ind w:firstLine="540"/>
        <w:jc w:val="both"/>
      </w:pPr>
      <w:r>
        <w:rPr>
          <w:sz w:val="20"/>
        </w:rPr>
        <w:t xml:space="preserve">5. Северный аграрно-промышленный перспективного освоения (Щигры, Щигровский район, Фатежский район, Золотухинский район, Поныровский район, Черемисиновский район, Советский район, Тимский район).</w:t>
      </w:r>
    </w:p>
    <w:p>
      <w:pPr>
        <w:pStyle w:val="0"/>
        <w:spacing w:before="200" w:line-rule="auto"/>
        <w:ind w:firstLine="540"/>
        <w:jc w:val="both"/>
      </w:pPr>
      <w:r>
        <w:rPr>
          <w:sz w:val="20"/>
        </w:rPr>
        <w:t xml:space="preserve">6. Восточный транспортно-логистический с развитыми сельскохозяйственными функциями (Касторенский район, Горшеченский район, Мантуровский район).</w:t>
      </w:r>
    </w:p>
    <w:p>
      <w:pPr>
        <w:pStyle w:val="0"/>
        <w:spacing w:before="200" w:line-rule="auto"/>
        <w:ind w:firstLine="540"/>
        <w:jc w:val="both"/>
      </w:pPr>
      <w:r>
        <w:rPr>
          <w:sz w:val="20"/>
        </w:rPr>
        <w:t xml:space="preserve">7. Южный перспективного освоения (Обоянский район, Медвенский район, Солнцевский район, Пристенский район).</w:t>
      </w:r>
    </w:p>
    <w:p>
      <w:pPr>
        <w:pStyle w:val="0"/>
        <w:spacing w:before="200" w:line-rule="auto"/>
        <w:ind w:firstLine="540"/>
        <w:jc w:val="both"/>
      </w:pPr>
      <w:r>
        <w:rPr>
          <w:sz w:val="20"/>
        </w:rPr>
        <w:t xml:space="preserve">8. Суджанский транспортно-логистический (Суджанский район, Беловский район, Большесолдатский район).</w:t>
      </w:r>
    </w:p>
    <w:p>
      <w:pPr>
        <w:pStyle w:val="0"/>
        <w:jc w:val="both"/>
      </w:pPr>
      <w:r>
        <w:rPr>
          <w:sz w:val="20"/>
        </w:rPr>
      </w:r>
    </w:p>
    <w:p>
      <w:pPr>
        <w:pStyle w:val="0"/>
        <w:jc w:val="center"/>
      </w:pPr>
      <w:r>
        <w:rPr>
          <w:position w:val="-270"/>
        </w:rPr>
        <w:drawing>
          <wp:inline distT="0" distB="0" distL="0" distR="0">
            <wp:extent cx="5041265" cy="3559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041265" cy="355981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Рисунок 5. Дополнительный вариант N 2 экономического</w:t>
      </w:r>
    </w:p>
    <w:p>
      <w:pPr>
        <w:pStyle w:val="2"/>
        <w:jc w:val="center"/>
      </w:pPr>
      <w:r>
        <w:rPr>
          <w:sz w:val="20"/>
        </w:rPr>
        <w:t xml:space="preserve">районирования Курской области: гравитационно-функциональный</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2"/>
        <w:outlineLvl w:val="1"/>
        <w:jc w:val="center"/>
      </w:pPr>
      <w:r>
        <w:rPr>
          <w:sz w:val="20"/>
        </w:rPr>
        <w:t xml:space="preserve">13. Сценарии социально-экономического развития</w:t>
      </w:r>
    </w:p>
    <w:p>
      <w:pPr>
        <w:pStyle w:val="2"/>
        <w:jc w:val="center"/>
      </w:pPr>
      <w:r>
        <w:rPr>
          <w:sz w:val="20"/>
        </w:rPr>
        <w:t xml:space="preserve">Курской области до 2030 года</w:t>
      </w:r>
    </w:p>
    <w:p>
      <w:pPr>
        <w:pStyle w:val="0"/>
        <w:jc w:val="both"/>
      </w:pPr>
      <w:r>
        <w:rPr>
          <w:sz w:val="20"/>
        </w:rPr>
      </w:r>
    </w:p>
    <w:p>
      <w:pPr>
        <w:pStyle w:val="0"/>
        <w:ind w:firstLine="540"/>
        <w:jc w:val="both"/>
      </w:pPr>
      <w:r>
        <w:rPr>
          <w:sz w:val="20"/>
        </w:rPr>
        <w:t xml:space="preserve">Социально-экономическое развитие Курской области может осуществляться по одной из двух пар стратегических альтернатив.</w:t>
      </w:r>
    </w:p>
    <w:p>
      <w:pPr>
        <w:pStyle w:val="0"/>
        <w:spacing w:before="200" w:line-rule="auto"/>
        <w:ind w:firstLine="540"/>
        <w:jc w:val="both"/>
      </w:pPr>
      <w:r>
        <w:rPr>
          <w:sz w:val="20"/>
        </w:rPr>
        <w:t xml:space="preserve">1 альтернатива. Выбор модели инвестиционной и промышленной политики.</w:t>
      </w:r>
    </w:p>
    <w:p>
      <w:pPr>
        <w:pStyle w:val="0"/>
        <w:spacing w:before="200" w:line-rule="auto"/>
        <w:ind w:firstLine="540"/>
        <w:jc w:val="both"/>
      </w:pPr>
      <w:r>
        <w:rPr>
          <w:sz w:val="20"/>
        </w:rPr>
        <w:t xml:space="preserve">Выбор между:</w:t>
      </w:r>
    </w:p>
    <w:p>
      <w:pPr>
        <w:pStyle w:val="0"/>
        <w:spacing w:before="200" w:line-rule="auto"/>
        <w:ind w:firstLine="540"/>
        <w:jc w:val="both"/>
      </w:pPr>
      <w:r>
        <w:rPr>
          <w:sz w:val="20"/>
        </w:rPr>
        <w:t xml:space="preserve">а) неуправляемой диверсификацией экономики ("инвестиции любой ценой");</w:t>
      </w:r>
    </w:p>
    <w:p>
      <w:pPr>
        <w:pStyle w:val="0"/>
        <w:spacing w:before="200" w:line-rule="auto"/>
        <w:ind w:firstLine="540"/>
        <w:jc w:val="both"/>
      </w:pPr>
      <w:r>
        <w:rPr>
          <w:sz w:val="20"/>
        </w:rPr>
        <w:t xml:space="preserve">б) "умной" специализацией.</w:t>
      </w:r>
    </w:p>
    <w:p>
      <w:pPr>
        <w:pStyle w:val="0"/>
        <w:spacing w:before="200" w:line-rule="auto"/>
        <w:ind w:firstLine="540"/>
        <w:jc w:val="both"/>
      </w:pPr>
      <w:r>
        <w:rPr>
          <w:sz w:val="20"/>
        </w:rPr>
        <w:t xml:space="preserve">В первом случае предполагается в качестве целевой модели привлечение инвестиций в регион любыми средствами. Экономическая и отраслевая принадлежность инвестиционных проектов в данном случае не рассматривается в качестве целевой модели. Итогом реализации данной стратегической альтернативы является "размывание" специализации экономики Курской области, переход к полностью диверсифицированной модели экономики.</w:t>
      </w:r>
    </w:p>
    <w:p>
      <w:pPr>
        <w:pStyle w:val="0"/>
        <w:spacing w:before="200" w:line-rule="auto"/>
        <w:ind w:firstLine="540"/>
        <w:jc w:val="both"/>
      </w:pPr>
      <w:r>
        <w:rPr>
          <w:sz w:val="20"/>
        </w:rPr>
        <w:t xml:space="preserve">Во втором случае предполагается привлечение инвестиций в проекты, которые обладают наибольшей конкурентоспособностью при осуществлении их именно в Курской области. Экономические, социальные, научно-образовательные, природные, пространственные и экологические факторы Курской области усиливают эффект от реализации таких проектов, что приводит к переходу региона к политике "умной" специализации (при наличии рисков снижения уровня диверсификации экономики).</w:t>
      </w:r>
    </w:p>
    <w:p>
      <w:pPr>
        <w:pStyle w:val="0"/>
        <w:spacing w:before="200" w:line-rule="auto"/>
        <w:ind w:firstLine="540"/>
        <w:jc w:val="both"/>
      </w:pPr>
      <w:r>
        <w:rPr>
          <w:sz w:val="20"/>
        </w:rPr>
        <w:t xml:space="preserve">2 альтернатива. Выбор между экономическим ростом и качеством жизни.</w:t>
      </w:r>
    </w:p>
    <w:p>
      <w:pPr>
        <w:pStyle w:val="0"/>
        <w:spacing w:before="200" w:line-rule="auto"/>
        <w:ind w:firstLine="540"/>
        <w:jc w:val="both"/>
      </w:pPr>
      <w:r>
        <w:rPr>
          <w:sz w:val="20"/>
        </w:rPr>
        <w:t xml:space="preserve">Выбор между:</w:t>
      </w:r>
    </w:p>
    <w:p>
      <w:pPr>
        <w:pStyle w:val="0"/>
        <w:spacing w:before="200" w:line-rule="auto"/>
        <w:ind w:firstLine="540"/>
        <w:jc w:val="both"/>
      </w:pPr>
      <w:r>
        <w:rPr>
          <w:sz w:val="20"/>
        </w:rPr>
        <w:t xml:space="preserve">а) созданием массовых рабочих мест, развитием промышленности в ущерб экологии ("экономический рост");</w:t>
      </w:r>
    </w:p>
    <w:p>
      <w:pPr>
        <w:pStyle w:val="0"/>
        <w:spacing w:before="200" w:line-rule="auto"/>
        <w:ind w:firstLine="540"/>
        <w:jc w:val="both"/>
      </w:pPr>
      <w:r>
        <w:rPr>
          <w:sz w:val="20"/>
        </w:rPr>
        <w:t xml:space="preserve">б) учетом факторов качества жизни, а не уровнем жизни, улучшением экологии и городской среды, социальных услуг ("рост качества жизни").</w:t>
      </w:r>
    </w:p>
    <w:p>
      <w:pPr>
        <w:pStyle w:val="0"/>
        <w:spacing w:before="200" w:line-rule="auto"/>
        <w:ind w:firstLine="540"/>
        <w:jc w:val="both"/>
      </w:pPr>
      <w:r>
        <w:rPr>
          <w:sz w:val="20"/>
        </w:rPr>
        <w:t xml:space="preserve">В первом случае предполагается концентрация усилий региональных властей на создании условий для обеспечения исключительно экономического роста, уровня заработных плат. Уровень жизни (а не качество жизни) становятся основой для реализации любых инвестиционных проектов, организационных мер, принимаемых в регионе. Следствием этого является ухудшение экологической обстановки за счет размещения "грязных" производств, развитие городской среды по модели "промышленного" и "автомобильного" города. Целевой ориентир социально-экономической политики - доходы на душу населения.</w:t>
      </w:r>
    </w:p>
    <w:p>
      <w:pPr>
        <w:pStyle w:val="0"/>
        <w:spacing w:before="200" w:line-rule="auto"/>
        <w:ind w:firstLine="540"/>
        <w:jc w:val="both"/>
      </w:pPr>
      <w:r>
        <w:rPr>
          <w:sz w:val="20"/>
        </w:rPr>
        <w:t xml:space="preserve">Во втором случае социально-экономическая политика региональных властей будет опираться на обеспечение высокого уровня качества жизни населения. Данная стратегическая альтернатива подразумевает ориентацию не на уровень заработной платы, а на возможность самореализации, не на объем жилой площади на человека, а на качество такого жилья. Транспортный каркас основан на развитии общественного транспорта. Экология становится неотъемлемым условием для достижения миссии и целей развития Курской области.</w:t>
      </w:r>
    </w:p>
    <w:p>
      <w:pPr>
        <w:pStyle w:val="0"/>
        <w:jc w:val="both"/>
      </w:pPr>
      <w:r>
        <w:rPr>
          <w:sz w:val="20"/>
        </w:rPr>
      </w:r>
    </w:p>
    <w:p>
      <w:pPr>
        <w:pStyle w:val="0"/>
        <w:jc w:val="center"/>
      </w:pPr>
      <w:r>
        <w:rPr>
          <w:position w:val="-157"/>
        </w:rPr>
        <w:drawing>
          <wp:inline distT="0" distB="0" distL="0" distR="0">
            <wp:extent cx="3602990" cy="2127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3602990" cy="2127885"/>
                    </a:xfrm>
                    <a:prstGeom prst="rect">
                      <a:avLst/>
                    </a:prstGeom>
                    <a:noFill/>
                    <a:ln>
                      <a:noFill/>
                    </a:ln>
                  </pic:spPr>
                </pic:pic>
              </a:graphicData>
            </a:graphic>
          </wp:inline>
        </w:drawing>
      </w:r>
    </w:p>
    <w:p>
      <w:pPr>
        <w:pStyle w:val="0"/>
        <w:jc w:val="both"/>
      </w:pPr>
      <w:r>
        <w:rPr>
          <w:sz w:val="20"/>
        </w:rPr>
      </w:r>
    </w:p>
    <w:p>
      <w:pPr>
        <w:pStyle w:val="2"/>
        <w:outlineLvl w:val="2"/>
        <w:jc w:val="center"/>
      </w:pPr>
      <w:r>
        <w:rPr>
          <w:sz w:val="20"/>
        </w:rPr>
        <w:t xml:space="preserve">Рисунок 1. Стратегические альтернативы</w:t>
      </w:r>
    </w:p>
    <w:p>
      <w:pPr>
        <w:pStyle w:val="2"/>
        <w:jc w:val="center"/>
      </w:pPr>
      <w:r>
        <w:rPr>
          <w:sz w:val="20"/>
        </w:rPr>
        <w:t xml:space="preserve">и сценарии развития</w:t>
      </w:r>
    </w:p>
    <w:p>
      <w:pPr>
        <w:pStyle w:val="0"/>
        <w:jc w:val="both"/>
      </w:pPr>
      <w:r>
        <w:rPr>
          <w:sz w:val="20"/>
        </w:rPr>
      </w:r>
    </w:p>
    <w:p>
      <w:pPr>
        <w:pStyle w:val="0"/>
        <w:ind w:firstLine="540"/>
        <w:jc w:val="both"/>
      </w:pPr>
      <w:r>
        <w:rPr>
          <w:sz w:val="20"/>
        </w:rPr>
        <w:t xml:space="preserve">Источник: составлено Центром стратегий регионального развития РАНХиГС.</w:t>
      </w:r>
    </w:p>
    <w:p>
      <w:pPr>
        <w:pStyle w:val="0"/>
        <w:jc w:val="both"/>
      </w:pPr>
      <w:r>
        <w:rPr>
          <w:sz w:val="20"/>
        </w:rPr>
      </w:r>
    </w:p>
    <w:p>
      <w:pPr>
        <w:pStyle w:val="0"/>
        <w:ind w:firstLine="540"/>
        <w:jc w:val="both"/>
      </w:pPr>
      <w:r>
        <w:rPr>
          <w:sz w:val="20"/>
        </w:rPr>
        <w:t xml:space="preserve">Предполагается возможность реализации четырех сценариев развития в зависимости от выбора одной из приведенных выше пар альтернатив:</w:t>
      </w:r>
    </w:p>
    <w:p>
      <w:pPr>
        <w:pStyle w:val="0"/>
        <w:spacing w:before="200" w:line-rule="auto"/>
        <w:ind w:firstLine="540"/>
        <w:jc w:val="both"/>
      </w:pPr>
      <w:r>
        <w:rPr>
          <w:sz w:val="20"/>
        </w:rPr>
        <w:t xml:space="preserve">инерционный сценарий ("экономический рост любой ценой");</w:t>
      </w:r>
    </w:p>
    <w:p>
      <w:pPr>
        <w:pStyle w:val="0"/>
        <w:spacing w:before="200" w:line-rule="auto"/>
        <w:ind w:firstLine="540"/>
        <w:jc w:val="both"/>
      </w:pPr>
      <w:r>
        <w:rPr>
          <w:sz w:val="20"/>
        </w:rPr>
        <w:t xml:space="preserve">консервативный сценарий ("современный капитализм");</w:t>
      </w:r>
    </w:p>
    <w:p>
      <w:pPr>
        <w:pStyle w:val="0"/>
        <w:spacing w:before="200" w:line-rule="auto"/>
        <w:ind w:firstLine="540"/>
        <w:jc w:val="both"/>
      </w:pPr>
      <w:r>
        <w:rPr>
          <w:sz w:val="20"/>
        </w:rPr>
        <w:t xml:space="preserve">базовый сценарий ("социальное развитие");</w:t>
      </w:r>
    </w:p>
    <w:p>
      <w:pPr>
        <w:pStyle w:val="0"/>
        <w:spacing w:before="200" w:line-rule="auto"/>
        <w:ind w:firstLine="540"/>
        <w:jc w:val="both"/>
      </w:pPr>
      <w:r>
        <w:rPr>
          <w:sz w:val="20"/>
        </w:rPr>
        <w:t xml:space="preserve">целевой сценарий ("устойчивое развитие").</w:t>
      </w:r>
    </w:p>
    <w:p>
      <w:pPr>
        <w:pStyle w:val="0"/>
        <w:spacing w:before="200" w:line-rule="auto"/>
        <w:ind w:firstLine="540"/>
        <w:jc w:val="both"/>
      </w:pPr>
      <w:r>
        <w:rPr>
          <w:sz w:val="20"/>
        </w:rPr>
        <w:t xml:space="preserve">Инерционный сценарий ("экономический рост любой ценой") не рассматривается в Стратегии, поскольку не требует реализации каких-либо значимых мер региональной политики, а предполагает отдельные корректировки инструментов социально-экономической политики региона в соответствии с федеральными тенденциями в России.</w:t>
      </w:r>
    </w:p>
    <w:p>
      <w:pPr>
        <w:pStyle w:val="0"/>
        <w:spacing w:before="200" w:line-rule="auto"/>
        <w:ind w:firstLine="540"/>
        <w:jc w:val="both"/>
      </w:pPr>
      <w:r>
        <w:rPr>
          <w:sz w:val="20"/>
        </w:rPr>
        <w:t xml:space="preserve">Консервативный сценарий ("современный капитализм") развития предполагает инерционное развитие социально-экономической сферы Курской области, основные макроэкономические параметры развития региона будут меняться постепенно под влиянием внешних макроэкономических трендов. Внутренние факторы развития и меры региональных властей будут направлены на нивелирование негативных внешних эффектов, в том числе проявляемых за счет нестабильной макроэкономической конъюнктуры в России и зарубежных странах.</w:t>
      </w:r>
    </w:p>
    <w:p>
      <w:pPr>
        <w:pStyle w:val="0"/>
        <w:spacing w:before="200" w:line-rule="auto"/>
        <w:ind w:firstLine="540"/>
        <w:jc w:val="both"/>
      </w:pPr>
      <w:r>
        <w:rPr>
          <w:sz w:val="20"/>
        </w:rPr>
        <w:t xml:space="preserve">Консервативный сценарий является сценарием жестких ресурсных ограничений, в первую очередь бюджетных. Практически весь "бюджет развития" региона будет направлен на реализацию мер </w:t>
      </w:r>
      <w:hyperlink w:history="0" r:id="rId99"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Указа</w:t>
        </w:r>
      </w:hyperlink>
      <w:r>
        <w:rPr>
          <w:sz w:val="20"/>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а также выполнение социальных обязательств. Ресурсные ограничения до 2030 года не преодолеваются.</w:t>
      </w:r>
    </w:p>
    <w:p>
      <w:pPr>
        <w:pStyle w:val="0"/>
        <w:spacing w:before="200" w:line-rule="auto"/>
        <w:ind w:firstLine="540"/>
        <w:jc w:val="both"/>
      </w:pPr>
      <w:r>
        <w:rPr>
          <w:sz w:val="20"/>
        </w:rPr>
        <w:t xml:space="preserve">Значимого ускорения темпов экономического роста не предполагается, в целом динамика валового регионального продукта и инвестиционной активности предполагается на среднероссийском уровне или несколько ниже его. Отраслевая структура экономики значимым образом не меняется, внедрение новых технологий происходит прежними темпами. По уровню инвестиционной привлекательности регион до 2030 года будет занимать 30 - 40 места в России.</w:t>
      </w:r>
    </w:p>
    <w:p>
      <w:pPr>
        <w:pStyle w:val="0"/>
        <w:spacing w:before="200" w:line-rule="auto"/>
        <w:ind w:firstLine="540"/>
        <w:jc w:val="both"/>
      </w:pPr>
      <w:r>
        <w:rPr>
          <w:sz w:val="20"/>
        </w:rPr>
        <w:t xml:space="preserve">Уровень рождаемости будет зависеть скорее от федеральных инициатив в области социальных льгот и субсидий за второго и последующего детей, а также помощи малоимущим семьям. Смертность будет постепенно снижаться за счет развития медицины в целом в России, внедрения новых стандартов и цифровых технологий. Рост миграционного прироста населения последних лет сменится стабильностью. Тренды моноцентричности области продолжатся, доля городского округа Курска в областной экономике падать не будет.</w:t>
      </w:r>
    </w:p>
    <w:p>
      <w:pPr>
        <w:pStyle w:val="0"/>
        <w:spacing w:before="200" w:line-rule="auto"/>
        <w:ind w:firstLine="540"/>
        <w:jc w:val="both"/>
      </w:pPr>
      <w:r>
        <w:rPr>
          <w:sz w:val="20"/>
        </w:rPr>
        <w:t xml:space="preserve">Базовый сценарий развития ("социальное развитие") предполагает решение отдельных приоритетных социально-экономических задач за счет реализации передовых социальных, промышленных и технологических мер. Данный сценарий является сценарием умеренных ресурсных ограничений, будут осуществлены необходимые меры, направленные на преодоление ресурсных ограничений.</w:t>
      </w:r>
    </w:p>
    <w:p>
      <w:pPr>
        <w:pStyle w:val="0"/>
        <w:spacing w:before="200" w:line-rule="auto"/>
        <w:ind w:firstLine="540"/>
        <w:jc w:val="both"/>
      </w:pPr>
      <w:r>
        <w:rPr>
          <w:sz w:val="20"/>
        </w:rPr>
        <w:t xml:space="preserve">При реализации базового сценария предполагается решение большинства инфраструктурных проблем региона до конца 2020-х гг. при условии наличия отдельных мер федеральной поддержки, в том числе на условиях софинансирования со стороны регионального бюджета.</w:t>
      </w:r>
    </w:p>
    <w:p>
      <w:pPr>
        <w:pStyle w:val="0"/>
        <w:spacing w:before="200" w:line-rule="auto"/>
        <w:ind w:firstLine="540"/>
        <w:jc w:val="both"/>
      </w:pPr>
      <w:r>
        <w:rPr>
          <w:sz w:val="20"/>
        </w:rPr>
        <w:t xml:space="preserve">Ключевой точкой роста экономики Курской области станет малое и среднее предпринимательство. Его поддержка будет осуществляться как со стороны регионального бюджета, так и со стороны федерального, включая приоритетный национальный проект "Малое и среднее предпринимательство и поддержка индивидуальной предпринимательской инициативы", предусмотренный </w:t>
      </w:r>
      <w:hyperlink w:history="0" r:id="rId100"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Указом</w:t>
        </w:r>
      </w:hyperlink>
      <w:r>
        <w:rPr>
          <w:sz w:val="20"/>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Планируется активная поддержка сельского хозяйства и некоммерческих организаций в социальной сфере.</w:t>
      </w:r>
    </w:p>
    <w:p>
      <w:pPr>
        <w:pStyle w:val="0"/>
        <w:spacing w:before="200" w:line-rule="auto"/>
        <w:ind w:firstLine="540"/>
        <w:jc w:val="both"/>
      </w:pPr>
      <w:r>
        <w:rPr>
          <w:sz w:val="20"/>
        </w:rPr>
        <w:t xml:space="preserve">Демографическая ситуация будет стабилизироваться, к 2030 году планируется существенное сокращение разрыва между уровнями рождаемости и смертности. Миграционный прирост населения останется положительным.</w:t>
      </w:r>
    </w:p>
    <w:p>
      <w:pPr>
        <w:pStyle w:val="0"/>
        <w:spacing w:before="200" w:line-rule="auto"/>
        <w:ind w:firstLine="540"/>
        <w:jc w:val="both"/>
      </w:pPr>
      <w:r>
        <w:rPr>
          <w:sz w:val="20"/>
        </w:rPr>
        <w:t xml:space="preserve">Темп роста экономики предполагается на уровне среднероссийских, инвестиции в основной капитал будут расти опережающим темпом за счет повышения уровня инвестиционной привлекательности региона, в первую очередь в институциональной, туристической и производственной сферах. Будут привлечены несколько крупных инвесторов с проектами в области обрабатывающей промышленности и сельского хозяйства.</w:t>
      </w:r>
    </w:p>
    <w:p>
      <w:pPr>
        <w:pStyle w:val="0"/>
        <w:spacing w:before="200" w:line-rule="auto"/>
        <w:ind w:firstLine="540"/>
        <w:jc w:val="both"/>
      </w:pPr>
      <w:r>
        <w:rPr>
          <w:sz w:val="20"/>
        </w:rPr>
        <w:t xml:space="preserve">Курская область будет активно использовать пространственный потенциал развития, сформируются территориальные производственные кластеры, для каждого муниципалитета будут определены направления умной специализации. Немаловажным направлением развития станет международное сотрудничество в случае стабилизации отношений с Украиной.</w:t>
      </w:r>
    </w:p>
    <w:p>
      <w:pPr>
        <w:pStyle w:val="0"/>
        <w:spacing w:before="200" w:line-rule="auto"/>
        <w:ind w:firstLine="540"/>
        <w:jc w:val="both"/>
      </w:pPr>
      <w:r>
        <w:rPr>
          <w:sz w:val="20"/>
        </w:rPr>
        <w:t xml:space="preserve">Целевой сценарий развития ("устойчивое развитие") будет реализовываться в сочетании с федеральной социально-экономической политикой, в том числе в увязке с реализацией мер </w:t>
      </w:r>
      <w:hyperlink w:history="0" r:id="rId101"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Указа</w:t>
        </w:r>
      </w:hyperlink>
      <w:r>
        <w:rPr>
          <w:sz w:val="20"/>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Курская область станет пилотным регионом по апробации современных подходов в области повышения бюджетной самостоятельности на региональном и муниципальном уровнях.</w:t>
      </w:r>
    </w:p>
    <w:p>
      <w:pPr>
        <w:pStyle w:val="0"/>
        <w:spacing w:before="200" w:line-rule="auto"/>
        <w:ind w:firstLine="540"/>
        <w:jc w:val="both"/>
      </w:pPr>
      <w:r>
        <w:rPr>
          <w:sz w:val="20"/>
        </w:rPr>
        <w:t xml:space="preserve">Предполагается выход с инициативами на федеральный уровень и запуск масштабных (флагманских) проектов федерального значения. Курская область будет позиционироваться как лучший регион ЦФО для жизни, получит развитие экономика "серебряного возраста", драйвером развития станет малое и среднее предпринимательство.</w:t>
      </w:r>
    </w:p>
    <w:p>
      <w:pPr>
        <w:pStyle w:val="0"/>
        <w:spacing w:before="200" w:line-rule="auto"/>
        <w:ind w:firstLine="540"/>
        <w:jc w:val="both"/>
      </w:pPr>
      <w:r>
        <w:rPr>
          <w:sz w:val="20"/>
        </w:rPr>
        <w:t xml:space="preserve">Целевой сценарий - сценарий мягких ресурсных ограничений. Предполагается полное раскрытие потенциала развития, достижение высокой конкурентоспособности и обеспечение качественного экономического роста с учетом потребностей текущих и будущих поколений.</w:t>
      </w:r>
    </w:p>
    <w:p>
      <w:pPr>
        <w:pStyle w:val="0"/>
        <w:spacing w:before="200" w:line-rule="auto"/>
        <w:ind w:firstLine="540"/>
        <w:jc w:val="both"/>
      </w:pPr>
      <w:r>
        <w:rPr>
          <w:sz w:val="20"/>
        </w:rPr>
        <w:t xml:space="preserve">При реализации целевого сценария предполагается решение всех инфраструктурных проблем региона, в том числе в области энергетики, транспорта и связи, инженерной инфраструктуры и жилищно-коммунального сектора. Планируется внедрение передовых технологий в сельском хозяйстве, в том числе на основе разработок организаций Курской области.</w:t>
      </w:r>
    </w:p>
    <w:p>
      <w:pPr>
        <w:pStyle w:val="0"/>
        <w:spacing w:before="200" w:line-rule="auto"/>
        <w:ind w:firstLine="540"/>
        <w:jc w:val="both"/>
      </w:pPr>
      <w:r>
        <w:rPr>
          <w:sz w:val="20"/>
        </w:rPr>
        <w:t xml:space="preserve">Курская область будет характеризоваться лучшими показателями качества жизни среди сопоставимых субъектов Российской Федерации, в городских округах области будут созданы современные комфортные условия для самореализации человека. Системы здравоохранения и образования перейдут на новый качественный уровень, будут внедрены современные технологии, в том числе цифровые.</w:t>
      </w:r>
    </w:p>
    <w:p>
      <w:pPr>
        <w:pStyle w:val="0"/>
        <w:spacing w:before="200" w:line-rule="auto"/>
        <w:ind w:firstLine="540"/>
        <w:jc w:val="both"/>
      </w:pPr>
      <w:r>
        <w:rPr>
          <w:sz w:val="20"/>
        </w:rPr>
        <w:t xml:space="preserve">Во всех региональных и муниципальных органах власти и подотчетных учреждениях будут внедрены системы бережливого производства, эффективность управления территорией существенно вырастет.</w:t>
      </w:r>
    </w:p>
    <w:p>
      <w:pPr>
        <w:pStyle w:val="0"/>
        <w:jc w:val="both"/>
      </w:pPr>
      <w:r>
        <w:rPr>
          <w:sz w:val="20"/>
        </w:rPr>
      </w:r>
    </w:p>
    <w:p>
      <w:pPr>
        <w:pStyle w:val="2"/>
        <w:outlineLvl w:val="1"/>
        <w:jc w:val="center"/>
      </w:pPr>
      <w:r>
        <w:rPr>
          <w:sz w:val="20"/>
        </w:rPr>
        <w:t xml:space="preserve">14. Система управления и механизмы реализации Стратегии</w:t>
      </w:r>
    </w:p>
    <w:p>
      <w:pPr>
        <w:pStyle w:val="0"/>
        <w:jc w:val="both"/>
      </w:pPr>
      <w:r>
        <w:rPr>
          <w:sz w:val="20"/>
        </w:rPr>
      </w:r>
    </w:p>
    <w:p>
      <w:pPr>
        <w:pStyle w:val="0"/>
        <w:ind w:firstLine="540"/>
        <w:jc w:val="both"/>
      </w:pPr>
      <w:r>
        <w:rPr>
          <w:sz w:val="20"/>
        </w:rPr>
        <w:t xml:space="preserve">Достижение миссии социально-экономического развития Курской области представляет собой комплексную задачу и содержит необходимость выполнения межведомственных задач. Организационная схема управления реализацией Стратегии строится на принципах проектного управления и привлечения к работе всех заинтересованных сторон.</w:t>
      </w:r>
    </w:p>
    <w:p>
      <w:pPr>
        <w:pStyle w:val="0"/>
        <w:spacing w:before="200" w:line-rule="auto"/>
        <w:ind w:firstLine="540"/>
        <w:jc w:val="both"/>
      </w:pPr>
      <w:r>
        <w:rPr>
          <w:sz w:val="20"/>
        </w:rPr>
        <w:t xml:space="preserve">Высший орган управления реализацией Стратегии - Совет по стратегическому развитию и проектам (программам), созданный в соответствии с </w:t>
      </w:r>
      <w:hyperlink w:history="0" r:id="rId102" w:tooltip="Постановление Губернатора Курской области от 05.05.2017 N 157-пг (ред. от 17.03.2023) &quot;О Совете по стратегическому развитию и проектам (программам)&quot; (вместе с &quot;Положением о Совете по стратегическому развитию и проектам (программам)&quot;) {КонсультантПлюс}">
        <w:r>
          <w:rPr>
            <w:sz w:val="20"/>
            <w:color w:val="0000ff"/>
          </w:rPr>
          <w:t xml:space="preserve">постановлением</w:t>
        </w:r>
      </w:hyperlink>
      <w:r>
        <w:rPr>
          <w:sz w:val="20"/>
        </w:rPr>
        <w:t xml:space="preserve"> Губернатора Курской области от 05.05.2017 N 157-пг, в состав которого входят представители Правительства Курской области, Курской областной Думы, общественности и заинтересованных организаций.</w:t>
      </w:r>
    </w:p>
    <w:p>
      <w:pPr>
        <w:pStyle w:val="0"/>
        <w:jc w:val="both"/>
      </w:pPr>
      <w:r>
        <w:rPr>
          <w:sz w:val="20"/>
        </w:rPr>
        <w:t xml:space="preserve">(в ред. </w:t>
      </w:r>
      <w:hyperlink w:history="0" r:id="rId103"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Основной рабочий орган управления реализацией Стратегии - Министерство экономического развития Курской области, основной задачей которого является оперативное управление и реализация решений Совета по стратегическому развитию и проектам (программам).</w:t>
      </w:r>
    </w:p>
    <w:p>
      <w:pPr>
        <w:pStyle w:val="0"/>
        <w:jc w:val="both"/>
      </w:pPr>
      <w:r>
        <w:rPr>
          <w:sz w:val="20"/>
        </w:rPr>
        <w:t xml:space="preserve">(в ред. </w:t>
      </w:r>
      <w:hyperlink w:history="0" r:id="rId104"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При реализации отдельных задач при необходимости возможно включение в рабочий процесс прочих органов исполнительной власти Курской области в рамках реализации Стратегии, обеспечивая таким образом многоотраслевой характер проектной деятельности.</w:t>
      </w:r>
    </w:p>
    <w:p>
      <w:pPr>
        <w:pStyle w:val="0"/>
        <w:spacing w:before="200" w:line-rule="auto"/>
        <w:ind w:firstLine="540"/>
        <w:jc w:val="both"/>
      </w:pPr>
      <w:r>
        <w:rPr>
          <w:sz w:val="20"/>
        </w:rPr>
        <w:t xml:space="preserve">В качестве основного механизма реализации Стратегии предлагается программно-целевой и проектный подход, предусматривающий долгосрочное стратегическое планирование в соответствии с приоритетами развития отраслей и устанавливающий основные направления государственной региональной политики.</w:t>
      </w:r>
    </w:p>
    <w:p>
      <w:pPr>
        <w:pStyle w:val="0"/>
        <w:spacing w:before="200" w:line-rule="auto"/>
        <w:ind w:firstLine="540"/>
        <w:jc w:val="both"/>
      </w:pPr>
      <w:r>
        <w:rPr>
          <w:sz w:val="20"/>
        </w:rPr>
        <w:t xml:space="preserve">Перечень государственных программ Курской области, интегрированных по параметрам с государственными программами Российской Федерации, реализующих соответствующие стратегические приоритеты и обеспечивающие достижение определенных показателей приведен в </w:t>
      </w:r>
      <w:hyperlink w:history="0" w:anchor="P6011" w:tooltip="ПЕРЕЧЕНЬ">
        <w:r>
          <w:rPr>
            <w:sz w:val="20"/>
            <w:color w:val="0000ff"/>
          </w:rPr>
          <w:t xml:space="preserve">приложении N 4</w:t>
        </w:r>
      </w:hyperlink>
      <w:r>
        <w:rPr>
          <w:sz w:val="20"/>
        </w:rPr>
        <w:t xml:space="preserve"> к Стратегии социально-экономического развития Курской области на период до 2030 года.</w:t>
      </w:r>
    </w:p>
    <w:p>
      <w:pPr>
        <w:pStyle w:val="0"/>
        <w:spacing w:before="200" w:line-rule="auto"/>
        <w:ind w:firstLine="540"/>
        <w:jc w:val="both"/>
      </w:pPr>
      <w:r>
        <w:rPr>
          <w:sz w:val="20"/>
        </w:rPr>
        <w:t xml:space="preserve">Продолжится участие региона в реализации федеральных программ и приоритетных проектов, перечень которых утвержден Президиумом Совета при Президенте Российской Федерации по стратегическому развитию и приоритетным проектам.</w:t>
      </w:r>
    </w:p>
    <w:p>
      <w:pPr>
        <w:pStyle w:val="0"/>
        <w:spacing w:before="200" w:line-rule="auto"/>
        <w:ind w:firstLine="540"/>
        <w:jc w:val="both"/>
      </w:pPr>
      <w:r>
        <w:rPr>
          <w:sz w:val="20"/>
        </w:rPr>
        <w:t xml:space="preserve">Продолжится внедрение принципов проектного управления в каждой сфере.</w:t>
      </w:r>
    </w:p>
    <w:p>
      <w:pPr>
        <w:pStyle w:val="0"/>
        <w:spacing w:before="200" w:line-rule="auto"/>
        <w:ind w:firstLine="540"/>
        <w:jc w:val="both"/>
      </w:pPr>
      <w:r>
        <w:rPr>
          <w:sz w:val="20"/>
        </w:rPr>
        <w:t xml:space="preserve">Реализация Стратегии будет осуществляться путем разработки Плана мероприятий по ее реализации, в котором будут конкретизированы основные направления деятельности органов власти Курской области посредством комплексов мероприятий, увязанных по срокам, ресурсам и исполнителям, с ежегодной его актуализацией.</w:t>
      </w:r>
    </w:p>
    <w:p>
      <w:pPr>
        <w:pStyle w:val="0"/>
        <w:spacing w:before="200" w:line-rule="auto"/>
        <w:ind w:firstLine="540"/>
        <w:jc w:val="both"/>
      </w:pPr>
      <w:r>
        <w:rPr>
          <w:sz w:val="20"/>
        </w:rPr>
        <w:t xml:space="preserve">Органы исполнительной власти Курской области отвечают за реализацию стратегических мероприятий и проектов в пределах своих полномочий. В их компетенции находятся вопросы подготовки и осуществления согласованных со Стратегией государственных программ Курской области. Планируется приведение государственных программ Курской области в соответствие с приоритетами, целями и задачами, установленными Стратегией. Показатели выполнения стратегических задач социально-экономического развития области должны быть закреплены в соответствующих государственных программах области, по которым осуществляется ежегодный мониторинг их достижения и оценка эффективности реализации программ.</w:t>
      </w:r>
    </w:p>
    <w:p>
      <w:pPr>
        <w:pStyle w:val="0"/>
        <w:spacing w:before="200" w:line-rule="auto"/>
        <w:ind w:firstLine="540"/>
        <w:jc w:val="both"/>
      </w:pPr>
      <w:r>
        <w:rPr>
          <w:sz w:val="20"/>
        </w:rPr>
        <w:t xml:space="preserve">Документы стратегического планирования муниципальных образований Курской области и Схему территориального планирования Курской области также планируется актуализировать в соответствии со Стратегией.</w:t>
      </w:r>
    </w:p>
    <w:p>
      <w:pPr>
        <w:pStyle w:val="0"/>
        <w:spacing w:before="200" w:line-rule="auto"/>
        <w:ind w:firstLine="540"/>
        <w:jc w:val="both"/>
      </w:pPr>
      <w:r>
        <w:rPr>
          <w:sz w:val="20"/>
        </w:rPr>
        <w:t xml:space="preserve">Мониторинг реализации Стратегии будет осуществляться ежегодно. Документами, в которых отражаются результаты мониторинга реализации Стратегии, являются:</w:t>
      </w:r>
    </w:p>
    <w:p>
      <w:pPr>
        <w:pStyle w:val="0"/>
        <w:spacing w:before="200" w:line-rule="auto"/>
        <w:ind w:firstLine="540"/>
        <w:jc w:val="both"/>
      </w:pPr>
      <w:r>
        <w:rPr>
          <w:sz w:val="20"/>
        </w:rPr>
        <w:t xml:space="preserve">ежегодный отчет о результатах деятельности Правительства Курской области, в том числе по вопросам, поставленным Курской областной Думой, представленный Губернатором Курской области, который включает информацию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которые расположены на территории Курской области и учредителем которых является Курская область, и принимаемые меры по совершенствованию деятельности указанных организаций, а также информацию о результатах независимой оценки качества условий оказания услуг организациями в сфере культуры, охраны здоровья, образования, которые расположены на территории Курской области и учредителями которых являются муниципальные образования Курской области;</w:t>
      </w:r>
    </w:p>
    <w:p>
      <w:pPr>
        <w:pStyle w:val="0"/>
        <w:jc w:val="both"/>
      </w:pPr>
      <w:r>
        <w:rPr>
          <w:sz w:val="20"/>
        </w:rPr>
        <w:t xml:space="preserve">(в ред. </w:t>
      </w:r>
      <w:hyperlink w:history="0" r:id="rId105"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информация о ходе исполнения плана мероприятий по реализации Стратегии;</w:t>
      </w:r>
    </w:p>
    <w:p>
      <w:pPr>
        <w:pStyle w:val="0"/>
        <w:spacing w:before="200" w:line-rule="auto"/>
        <w:ind w:firstLine="540"/>
        <w:jc w:val="both"/>
      </w:pPr>
      <w:r>
        <w:rPr>
          <w:sz w:val="20"/>
        </w:rPr>
        <w:t xml:space="preserve">сводный годовой доклад о ходе реализации и об оценке эффективности государственных программ Курской области.</w:t>
      </w:r>
    </w:p>
    <w:p>
      <w:pPr>
        <w:pStyle w:val="0"/>
        <w:jc w:val="both"/>
      </w:pPr>
      <w:r>
        <w:rPr>
          <w:sz w:val="20"/>
        </w:rPr>
      </w:r>
    </w:p>
    <w:p>
      <w:pPr>
        <w:pStyle w:val="2"/>
        <w:outlineLvl w:val="1"/>
        <w:jc w:val="center"/>
      </w:pPr>
      <w:r>
        <w:rPr>
          <w:sz w:val="20"/>
        </w:rPr>
        <w:t xml:space="preserve">15. Ресурсное обеспечение Стратегии</w:t>
      </w:r>
    </w:p>
    <w:p>
      <w:pPr>
        <w:pStyle w:val="0"/>
        <w:jc w:val="both"/>
      </w:pPr>
      <w:r>
        <w:rPr>
          <w:sz w:val="20"/>
        </w:rPr>
      </w:r>
    </w:p>
    <w:p>
      <w:pPr>
        <w:pStyle w:val="0"/>
        <w:ind w:firstLine="540"/>
        <w:jc w:val="both"/>
      </w:pPr>
      <w:r>
        <w:rPr>
          <w:sz w:val="20"/>
        </w:rPr>
        <w:t xml:space="preserve">Ресурсное обеспечение стратегии требует разносторонней мобилизации и изыскания ресурсов, включая финансирование реализации из различных источников, в том числе федеральных, областных, муниципальных и внебюджетных:</w:t>
      </w:r>
    </w:p>
    <w:p>
      <w:pPr>
        <w:pStyle w:val="0"/>
        <w:spacing w:before="200" w:line-rule="auto"/>
        <w:ind w:firstLine="540"/>
        <w:jc w:val="both"/>
      </w:pPr>
      <w:r>
        <w:rPr>
          <w:sz w:val="20"/>
        </w:rPr>
        <w:t xml:space="preserve">государственные программы Российской Федерации;</w:t>
      </w:r>
    </w:p>
    <w:p>
      <w:pPr>
        <w:pStyle w:val="0"/>
        <w:spacing w:before="200" w:line-rule="auto"/>
        <w:ind w:firstLine="540"/>
        <w:jc w:val="both"/>
      </w:pPr>
      <w:r>
        <w:rPr>
          <w:sz w:val="20"/>
        </w:rPr>
        <w:t xml:space="preserve">государственные программы Курской области (</w:t>
      </w:r>
      <w:hyperlink w:history="0" w:anchor="P6011" w:tooltip="ПЕРЕЧЕНЬ">
        <w:r>
          <w:rPr>
            <w:sz w:val="20"/>
            <w:color w:val="0000ff"/>
          </w:rPr>
          <w:t xml:space="preserve">приложение N 4</w:t>
        </w:r>
      </w:hyperlink>
      <w:r>
        <w:rPr>
          <w:sz w:val="20"/>
        </w:rPr>
        <w:t xml:space="preserve"> к Стратегии социально-экономического развития Курской области на период до 2030 года);</w:t>
      </w:r>
    </w:p>
    <w:p>
      <w:pPr>
        <w:pStyle w:val="0"/>
        <w:spacing w:before="200" w:line-rule="auto"/>
        <w:ind w:firstLine="540"/>
        <w:jc w:val="both"/>
      </w:pPr>
      <w:r>
        <w:rPr>
          <w:sz w:val="20"/>
        </w:rPr>
        <w:t xml:space="preserve">средства институтов развития;</w:t>
      </w:r>
    </w:p>
    <w:p>
      <w:pPr>
        <w:pStyle w:val="0"/>
        <w:spacing w:before="200" w:line-rule="auto"/>
        <w:ind w:firstLine="540"/>
        <w:jc w:val="both"/>
      </w:pPr>
      <w:r>
        <w:rPr>
          <w:sz w:val="20"/>
        </w:rPr>
        <w:t xml:space="preserve">средства внебюджетных фондов;</w:t>
      </w:r>
    </w:p>
    <w:p>
      <w:pPr>
        <w:pStyle w:val="0"/>
        <w:spacing w:before="200" w:line-rule="auto"/>
        <w:ind w:firstLine="540"/>
        <w:jc w:val="both"/>
      </w:pPr>
      <w:r>
        <w:rPr>
          <w:sz w:val="20"/>
        </w:rPr>
        <w:t xml:space="preserve">внебюджетные средства, в том числе в виде государственно-частного партнерства;</w:t>
      </w:r>
    </w:p>
    <w:p>
      <w:pPr>
        <w:pStyle w:val="0"/>
        <w:spacing w:before="200" w:line-rule="auto"/>
        <w:ind w:firstLine="540"/>
        <w:jc w:val="both"/>
      </w:pPr>
      <w:r>
        <w:rPr>
          <w:sz w:val="20"/>
        </w:rPr>
        <w:t xml:space="preserve">средства, получаемые в рамках муниципально-частного партнерства.</w:t>
      </w:r>
    </w:p>
    <w:p>
      <w:pPr>
        <w:pStyle w:val="0"/>
        <w:spacing w:before="200" w:line-rule="auto"/>
        <w:ind w:firstLine="540"/>
        <w:jc w:val="both"/>
      </w:pPr>
      <w:r>
        <w:rPr>
          <w:sz w:val="20"/>
        </w:rPr>
        <w:t xml:space="preserve">Ключевым показателем ресурсного обеспечения Стратегии является размер инвестиций в основной капитал за счет различных источников финансирования (собственные средства, кредиты банков, бюджетные средства и пр.). В зависимости от сценария развития Курской области предполагаются различные характеристики инвестиционной активности в регионе, включая объем инвестиций на душу населения (см. рисунок ниже).</w:t>
      </w:r>
    </w:p>
    <w:p>
      <w:pPr>
        <w:pStyle w:val="0"/>
        <w:jc w:val="both"/>
      </w:pPr>
      <w:r>
        <w:rPr>
          <w:sz w:val="20"/>
        </w:rPr>
      </w:r>
    </w:p>
    <w:p>
      <w:pPr>
        <w:pStyle w:val="0"/>
        <w:jc w:val="both"/>
      </w:pPr>
      <w:r>
        <w:rPr>
          <w:position w:val="-187"/>
        </w:rPr>
        <w:drawing>
          <wp:inline distT="0" distB="0" distL="0" distR="0">
            <wp:extent cx="4681855" cy="2511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4681855" cy="2511425"/>
                    </a:xfrm>
                    <a:prstGeom prst="rect">
                      <a:avLst/>
                    </a:prstGeom>
                    <a:noFill/>
                    <a:ln>
                      <a:noFill/>
                    </a:ln>
                  </pic:spPr>
                </pic:pic>
              </a:graphicData>
            </a:graphic>
          </wp:inline>
        </w:drawing>
      </w:r>
    </w:p>
    <w:p>
      <w:pPr>
        <w:pStyle w:val="0"/>
        <w:jc w:val="both"/>
      </w:pPr>
      <w:r>
        <w:rPr>
          <w:sz w:val="20"/>
        </w:rPr>
      </w:r>
    </w:p>
    <w:p>
      <w:pPr>
        <w:pStyle w:val="2"/>
        <w:outlineLvl w:val="2"/>
        <w:jc w:val="center"/>
      </w:pPr>
      <w:r>
        <w:rPr>
          <w:sz w:val="20"/>
        </w:rPr>
        <w:t xml:space="preserve">Рисунок 1. Инвестиции в основной капитал в расчете на душу</w:t>
      </w:r>
    </w:p>
    <w:p>
      <w:pPr>
        <w:pStyle w:val="2"/>
        <w:jc w:val="center"/>
      </w:pPr>
      <w:r>
        <w:rPr>
          <w:sz w:val="20"/>
        </w:rPr>
        <w:t xml:space="preserve">населения, тыс. рублей в текущих ценах</w:t>
      </w:r>
    </w:p>
    <w:p>
      <w:pPr>
        <w:pStyle w:val="0"/>
        <w:jc w:val="center"/>
      </w:pPr>
      <w:r>
        <w:rPr>
          <w:sz w:val="20"/>
        </w:rPr>
      </w:r>
    </w:p>
    <w:p>
      <w:pPr>
        <w:pStyle w:val="0"/>
        <w:ind w:firstLine="540"/>
        <w:jc w:val="both"/>
      </w:pPr>
      <w:r>
        <w:rPr>
          <w:sz w:val="20"/>
        </w:rPr>
        <w:t xml:space="preserve">Источник: Центр стратегий регионального развития ИПЭИ РАНХиГС.</w:t>
      </w:r>
    </w:p>
    <w:p>
      <w:pPr>
        <w:pStyle w:val="0"/>
        <w:spacing w:before="200" w:line-rule="auto"/>
        <w:ind w:firstLine="540"/>
        <w:jc w:val="both"/>
      </w:pPr>
      <w:r>
        <w:rPr>
          <w:sz w:val="20"/>
        </w:rPr>
        <w:t xml:space="preserve">В целевом сценарии развития объем инвестиций на душу населения вырастет до 336,2 тыс. рублей (средний реальный ежегодный рост - от 8,6% до 10%), в базовом сценарии - до 256 тыс. рублей (средний реальный ежегодный рост - от 5,5% до 7%), в консервативном сценарии - до 213,9 тыс. рублей (средний реальный ежегодный рост - от 4% до 5%).</w:t>
      </w:r>
    </w:p>
    <w:p>
      <w:pPr>
        <w:pStyle w:val="0"/>
        <w:spacing w:before="200" w:line-rule="auto"/>
        <w:ind w:firstLine="540"/>
        <w:jc w:val="both"/>
      </w:pPr>
      <w:r>
        <w:rPr>
          <w:sz w:val="20"/>
        </w:rPr>
        <w:t xml:space="preserve">Общий объем инвестиций в основной капитал в текущих ценах в зависимости от сценария развития Курской области будет к 2030 году варьироваться от 226,3 млрд. рублей до 372,5 млрд. рублей (см. рисунок ниже).</w:t>
      </w:r>
    </w:p>
    <w:p>
      <w:pPr>
        <w:pStyle w:val="0"/>
        <w:jc w:val="both"/>
      </w:pPr>
      <w:r>
        <w:rPr>
          <w:sz w:val="20"/>
        </w:rPr>
      </w:r>
    </w:p>
    <w:p>
      <w:pPr>
        <w:pStyle w:val="0"/>
        <w:jc w:val="both"/>
      </w:pPr>
      <w:r>
        <w:rPr>
          <w:position w:val="-209"/>
        </w:rPr>
        <w:drawing>
          <wp:inline distT="0" distB="0" distL="0" distR="0">
            <wp:extent cx="5041265" cy="279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041265" cy="2792095"/>
                    </a:xfrm>
                    <a:prstGeom prst="rect">
                      <a:avLst/>
                    </a:prstGeom>
                    <a:noFill/>
                    <a:ln>
                      <a:noFill/>
                    </a:ln>
                  </pic:spPr>
                </pic:pic>
              </a:graphicData>
            </a:graphic>
          </wp:inline>
        </w:drawing>
      </w:r>
    </w:p>
    <w:p>
      <w:pPr>
        <w:pStyle w:val="0"/>
        <w:jc w:val="both"/>
      </w:pPr>
      <w:r>
        <w:rPr>
          <w:sz w:val="20"/>
        </w:rPr>
      </w:r>
    </w:p>
    <w:p>
      <w:pPr>
        <w:pStyle w:val="2"/>
        <w:outlineLvl w:val="2"/>
        <w:jc w:val="center"/>
      </w:pPr>
      <w:r>
        <w:rPr>
          <w:sz w:val="20"/>
        </w:rPr>
        <w:t xml:space="preserve">Рисунок 2. Инвестиции в основной капитал, млрд. рублей</w:t>
      </w:r>
    </w:p>
    <w:p>
      <w:pPr>
        <w:pStyle w:val="2"/>
        <w:jc w:val="center"/>
      </w:pPr>
      <w:r>
        <w:rPr>
          <w:sz w:val="20"/>
        </w:rPr>
        <w:t xml:space="preserve">в текущих ценах</w:t>
      </w:r>
    </w:p>
    <w:p>
      <w:pPr>
        <w:pStyle w:val="0"/>
        <w:jc w:val="both"/>
      </w:pPr>
      <w:r>
        <w:rPr>
          <w:sz w:val="20"/>
        </w:rPr>
      </w:r>
    </w:p>
    <w:p>
      <w:pPr>
        <w:pStyle w:val="0"/>
        <w:ind w:firstLine="540"/>
        <w:jc w:val="both"/>
      </w:pPr>
      <w:r>
        <w:rPr>
          <w:sz w:val="20"/>
        </w:rPr>
        <w:t xml:space="preserve">Источник: Центр стратегий регионального развития ИПЭИ РАНХиГС.</w:t>
      </w:r>
    </w:p>
    <w:p>
      <w:pPr>
        <w:pStyle w:val="0"/>
        <w:spacing w:before="200" w:line-rule="auto"/>
        <w:ind w:firstLine="540"/>
        <w:jc w:val="both"/>
      </w:pPr>
      <w:r>
        <w:rPr>
          <w:sz w:val="20"/>
        </w:rPr>
        <w:t xml:space="preserve">Вовлеченность федерального центра в решение региональных и муниципальных проблем будет также отражаться на динамике инвестиций в основной капитал. В целевом сценарии доля бюджетных средств в общем объеме инвестиций в основной капитал составит порядка 5,9%.</w:t>
      </w:r>
    </w:p>
    <w:p>
      <w:pPr>
        <w:pStyle w:val="0"/>
        <w:spacing w:before="200" w:line-rule="auto"/>
        <w:ind w:firstLine="540"/>
        <w:jc w:val="both"/>
      </w:pPr>
      <w:r>
        <w:rPr>
          <w:sz w:val="20"/>
        </w:rPr>
        <w:t xml:space="preserve">В таблице N 1 представлены более подробные данные в разрезе сценариев.</w:t>
      </w:r>
    </w:p>
    <w:p>
      <w:pPr>
        <w:pStyle w:val="0"/>
        <w:spacing w:before="200" w:line-rule="auto"/>
        <w:ind w:firstLine="540"/>
        <w:jc w:val="both"/>
      </w:pPr>
      <w:r>
        <w:rPr>
          <w:sz w:val="20"/>
        </w:rPr>
        <w:t xml:space="preserve">Планируемые инвестиционные проекты Курской области представлены в </w:t>
      </w:r>
      <w:hyperlink w:history="0" w:anchor="P5534" w:tooltip="ИНВЕСТИЦИОННЫЕ ПРОЕКТЫ КУРСКОЙ ОБЛАСТИ">
        <w:r>
          <w:rPr>
            <w:sz w:val="20"/>
            <w:color w:val="0000ff"/>
          </w:rPr>
          <w:t xml:space="preserve">приложении N 3</w:t>
        </w:r>
      </w:hyperlink>
      <w:r>
        <w:rPr>
          <w:sz w:val="20"/>
        </w:rPr>
        <w:t xml:space="preserve"> к Стратегии социального-экономического развития Курской области на период до 2030 года.</w:t>
      </w:r>
    </w:p>
    <w:p>
      <w:pPr>
        <w:pStyle w:val="0"/>
        <w:jc w:val="both"/>
      </w:pPr>
      <w:r>
        <w:rPr>
          <w:sz w:val="20"/>
        </w:rPr>
      </w:r>
    </w:p>
    <w:p>
      <w:pPr>
        <w:pStyle w:val="0"/>
        <w:outlineLvl w:val="2"/>
        <w:jc w:val="right"/>
      </w:pPr>
      <w:r>
        <w:rPr>
          <w:sz w:val="20"/>
        </w:rPr>
        <w:t xml:space="preserve">Таблица N 1</w:t>
      </w:r>
    </w:p>
    <w:p>
      <w:pPr>
        <w:pStyle w:val="0"/>
        <w:jc w:val="both"/>
      </w:pPr>
      <w:r>
        <w:rPr>
          <w:sz w:val="20"/>
        </w:rPr>
      </w:r>
    </w:p>
    <w:p>
      <w:pPr>
        <w:pStyle w:val="2"/>
        <w:jc w:val="center"/>
      </w:pPr>
      <w:r>
        <w:rPr>
          <w:sz w:val="20"/>
        </w:rPr>
        <w:t xml:space="preserve">Основные целевые индикаторы инвестиционной деятельности</w:t>
      </w:r>
    </w:p>
    <w:p>
      <w:pPr>
        <w:pStyle w:val="2"/>
        <w:jc w:val="center"/>
      </w:pPr>
      <w:r>
        <w:rPr>
          <w:sz w:val="20"/>
        </w:rPr>
        <w:t xml:space="preserve">Курской области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1928"/>
        <w:gridCol w:w="1072"/>
        <w:gridCol w:w="1129"/>
        <w:gridCol w:w="1129"/>
        <w:gridCol w:w="1297"/>
        <w:gridCol w:w="1134"/>
        <w:gridCol w:w="1191"/>
      </w:tblGrid>
      <w:tr>
        <w:tc>
          <w:tcPr>
            <w:tcW w:w="2891" w:type="dxa"/>
            <w:vAlign w:val="bottom"/>
          </w:tcPr>
          <w:p>
            <w:pPr>
              <w:pStyle w:val="0"/>
              <w:jc w:val="center"/>
            </w:pPr>
            <w:r>
              <w:rPr>
                <w:sz w:val="20"/>
              </w:rPr>
              <w:t xml:space="preserve">Показатель</w:t>
            </w:r>
          </w:p>
        </w:tc>
        <w:tc>
          <w:tcPr>
            <w:tcW w:w="1928" w:type="dxa"/>
            <w:vAlign w:val="bottom"/>
          </w:tcPr>
          <w:p>
            <w:pPr>
              <w:pStyle w:val="0"/>
              <w:jc w:val="center"/>
            </w:pPr>
            <w:r>
              <w:rPr>
                <w:sz w:val="20"/>
              </w:rPr>
              <w:t xml:space="preserve">Сценарий</w:t>
            </w:r>
          </w:p>
        </w:tc>
        <w:tc>
          <w:tcPr>
            <w:tcW w:w="1072" w:type="dxa"/>
            <w:vAlign w:val="bottom"/>
          </w:tcPr>
          <w:p>
            <w:pPr>
              <w:pStyle w:val="0"/>
              <w:jc w:val="center"/>
            </w:pPr>
            <w:r>
              <w:rPr>
                <w:sz w:val="20"/>
              </w:rPr>
              <w:t xml:space="preserve">2017</w:t>
            </w:r>
          </w:p>
        </w:tc>
        <w:tc>
          <w:tcPr>
            <w:tcW w:w="1129" w:type="dxa"/>
            <w:vAlign w:val="bottom"/>
          </w:tcPr>
          <w:p>
            <w:pPr>
              <w:pStyle w:val="0"/>
              <w:jc w:val="center"/>
            </w:pPr>
            <w:r>
              <w:rPr>
                <w:sz w:val="20"/>
              </w:rPr>
              <w:t xml:space="preserve">2018</w:t>
            </w:r>
          </w:p>
        </w:tc>
        <w:tc>
          <w:tcPr>
            <w:tcW w:w="1129" w:type="dxa"/>
            <w:vAlign w:val="bottom"/>
          </w:tcPr>
          <w:p>
            <w:pPr>
              <w:pStyle w:val="0"/>
              <w:jc w:val="center"/>
            </w:pPr>
            <w:r>
              <w:rPr>
                <w:sz w:val="20"/>
              </w:rPr>
              <w:t xml:space="preserve">2019</w:t>
            </w:r>
          </w:p>
        </w:tc>
        <w:tc>
          <w:tcPr>
            <w:tcW w:w="1297" w:type="dxa"/>
            <w:vAlign w:val="bottom"/>
          </w:tcPr>
          <w:p>
            <w:pPr>
              <w:pStyle w:val="0"/>
              <w:jc w:val="center"/>
            </w:pPr>
            <w:r>
              <w:rPr>
                <w:sz w:val="20"/>
              </w:rPr>
              <w:t xml:space="preserve">2020</w:t>
            </w:r>
          </w:p>
        </w:tc>
        <w:tc>
          <w:tcPr>
            <w:tcW w:w="1134" w:type="dxa"/>
            <w:vAlign w:val="bottom"/>
          </w:tcPr>
          <w:p>
            <w:pPr>
              <w:pStyle w:val="0"/>
              <w:jc w:val="center"/>
            </w:pPr>
            <w:r>
              <w:rPr>
                <w:sz w:val="20"/>
              </w:rPr>
              <w:t xml:space="preserve">2025</w:t>
            </w:r>
          </w:p>
        </w:tc>
        <w:tc>
          <w:tcPr>
            <w:tcW w:w="1191" w:type="dxa"/>
            <w:vAlign w:val="bottom"/>
          </w:tcPr>
          <w:p>
            <w:pPr>
              <w:pStyle w:val="0"/>
              <w:jc w:val="center"/>
            </w:pPr>
            <w:r>
              <w:rPr>
                <w:sz w:val="20"/>
              </w:rPr>
              <w:t xml:space="preserve">2030</w:t>
            </w:r>
          </w:p>
        </w:tc>
      </w:tr>
      <w:tr>
        <w:tc>
          <w:tcPr>
            <w:tcW w:w="2891" w:type="dxa"/>
            <w:vAlign w:val="center"/>
            <w:vMerge w:val="restart"/>
          </w:tcPr>
          <w:p>
            <w:pPr>
              <w:pStyle w:val="0"/>
            </w:pPr>
            <w:r>
              <w:rPr>
                <w:sz w:val="20"/>
              </w:rPr>
              <w:t xml:space="preserve">1. Инвестиции в основной капитал Курской области в расчете на душу населения, тыс. рублей в текущих ценах</w:t>
            </w:r>
          </w:p>
        </w:tc>
        <w:tc>
          <w:tcPr>
            <w:tcW w:w="1928" w:type="dxa"/>
            <w:vAlign w:val="bottom"/>
          </w:tcPr>
          <w:p>
            <w:pPr>
              <w:pStyle w:val="0"/>
              <w:jc w:val="center"/>
            </w:pPr>
            <w:r>
              <w:rPr>
                <w:sz w:val="20"/>
              </w:rPr>
              <w:t xml:space="preserve">консервативный</w:t>
            </w:r>
          </w:p>
        </w:tc>
        <w:tc>
          <w:tcPr>
            <w:tcW w:w="1072" w:type="dxa"/>
            <w:vAlign w:val="center"/>
            <w:vMerge w:val="restart"/>
          </w:tcPr>
          <w:p>
            <w:pPr>
              <w:pStyle w:val="0"/>
              <w:jc w:val="center"/>
            </w:pPr>
            <w:r>
              <w:rPr>
                <w:sz w:val="20"/>
              </w:rPr>
              <w:t xml:space="preserve">90,2</w:t>
            </w:r>
          </w:p>
        </w:tc>
        <w:tc>
          <w:tcPr>
            <w:tcW w:w="1129" w:type="dxa"/>
            <w:vAlign w:val="center"/>
            <w:vMerge w:val="restart"/>
          </w:tcPr>
          <w:p>
            <w:pPr>
              <w:pStyle w:val="0"/>
              <w:jc w:val="center"/>
            </w:pPr>
            <w:r>
              <w:rPr>
                <w:sz w:val="20"/>
              </w:rPr>
              <w:t xml:space="preserve">108,7</w:t>
            </w:r>
          </w:p>
        </w:tc>
        <w:tc>
          <w:tcPr>
            <w:tcW w:w="1129" w:type="dxa"/>
            <w:vAlign w:val="center"/>
            <w:vMerge w:val="restart"/>
          </w:tcPr>
          <w:p>
            <w:pPr>
              <w:pStyle w:val="0"/>
              <w:jc w:val="center"/>
            </w:pPr>
            <w:r>
              <w:rPr>
                <w:sz w:val="20"/>
              </w:rPr>
              <w:t xml:space="preserve">131,1</w:t>
            </w:r>
          </w:p>
        </w:tc>
        <w:tc>
          <w:tcPr>
            <w:tcW w:w="1297" w:type="dxa"/>
            <w:vAlign w:val="center"/>
            <w:vMerge w:val="restart"/>
          </w:tcPr>
          <w:p>
            <w:pPr>
              <w:pStyle w:val="0"/>
              <w:jc w:val="center"/>
            </w:pPr>
            <w:r>
              <w:rPr>
                <w:sz w:val="20"/>
              </w:rPr>
              <w:t xml:space="preserve">139,1</w:t>
            </w:r>
          </w:p>
        </w:tc>
        <w:tc>
          <w:tcPr>
            <w:tcW w:w="1134" w:type="dxa"/>
            <w:vAlign w:val="bottom"/>
          </w:tcPr>
          <w:p>
            <w:pPr>
              <w:pStyle w:val="0"/>
              <w:jc w:val="center"/>
            </w:pPr>
            <w:r>
              <w:rPr>
                <w:sz w:val="20"/>
              </w:rPr>
              <w:t xml:space="preserve">173,1</w:t>
            </w:r>
          </w:p>
        </w:tc>
        <w:tc>
          <w:tcPr>
            <w:tcW w:w="1191" w:type="dxa"/>
            <w:vAlign w:val="bottom"/>
          </w:tcPr>
          <w:p>
            <w:pPr>
              <w:pStyle w:val="0"/>
              <w:jc w:val="center"/>
            </w:pPr>
            <w:r>
              <w:rPr>
                <w:sz w:val="20"/>
              </w:rPr>
              <w:t xml:space="preserve">213,9</w:t>
            </w:r>
          </w:p>
        </w:tc>
      </w:tr>
      <w:tr>
        <w:tc>
          <w:tcPr>
            <w:vMerge w:val="continue"/>
          </w:tcPr>
          <w:p/>
        </w:tc>
        <w:tc>
          <w:tcPr>
            <w:tcW w:w="1928" w:type="dxa"/>
            <w:vAlign w:val="bottom"/>
          </w:tcPr>
          <w:p>
            <w:pPr>
              <w:pStyle w:val="0"/>
              <w:jc w:val="center"/>
            </w:pPr>
            <w:r>
              <w:rPr>
                <w:sz w:val="20"/>
              </w:rPr>
              <w:t xml:space="preserve">базовый</w:t>
            </w:r>
          </w:p>
        </w:tc>
        <w:tc>
          <w:tcPr>
            <w:vMerge w:val="continue"/>
          </w:tcPr>
          <w:p/>
        </w:tc>
        <w:tc>
          <w:tcPr>
            <w:vMerge w:val="continue"/>
          </w:tcPr>
          <w:p/>
        </w:tc>
        <w:tc>
          <w:tcPr>
            <w:vMerge w:val="continue"/>
          </w:tcPr>
          <w:p/>
        </w:tc>
        <w:tc>
          <w:tcPr>
            <w:vMerge w:val="continue"/>
          </w:tcPr>
          <w:p/>
        </w:tc>
        <w:tc>
          <w:tcPr>
            <w:tcW w:w="1134" w:type="dxa"/>
            <w:vAlign w:val="bottom"/>
          </w:tcPr>
          <w:p>
            <w:pPr>
              <w:pStyle w:val="0"/>
              <w:jc w:val="center"/>
            </w:pPr>
            <w:r>
              <w:rPr>
                <w:sz w:val="20"/>
              </w:rPr>
              <w:t xml:space="preserve">184,2</w:t>
            </w:r>
          </w:p>
        </w:tc>
        <w:tc>
          <w:tcPr>
            <w:tcW w:w="1191" w:type="dxa"/>
            <w:vAlign w:val="bottom"/>
          </w:tcPr>
          <w:p>
            <w:pPr>
              <w:pStyle w:val="0"/>
              <w:jc w:val="center"/>
            </w:pPr>
            <w:r>
              <w:rPr>
                <w:sz w:val="20"/>
              </w:rPr>
              <w:t xml:space="preserve">256,0</w:t>
            </w:r>
          </w:p>
        </w:tc>
      </w:tr>
      <w:tr>
        <w:tc>
          <w:tcPr>
            <w:vMerge w:val="continue"/>
          </w:tcPr>
          <w:p/>
        </w:tc>
        <w:tc>
          <w:tcPr>
            <w:tcW w:w="1928" w:type="dxa"/>
            <w:vAlign w:val="bottom"/>
          </w:tcPr>
          <w:p>
            <w:pPr>
              <w:pStyle w:val="0"/>
              <w:jc w:val="center"/>
            </w:pPr>
            <w:r>
              <w:rPr>
                <w:sz w:val="20"/>
              </w:rPr>
              <w:t xml:space="preserve">целевой</w:t>
            </w:r>
          </w:p>
        </w:tc>
        <w:tc>
          <w:tcPr>
            <w:vMerge w:val="continue"/>
          </w:tcPr>
          <w:p/>
        </w:tc>
        <w:tc>
          <w:tcPr>
            <w:vMerge w:val="continue"/>
          </w:tcPr>
          <w:p/>
        </w:tc>
        <w:tc>
          <w:tcPr>
            <w:vMerge w:val="continue"/>
          </w:tcPr>
          <w:p/>
        </w:tc>
        <w:tc>
          <w:tcPr>
            <w:vMerge w:val="continue"/>
          </w:tcPr>
          <w:p/>
        </w:tc>
        <w:tc>
          <w:tcPr>
            <w:tcW w:w="1134" w:type="dxa"/>
            <w:vAlign w:val="bottom"/>
          </w:tcPr>
          <w:p>
            <w:pPr>
              <w:pStyle w:val="0"/>
              <w:jc w:val="center"/>
            </w:pPr>
            <w:r>
              <w:rPr>
                <w:sz w:val="20"/>
              </w:rPr>
              <w:t xml:space="preserve">221,1</w:t>
            </w:r>
          </w:p>
        </w:tc>
        <w:tc>
          <w:tcPr>
            <w:tcW w:w="1191" w:type="dxa"/>
            <w:vAlign w:val="bottom"/>
          </w:tcPr>
          <w:p>
            <w:pPr>
              <w:pStyle w:val="0"/>
              <w:jc w:val="center"/>
            </w:pPr>
            <w:r>
              <w:rPr>
                <w:sz w:val="20"/>
              </w:rPr>
              <w:t xml:space="preserve">336,2</w:t>
            </w:r>
          </w:p>
        </w:tc>
      </w:tr>
      <w:tr>
        <w:tc>
          <w:tcPr>
            <w:tcW w:w="2891" w:type="dxa"/>
            <w:vAlign w:val="center"/>
            <w:vMerge w:val="restart"/>
          </w:tcPr>
          <w:p>
            <w:pPr>
              <w:pStyle w:val="0"/>
            </w:pPr>
            <w:r>
              <w:rPr>
                <w:sz w:val="20"/>
              </w:rPr>
              <w:t xml:space="preserve">2. Инвестиции в основной капитал Курской области, млн. рублей в текущих ценах</w:t>
            </w:r>
          </w:p>
        </w:tc>
        <w:tc>
          <w:tcPr>
            <w:tcW w:w="1928" w:type="dxa"/>
            <w:vAlign w:val="bottom"/>
          </w:tcPr>
          <w:p>
            <w:pPr>
              <w:pStyle w:val="0"/>
              <w:jc w:val="center"/>
            </w:pPr>
            <w:r>
              <w:rPr>
                <w:sz w:val="20"/>
              </w:rPr>
              <w:t xml:space="preserve">консервативный</w:t>
            </w:r>
          </w:p>
        </w:tc>
        <w:tc>
          <w:tcPr>
            <w:tcW w:w="1072" w:type="dxa"/>
            <w:vAlign w:val="center"/>
            <w:vMerge w:val="restart"/>
          </w:tcPr>
          <w:p>
            <w:pPr>
              <w:pStyle w:val="0"/>
              <w:jc w:val="center"/>
            </w:pPr>
            <w:r>
              <w:rPr>
                <w:sz w:val="20"/>
              </w:rPr>
              <w:t xml:space="preserve">100895,1</w:t>
            </w:r>
          </w:p>
        </w:tc>
        <w:tc>
          <w:tcPr>
            <w:tcW w:w="1129" w:type="dxa"/>
            <w:vAlign w:val="center"/>
            <w:vMerge w:val="restart"/>
          </w:tcPr>
          <w:p>
            <w:pPr>
              <w:pStyle w:val="0"/>
              <w:jc w:val="center"/>
            </w:pPr>
            <w:r>
              <w:rPr>
                <w:sz w:val="20"/>
              </w:rPr>
              <w:t xml:space="preserve">120735,2</w:t>
            </w:r>
          </w:p>
        </w:tc>
        <w:tc>
          <w:tcPr>
            <w:tcW w:w="1129" w:type="dxa"/>
            <w:vAlign w:val="center"/>
            <w:vMerge w:val="restart"/>
          </w:tcPr>
          <w:p>
            <w:pPr>
              <w:pStyle w:val="0"/>
              <w:jc w:val="center"/>
            </w:pPr>
            <w:r>
              <w:rPr>
                <w:sz w:val="20"/>
              </w:rPr>
              <w:t xml:space="preserve">144906,2</w:t>
            </w:r>
          </w:p>
        </w:tc>
        <w:tc>
          <w:tcPr>
            <w:tcW w:w="1297" w:type="dxa"/>
            <w:vAlign w:val="center"/>
            <w:vMerge w:val="restart"/>
          </w:tcPr>
          <w:p>
            <w:pPr>
              <w:pStyle w:val="0"/>
              <w:jc w:val="center"/>
            </w:pPr>
            <w:r>
              <w:rPr>
                <w:sz w:val="20"/>
              </w:rPr>
              <w:t xml:space="preserve">153167,4</w:t>
            </w:r>
          </w:p>
        </w:tc>
        <w:tc>
          <w:tcPr>
            <w:tcW w:w="1134" w:type="dxa"/>
            <w:vAlign w:val="bottom"/>
          </w:tcPr>
          <w:p>
            <w:pPr>
              <w:pStyle w:val="0"/>
              <w:jc w:val="center"/>
            </w:pPr>
            <w:r>
              <w:rPr>
                <w:sz w:val="20"/>
              </w:rPr>
              <w:t xml:space="preserve">186293,0</w:t>
            </w:r>
          </w:p>
        </w:tc>
        <w:tc>
          <w:tcPr>
            <w:tcW w:w="1191" w:type="dxa"/>
            <w:vAlign w:val="bottom"/>
          </w:tcPr>
          <w:p>
            <w:pPr>
              <w:pStyle w:val="0"/>
              <w:jc w:val="center"/>
            </w:pPr>
            <w:r>
              <w:rPr>
                <w:sz w:val="20"/>
              </w:rPr>
              <w:t xml:space="preserve">226345,0</w:t>
            </w:r>
          </w:p>
        </w:tc>
      </w:tr>
      <w:tr>
        <w:tc>
          <w:tcPr>
            <w:vMerge w:val="continue"/>
          </w:tcPr>
          <w:p/>
        </w:tc>
        <w:tc>
          <w:tcPr>
            <w:tcW w:w="1928" w:type="dxa"/>
            <w:vAlign w:val="bottom"/>
          </w:tcPr>
          <w:p>
            <w:pPr>
              <w:pStyle w:val="0"/>
              <w:jc w:val="center"/>
            </w:pPr>
            <w:r>
              <w:rPr>
                <w:sz w:val="20"/>
              </w:rPr>
              <w:t xml:space="preserve">базовый</w:t>
            </w:r>
          </w:p>
        </w:tc>
        <w:tc>
          <w:tcPr>
            <w:vMerge w:val="continue"/>
          </w:tcPr>
          <w:p/>
        </w:tc>
        <w:tc>
          <w:tcPr>
            <w:vMerge w:val="continue"/>
          </w:tcPr>
          <w:p/>
        </w:tc>
        <w:tc>
          <w:tcPr>
            <w:vMerge w:val="continue"/>
          </w:tcPr>
          <w:p/>
        </w:tc>
        <w:tc>
          <w:tcPr>
            <w:vMerge w:val="continue"/>
          </w:tcPr>
          <w:p/>
        </w:tc>
        <w:tc>
          <w:tcPr>
            <w:tcW w:w="1134" w:type="dxa"/>
            <w:vAlign w:val="bottom"/>
          </w:tcPr>
          <w:p>
            <w:pPr>
              <w:pStyle w:val="0"/>
              <w:jc w:val="center"/>
            </w:pPr>
            <w:r>
              <w:rPr>
                <w:sz w:val="20"/>
              </w:rPr>
              <w:t xml:space="preserve">198158,0</w:t>
            </w:r>
          </w:p>
        </w:tc>
        <w:tc>
          <w:tcPr>
            <w:tcW w:w="1191" w:type="dxa"/>
            <w:vAlign w:val="bottom"/>
          </w:tcPr>
          <w:p>
            <w:pPr>
              <w:pStyle w:val="0"/>
              <w:jc w:val="center"/>
            </w:pPr>
            <w:r>
              <w:rPr>
                <w:sz w:val="20"/>
              </w:rPr>
              <w:t xml:space="preserve">270906,0</w:t>
            </w:r>
          </w:p>
        </w:tc>
      </w:tr>
      <w:tr>
        <w:tc>
          <w:tcPr>
            <w:vMerge w:val="continue"/>
          </w:tcPr>
          <w:p/>
        </w:tc>
        <w:tc>
          <w:tcPr>
            <w:tcW w:w="1928" w:type="dxa"/>
            <w:vAlign w:val="bottom"/>
          </w:tcPr>
          <w:p>
            <w:pPr>
              <w:pStyle w:val="0"/>
              <w:jc w:val="center"/>
            </w:pPr>
            <w:r>
              <w:rPr>
                <w:sz w:val="20"/>
              </w:rPr>
              <w:t xml:space="preserve">целевой</w:t>
            </w:r>
          </w:p>
        </w:tc>
        <w:tc>
          <w:tcPr>
            <w:vMerge w:val="continue"/>
          </w:tcPr>
          <w:p/>
        </w:tc>
        <w:tc>
          <w:tcPr>
            <w:vMerge w:val="continue"/>
          </w:tcPr>
          <w:p/>
        </w:tc>
        <w:tc>
          <w:tcPr>
            <w:vMerge w:val="continue"/>
          </w:tcPr>
          <w:p/>
        </w:tc>
        <w:tc>
          <w:tcPr>
            <w:vMerge w:val="continue"/>
          </w:tcPr>
          <w:p/>
        </w:tc>
        <w:tc>
          <w:tcPr>
            <w:tcW w:w="1134" w:type="dxa"/>
            <w:vAlign w:val="bottom"/>
          </w:tcPr>
          <w:p>
            <w:pPr>
              <w:pStyle w:val="0"/>
              <w:jc w:val="center"/>
            </w:pPr>
            <w:r>
              <w:rPr>
                <w:sz w:val="20"/>
              </w:rPr>
              <w:t xml:space="preserve">242215,0</w:t>
            </w:r>
          </w:p>
        </w:tc>
        <w:tc>
          <w:tcPr>
            <w:tcW w:w="1191" w:type="dxa"/>
            <w:vAlign w:val="bottom"/>
          </w:tcPr>
          <w:p>
            <w:pPr>
              <w:pStyle w:val="0"/>
              <w:jc w:val="center"/>
            </w:pPr>
            <w:r>
              <w:rPr>
                <w:sz w:val="20"/>
              </w:rPr>
              <w:t xml:space="preserve">372543,0</w:t>
            </w:r>
          </w:p>
        </w:tc>
      </w:tr>
      <w:tr>
        <w:tc>
          <w:tcPr>
            <w:tcW w:w="2891" w:type="dxa"/>
            <w:vAlign w:val="center"/>
            <w:vMerge w:val="restart"/>
          </w:tcPr>
          <w:p>
            <w:pPr>
              <w:pStyle w:val="0"/>
            </w:pPr>
            <w:r>
              <w:rPr>
                <w:sz w:val="20"/>
              </w:rPr>
              <w:t xml:space="preserve">3. Доля инвестиций в основной капитал Курской области в ВРП, процентов</w:t>
            </w:r>
          </w:p>
        </w:tc>
        <w:tc>
          <w:tcPr>
            <w:tcW w:w="1928" w:type="dxa"/>
            <w:vAlign w:val="bottom"/>
          </w:tcPr>
          <w:p>
            <w:pPr>
              <w:pStyle w:val="0"/>
              <w:jc w:val="center"/>
            </w:pPr>
            <w:r>
              <w:rPr>
                <w:sz w:val="20"/>
              </w:rPr>
              <w:t xml:space="preserve">консервативный</w:t>
            </w:r>
          </w:p>
        </w:tc>
        <w:tc>
          <w:tcPr>
            <w:tcW w:w="1072" w:type="dxa"/>
            <w:vAlign w:val="center"/>
            <w:vMerge w:val="restart"/>
          </w:tcPr>
          <w:p>
            <w:pPr>
              <w:pStyle w:val="0"/>
              <w:jc w:val="center"/>
            </w:pPr>
            <w:r>
              <w:rPr>
                <w:sz w:val="20"/>
              </w:rPr>
              <w:t xml:space="preserve">26,0</w:t>
            </w:r>
          </w:p>
        </w:tc>
        <w:tc>
          <w:tcPr>
            <w:tcW w:w="1129" w:type="dxa"/>
            <w:vAlign w:val="center"/>
            <w:vMerge w:val="restart"/>
          </w:tcPr>
          <w:p>
            <w:pPr>
              <w:pStyle w:val="0"/>
              <w:jc w:val="center"/>
            </w:pPr>
            <w:r>
              <w:rPr>
                <w:sz w:val="20"/>
              </w:rPr>
              <w:t xml:space="preserve">28,2</w:t>
            </w:r>
          </w:p>
        </w:tc>
        <w:tc>
          <w:tcPr>
            <w:tcW w:w="1129" w:type="dxa"/>
            <w:vAlign w:val="center"/>
            <w:vMerge w:val="restart"/>
          </w:tcPr>
          <w:p>
            <w:pPr>
              <w:pStyle w:val="0"/>
              <w:jc w:val="center"/>
            </w:pPr>
            <w:r>
              <w:rPr>
                <w:sz w:val="20"/>
              </w:rPr>
              <w:t xml:space="preserve">30,9</w:t>
            </w:r>
          </w:p>
        </w:tc>
        <w:tc>
          <w:tcPr>
            <w:tcW w:w="1297" w:type="dxa"/>
            <w:vAlign w:val="center"/>
            <w:vMerge w:val="restart"/>
          </w:tcPr>
          <w:p>
            <w:pPr>
              <w:pStyle w:val="0"/>
              <w:jc w:val="center"/>
            </w:pPr>
            <w:r>
              <w:rPr>
                <w:sz w:val="20"/>
              </w:rPr>
              <w:t xml:space="preserve">33,6</w:t>
            </w:r>
          </w:p>
        </w:tc>
        <w:tc>
          <w:tcPr>
            <w:tcW w:w="1134" w:type="dxa"/>
            <w:vAlign w:val="bottom"/>
          </w:tcPr>
          <w:p>
            <w:pPr>
              <w:pStyle w:val="0"/>
              <w:jc w:val="center"/>
            </w:pPr>
            <w:r>
              <w:rPr>
                <w:sz w:val="20"/>
              </w:rPr>
              <w:t xml:space="preserve">32,9</w:t>
            </w:r>
          </w:p>
        </w:tc>
        <w:tc>
          <w:tcPr>
            <w:tcW w:w="1191" w:type="dxa"/>
            <w:vAlign w:val="bottom"/>
          </w:tcPr>
          <w:p>
            <w:pPr>
              <w:pStyle w:val="0"/>
              <w:jc w:val="center"/>
            </w:pPr>
            <w:r>
              <w:rPr>
                <w:sz w:val="20"/>
              </w:rPr>
              <w:t xml:space="preserve">31,7</w:t>
            </w:r>
          </w:p>
        </w:tc>
      </w:tr>
      <w:tr>
        <w:tc>
          <w:tcPr>
            <w:vMerge w:val="continue"/>
          </w:tcPr>
          <w:p/>
        </w:tc>
        <w:tc>
          <w:tcPr>
            <w:tcW w:w="1928" w:type="dxa"/>
            <w:vAlign w:val="bottom"/>
          </w:tcPr>
          <w:p>
            <w:pPr>
              <w:pStyle w:val="0"/>
              <w:jc w:val="center"/>
            </w:pPr>
            <w:r>
              <w:rPr>
                <w:sz w:val="20"/>
              </w:rPr>
              <w:t xml:space="preserve">базовый</w:t>
            </w:r>
          </w:p>
        </w:tc>
        <w:tc>
          <w:tcPr>
            <w:vMerge w:val="continue"/>
          </w:tcPr>
          <w:p/>
        </w:tc>
        <w:tc>
          <w:tcPr>
            <w:vMerge w:val="continue"/>
          </w:tcPr>
          <w:p/>
        </w:tc>
        <w:tc>
          <w:tcPr>
            <w:vMerge w:val="continue"/>
          </w:tcPr>
          <w:p/>
        </w:tc>
        <w:tc>
          <w:tcPr>
            <w:vMerge w:val="continue"/>
          </w:tcPr>
          <w:p/>
        </w:tc>
        <w:tc>
          <w:tcPr>
            <w:tcW w:w="1134" w:type="dxa"/>
            <w:vAlign w:val="bottom"/>
          </w:tcPr>
          <w:p>
            <w:pPr>
              <w:pStyle w:val="0"/>
              <w:jc w:val="center"/>
            </w:pPr>
            <w:r>
              <w:rPr>
                <w:sz w:val="20"/>
              </w:rPr>
              <w:t xml:space="preserve">34,3</w:t>
            </w:r>
          </w:p>
        </w:tc>
        <w:tc>
          <w:tcPr>
            <w:tcW w:w="1191" w:type="dxa"/>
            <w:vAlign w:val="bottom"/>
          </w:tcPr>
          <w:p>
            <w:pPr>
              <w:pStyle w:val="0"/>
              <w:jc w:val="center"/>
            </w:pPr>
            <w:r>
              <w:rPr>
                <w:sz w:val="20"/>
              </w:rPr>
              <w:t xml:space="preserve">36,8</w:t>
            </w:r>
          </w:p>
        </w:tc>
      </w:tr>
      <w:tr>
        <w:tc>
          <w:tcPr>
            <w:vMerge w:val="continue"/>
          </w:tcPr>
          <w:p/>
        </w:tc>
        <w:tc>
          <w:tcPr>
            <w:tcW w:w="1928" w:type="dxa"/>
            <w:vAlign w:val="bottom"/>
          </w:tcPr>
          <w:p>
            <w:pPr>
              <w:pStyle w:val="0"/>
              <w:jc w:val="center"/>
            </w:pPr>
            <w:r>
              <w:rPr>
                <w:sz w:val="20"/>
              </w:rPr>
              <w:t xml:space="preserve">целевой</w:t>
            </w:r>
          </w:p>
        </w:tc>
        <w:tc>
          <w:tcPr>
            <w:vMerge w:val="continue"/>
          </w:tcPr>
          <w:p/>
        </w:tc>
        <w:tc>
          <w:tcPr>
            <w:vMerge w:val="continue"/>
          </w:tcPr>
          <w:p/>
        </w:tc>
        <w:tc>
          <w:tcPr>
            <w:vMerge w:val="continue"/>
          </w:tcPr>
          <w:p/>
        </w:tc>
        <w:tc>
          <w:tcPr>
            <w:vMerge w:val="continue"/>
          </w:tcPr>
          <w:p/>
        </w:tc>
        <w:tc>
          <w:tcPr>
            <w:tcW w:w="1134" w:type="dxa"/>
            <w:vAlign w:val="bottom"/>
          </w:tcPr>
          <w:p>
            <w:pPr>
              <w:pStyle w:val="0"/>
              <w:jc w:val="center"/>
            </w:pPr>
            <w:r>
              <w:rPr>
                <w:sz w:val="20"/>
              </w:rPr>
              <w:t xml:space="preserve">41,1</w:t>
            </w:r>
          </w:p>
        </w:tc>
        <w:tc>
          <w:tcPr>
            <w:tcW w:w="1191" w:type="dxa"/>
            <w:vAlign w:val="bottom"/>
          </w:tcPr>
          <w:p>
            <w:pPr>
              <w:pStyle w:val="0"/>
              <w:jc w:val="center"/>
            </w:pPr>
            <w:r>
              <w:rPr>
                <w:sz w:val="20"/>
              </w:rPr>
              <w:t xml:space="preserve">48,4</w:t>
            </w:r>
          </w:p>
        </w:tc>
      </w:tr>
      <w:tr>
        <w:tc>
          <w:tcPr>
            <w:tcW w:w="2891" w:type="dxa"/>
            <w:vAlign w:val="center"/>
            <w:vMerge w:val="restart"/>
          </w:tcPr>
          <w:p>
            <w:pPr>
              <w:pStyle w:val="0"/>
            </w:pPr>
            <w:r>
              <w:rPr>
                <w:sz w:val="20"/>
              </w:rPr>
              <w:t xml:space="preserve">4. Инвестиции в основной капитал Курской области за счет бюджетных средств, млн. рублей в текущих ценах</w:t>
            </w:r>
          </w:p>
        </w:tc>
        <w:tc>
          <w:tcPr>
            <w:tcW w:w="1928" w:type="dxa"/>
            <w:vAlign w:val="bottom"/>
          </w:tcPr>
          <w:p>
            <w:pPr>
              <w:pStyle w:val="0"/>
              <w:jc w:val="center"/>
            </w:pPr>
            <w:r>
              <w:rPr>
                <w:sz w:val="20"/>
              </w:rPr>
              <w:t xml:space="preserve">консервативный</w:t>
            </w:r>
          </w:p>
        </w:tc>
        <w:tc>
          <w:tcPr>
            <w:tcW w:w="1072" w:type="dxa"/>
            <w:vAlign w:val="center"/>
            <w:vMerge w:val="restart"/>
          </w:tcPr>
          <w:p>
            <w:pPr>
              <w:pStyle w:val="0"/>
              <w:jc w:val="center"/>
            </w:pPr>
            <w:r>
              <w:rPr>
                <w:sz w:val="20"/>
              </w:rPr>
              <w:t xml:space="preserve">12821,6</w:t>
            </w:r>
          </w:p>
        </w:tc>
        <w:tc>
          <w:tcPr>
            <w:tcW w:w="1129" w:type="dxa"/>
            <w:vAlign w:val="center"/>
            <w:vMerge w:val="restart"/>
          </w:tcPr>
          <w:p>
            <w:pPr>
              <w:pStyle w:val="0"/>
              <w:jc w:val="center"/>
            </w:pPr>
            <w:r>
              <w:rPr>
                <w:sz w:val="20"/>
              </w:rPr>
              <w:t xml:space="preserve">18173,3</w:t>
            </w:r>
          </w:p>
        </w:tc>
        <w:tc>
          <w:tcPr>
            <w:tcW w:w="1129" w:type="dxa"/>
            <w:vAlign w:val="center"/>
            <w:vMerge w:val="restart"/>
          </w:tcPr>
          <w:p>
            <w:pPr>
              <w:pStyle w:val="0"/>
              <w:jc w:val="center"/>
            </w:pPr>
            <w:r>
              <w:rPr>
                <w:sz w:val="20"/>
              </w:rPr>
              <w:t xml:space="preserve">8780,7</w:t>
            </w:r>
          </w:p>
        </w:tc>
        <w:tc>
          <w:tcPr>
            <w:tcW w:w="1297" w:type="dxa"/>
            <w:vAlign w:val="center"/>
            <w:vMerge w:val="restart"/>
          </w:tcPr>
          <w:p>
            <w:pPr>
              <w:pStyle w:val="0"/>
              <w:jc w:val="center"/>
            </w:pPr>
            <w:r>
              <w:rPr>
                <w:sz w:val="20"/>
              </w:rPr>
              <w:t xml:space="preserve">9230,0</w:t>
            </w:r>
          </w:p>
        </w:tc>
        <w:tc>
          <w:tcPr>
            <w:tcW w:w="1134" w:type="dxa"/>
            <w:vAlign w:val="bottom"/>
          </w:tcPr>
          <w:p>
            <w:pPr>
              <w:pStyle w:val="0"/>
              <w:jc w:val="center"/>
            </w:pPr>
            <w:r>
              <w:rPr>
                <w:sz w:val="20"/>
              </w:rPr>
              <w:t xml:space="preserve">12531,0</w:t>
            </w:r>
          </w:p>
        </w:tc>
        <w:tc>
          <w:tcPr>
            <w:tcW w:w="1191" w:type="dxa"/>
            <w:vAlign w:val="bottom"/>
          </w:tcPr>
          <w:p>
            <w:pPr>
              <w:pStyle w:val="0"/>
              <w:jc w:val="center"/>
            </w:pPr>
            <w:r>
              <w:rPr>
                <w:sz w:val="20"/>
              </w:rPr>
              <w:t xml:space="preserve">17575,0</w:t>
            </w:r>
          </w:p>
        </w:tc>
      </w:tr>
      <w:tr>
        <w:tc>
          <w:tcPr>
            <w:vMerge w:val="continue"/>
          </w:tcPr>
          <w:p/>
        </w:tc>
        <w:tc>
          <w:tcPr>
            <w:tcW w:w="1928" w:type="dxa"/>
            <w:vAlign w:val="bottom"/>
          </w:tcPr>
          <w:p>
            <w:pPr>
              <w:pStyle w:val="0"/>
              <w:jc w:val="center"/>
            </w:pPr>
            <w:r>
              <w:rPr>
                <w:sz w:val="20"/>
              </w:rPr>
              <w:t xml:space="preserve">базовый</w:t>
            </w:r>
          </w:p>
        </w:tc>
        <w:tc>
          <w:tcPr>
            <w:vMerge w:val="continue"/>
          </w:tcPr>
          <w:p/>
        </w:tc>
        <w:tc>
          <w:tcPr>
            <w:vMerge w:val="continue"/>
          </w:tcPr>
          <w:p/>
        </w:tc>
        <w:tc>
          <w:tcPr>
            <w:vMerge w:val="continue"/>
          </w:tcPr>
          <w:p/>
        </w:tc>
        <w:tc>
          <w:tcPr>
            <w:vMerge w:val="continue"/>
          </w:tcPr>
          <w:p/>
        </w:tc>
        <w:tc>
          <w:tcPr>
            <w:tcW w:w="1134" w:type="dxa"/>
            <w:vAlign w:val="bottom"/>
          </w:tcPr>
          <w:p>
            <w:pPr>
              <w:pStyle w:val="0"/>
              <w:jc w:val="center"/>
            </w:pPr>
            <w:r>
              <w:rPr>
                <w:sz w:val="20"/>
              </w:rPr>
              <w:t xml:space="preserve">13939,0</w:t>
            </w:r>
          </w:p>
        </w:tc>
        <w:tc>
          <w:tcPr>
            <w:tcW w:w="1191" w:type="dxa"/>
            <w:vAlign w:val="bottom"/>
          </w:tcPr>
          <w:p>
            <w:pPr>
              <w:pStyle w:val="0"/>
              <w:jc w:val="center"/>
            </w:pPr>
            <w:r>
              <w:rPr>
                <w:sz w:val="20"/>
              </w:rPr>
              <w:t xml:space="preserve">22448,0</w:t>
            </w:r>
          </w:p>
        </w:tc>
      </w:tr>
      <w:tr>
        <w:tc>
          <w:tcPr>
            <w:vMerge w:val="continue"/>
          </w:tcPr>
          <w:p/>
        </w:tc>
        <w:tc>
          <w:tcPr>
            <w:tcW w:w="1928" w:type="dxa"/>
            <w:vAlign w:val="bottom"/>
          </w:tcPr>
          <w:p>
            <w:pPr>
              <w:pStyle w:val="0"/>
              <w:jc w:val="center"/>
            </w:pPr>
            <w:r>
              <w:rPr>
                <w:sz w:val="20"/>
              </w:rPr>
              <w:t xml:space="preserve">целевой</w:t>
            </w:r>
          </w:p>
        </w:tc>
        <w:tc>
          <w:tcPr>
            <w:vMerge w:val="continue"/>
          </w:tcPr>
          <w:p/>
        </w:tc>
        <w:tc>
          <w:tcPr>
            <w:vMerge w:val="continue"/>
          </w:tcPr>
          <w:p/>
        </w:tc>
        <w:tc>
          <w:tcPr>
            <w:vMerge w:val="continue"/>
          </w:tcPr>
          <w:p/>
        </w:tc>
        <w:tc>
          <w:tcPr>
            <w:vMerge w:val="continue"/>
          </w:tcPr>
          <w:p/>
        </w:tc>
        <w:tc>
          <w:tcPr>
            <w:tcW w:w="1134" w:type="dxa"/>
            <w:vAlign w:val="bottom"/>
          </w:tcPr>
          <w:p>
            <w:pPr>
              <w:pStyle w:val="0"/>
              <w:jc w:val="center"/>
            </w:pPr>
            <w:r>
              <w:rPr>
                <w:sz w:val="20"/>
              </w:rPr>
              <w:t xml:space="preserve">18565,0</w:t>
            </w:r>
          </w:p>
        </w:tc>
        <w:tc>
          <w:tcPr>
            <w:tcW w:w="1191" w:type="dxa"/>
            <w:vAlign w:val="bottom"/>
          </w:tcPr>
          <w:p>
            <w:pPr>
              <w:pStyle w:val="0"/>
              <w:jc w:val="center"/>
            </w:pPr>
            <w:r>
              <w:rPr>
                <w:sz w:val="20"/>
              </w:rPr>
              <w:t xml:space="preserve">37340,0</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Оценка финансовых ресурсов, необходимых для реализации Стратегии. Объем финансирования мероприятий по реализации Стратегии экспертно оценивается в размере 3244,9 млрд. рублей (по целевому варианту).</w:t>
      </w:r>
    </w:p>
    <w:p>
      <w:pPr>
        <w:pStyle w:val="0"/>
        <w:spacing w:before="200" w:line-rule="auto"/>
        <w:ind w:firstLine="540"/>
        <w:jc w:val="both"/>
      </w:pPr>
      <w:r>
        <w:rPr>
          <w:sz w:val="20"/>
        </w:rPr>
        <w:t xml:space="preserve">Разбивка финансовых ресурсов по источникам финансирования представлена в таблице N 2.</w:t>
      </w:r>
    </w:p>
    <w:p>
      <w:pPr>
        <w:pStyle w:val="0"/>
        <w:jc w:val="both"/>
      </w:pPr>
      <w:r>
        <w:rPr>
          <w:sz w:val="20"/>
        </w:rPr>
      </w:r>
    </w:p>
    <w:p>
      <w:pPr>
        <w:pStyle w:val="0"/>
        <w:outlineLvl w:val="2"/>
        <w:jc w:val="right"/>
      </w:pPr>
      <w:r>
        <w:rPr>
          <w:sz w:val="20"/>
        </w:rPr>
        <w:t xml:space="preserve">Таблица N 2</w:t>
      </w:r>
    </w:p>
    <w:p>
      <w:pPr>
        <w:pStyle w:val="0"/>
        <w:jc w:val="both"/>
      </w:pPr>
      <w:r>
        <w:rPr>
          <w:sz w:val="20"/>
        </w:rPr>
      </w:r>
    </w:p>
    <w:p>
      <w:pPr>
        <w:pStyle w:val="2"/>
        <w:jc w:val="center"/>
      </w:pPr>
      <w:r>
        <w:rPr>
          <w:sz w:val="20"/>
        </w:rPr>
        <w:t xml:space="preserve">Оценка финансовых ресурсов, необходимых</w:t>
      </w:r>
    </w:p>
    <w:p>
      <w:pPr>
        <w:pStyle w:val="2"/>
        <w:jc w:val="center"/>
      </w:pPr>
      <w:r>
        <w:rPr>
          <w:sz w:val="20"/>
        </w:rPr>
        <w:t xml:space="preserve">для реализации Стратегии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2"/>
        <w:gridCol w:w="2126"/>
        <w:gridCol w:w="1418"/>
        <w:gridCol w:w="1275"/>
        <w:gridCol w:w="1644"/>
      </w:tblGrid>
      <w:tr>
        <w:tc>
          <w:tcPr>
            <w:tcW w:w="2552" w:type="dxa"/>
          </w:tcPr>
          <w:p>
            <w:pPr>
              <w:pStyle w:val="0"/>
              <w:jc w:val="center"/>
            </w:pPr>
            <w:r>
              <w:rPr>
                <w:sz w:val="20"/>
              </w:rPr>
              <w:t xml:space="preserve">Источник финансирования</w:t>
            </w:r>
          </w:p>
        </w:tc>
        <w:tc>
          <w:tcPr>
            <w:tcW w:w="2126" w:type="dxa"/>
          </w:tcPr>
          <w:p>
            <w:pPr>
              <w:pStyle w:val="0"/>
              <w:jc w:val="center"/>
            </w:pPr>
            <w:r>
              <w:rPr>
                <w:sz w:val="20"/>
              </w:rPr>
              <w:t xml:space="preserve">Вариант</w:t>
            </w:r>
          </w:p>
        </w:tc>
        <w:tc>
          <w:tcPr>
            <w:tcW w:w="1418" w:type="dxa"/>
          </w:tcPr>
          <w:p>
            <w:pPr>
              <w:pStyle w:val="0"/>
              <w:jc w:val="center"/>
            </w:pPr>
            <w:r>
              <w:rPr>
                <w:sz w:val="20"/>
              </w:rPr>
              <w:t xml:space="preserve">2021 - 2025 гг.</w:t>
            </w:r>
          </w:p>
        </w:tc>
        <w:tc>
          <w:tcPr>
            <w:tcW w:w="1275" w:type="dxa"/>
          </w:tcPr>
          <w:p>
            <w:pPr>
              <w:pStyle w:val="0"/>
              <w:jc w:val="center"/>
            </w:pPr>
            <w:r>
              <w:rPr>
                <w:sz w:val="20"/>
              </w:rPr>
              <w:t xml:space="preserve">2026 - 2030 гг.</w:t>
            </w:r>
          </w:p>
        </w:tc>
        <w:tc>
          <w:tcPr>
            <w:tcW w:w="1644" w:type="dxa"/>
          </w:tcPr>
          <w:p>
            <w:pPr>
              <w:pStyle w:val="0"/>
              <w:jc w:val="center"/>
            </w:pPr>
            <w:r>
              <w:rPr>
                <w:sz w:val="20"/>
              </w:rPr>
              <w:t xml:space="preserve">Всего 2021 - 2030 гг.</w:t>
            </w:r>
          </w:p>
        </w:tc>
      </w:tr>
      <w:tr>
        <w:tc>
          <w:tcPr>
            <w:tcW w:w="2552" w:type="dxa"/>
            <w:vMerge w:val="restart"/>
          </w:tcPr>
          <w:p>
            <w:pPr>
              <w:pStyle w:val="0"/>
              <w:jc w:val="both"/>
            </w:pPr>
            <w:r>
              <w:rPr>
                <w:sz w:val="20"/>
              </w:rPr>
              <w:t xml:space="preserve">Средства консолидированного бюджета региона, млрд. рублей</w:t>
            </w:r>
          </w:p>
        </w:tc>
        <w:tc>
          <w:tcPr>
            <w:tcW w:w="2126" w:type="dxa"/>
          </w:tcPr>
          <w:p>
            <w:pPr>
              <w:pStyle w:val="0"/>
              <w:ind w:firstLine="120"/>
              <w:jc w:val="both"/>
            </w:pPr>
            <w:r>
              <w:rPr>
                <w:sz w:val="20"/>
              </w:rPr>
              <w:t xml:space="preserve">Консервативный</w:t>
            </w:r>
          </w:p>
        </w:tc>
        <w:tc>
          <w:tcPr>
            <w:tcW w:w="1418" w:type="dxa"/>
          </w:tcPr>
          <w:p>
            <w:pPr>
              <w:pStyle w:val="0"/>
              <w:jc w:val="center"/>
            </w:pPr>
            <w:r>
              <w:rPr>
                <w:sz w:val="20"/>
              </w:rPr>
              <w:t xml:space="preserve">377,0</w:t>
            </w:r>
          </w:p>
        </w:tc>
        <w:tc>
          <w:tcPr>
            <w:tcW w:w="1275" w:type="dxa"/>
          </w:tcPr>
          <w:p>
            <w:pPr>
              <w:pStyle w:val="0"/>
              <w:jc w:val="center"/>
            </w:pPr>
            <w:r>
              <w:rPr>
                <w:sz w:val="20"/>
              </w:rPr>
              <w:t xml:space="preserve">458,4</w:t>
            </w:r>
          </w:p>
        </w:tc>
        <w:tc>
          <w:tcPr>
            <w:tcW w:w="1644" w:type="dxa"/>
          </w:tcPr>
          <w:p>
            <w:pPr>
              <w:pStyle w:val="0"/>
              <w:jc w:val="center"/>
            </w:pPr>
            <w:r>
              <w:rPr>
                <w:sz w:val="20"/>
              </w:rPr>
              <w:t xml:space="preserve">835,4</w:t>
            </w:r>
          </w:p>
        </w:tc>
      </w:tr>
      <w:tr>
        <w:tc>
          <w:tcPr>
            <w:vMerge w:val="continue"/>
          </w:tcPr>
          <w:p/>
        </w:tc>
        <w:tc>
          <w:tcPr>
            <w:tcW w:w="2126" w:type="dxa"/>
          </w:tcPr>
          <w:p>
            <w:pPr>
              <w:pStyle w:val="0"/>
              <w:ind w:firstLine="120"/>
              <w:jc w:val="both"/>
            </w:pPr>
            <w:r>
              <w:rPr>
                <w:sz w:val="20"/>
              </w:rPr>
              <w:t xml:space="preserve">Базовый</w:t>
            </w:r>
          </w:p>
        </w:tc>
        <w:tc>
          <w:tcPr>
            <w:tcW w:w="1418" w:type="dxa"/>
          </w:tcPr>
          <w:p>
            <w:pPr>
              <w:pStyle w:val="0"/>
              <w:jc w:val="center"/>
            </w:pPr>
            <w:r>
              <w:rPr>
                <w:sz w:val="20"/>
              </w:rPr>
              <w:t xml:space="preserve">382,0</w:t>
            </w:r>
          </w:p>
        </w:tc>
        <w:tc>
          <w:tcPr>
            <w:tcW w:w="1275" w:type="dxa"/>
          </w:tcPr>
          <w:p>
            <w:pPr>
              <w:pStyle w:val="0"/>
              <w:jc w:val="center"/>
            </w:pPr>
            <w:r>
              <w:rPr>
                <w:sz w:val="20"/>
              </w:rPr>
              <w:t xml:space="preserve">468,4</w:t>
            </w:r>
          </w:p>
        </w:tc>
        <w:tc>
          <w:tcPr>
            <w:tcW w:w="1644" w:type="dxa"/>
          </w:tcPr>
          <w:p>
            <w:pPr>
              <w:pStyle w:val="0"/>
              <w:jc w:val="center"/>
            </w:pPr>
            <w:r>
              <w:rPr>
                <w:sz w:val="20"/>
              </w:rPr>
              <w:t xml:space="preserve">850,4</w:t>
            </w:r>
          </w:p>
        </w:tc>
      </w:tr>
      <w:tr>
        <w:tc>
          <w:tcPr>
            <w:vMerge w:val="continue"/>
          </w:tcPr>
          <w:p/>
        </w:tc>
        <w:tc>
          <w:tcPr>
            <w:tcW w:w="2126" w:type="dxa"/>
          </w:tcPr>
          <w:p>
            <w:pPr>
              <w:pStyle w:val="0"/>
              <w:ind w:firstLine="120"/>
              <w:jc w:val="both"/>
            </w:pPr>
            <w:r>
              <w:rPr>
                <w:sz w:val="20"/>
              </w:rPr>
              <w:t xml:space="preserve">Целевой</w:t>
            </w:r>
          </w:p>
        </w:tc>
        <w:tc>
          <w:tcPr>
            <w:tcW w:w="1418" w:type="dxa"/>
          </w:tcPr>
          <w:p>
            <w:pPr>
              <w:pStyle w:val="0"/>
              <w:jc w:val="center"/>
            </w:pPr>
            <w:r>
              <w:rPr>
                <w:sz w:val="20"/>
              </w:rPr>
              <w:t xml:space="preserve">385,4</w:t>
            </w:r>
          </w:p>
        </w:tc>
        <w:tc>
          <w:tcPr>
            <w:tcW w:w="1275" w:type="dxa"/>
          </w:tcPr>
          <w:p>
            <w:pPr>
              <w:pStyle w:val="0"/>
              <w:jc w:val="center"/>
            </w:pPr>
            <w:r>
              <w:rPr>
                <w:sz w:val="20"/>
              </w:rPr>
              <w:t xml:space="preserve">475,7</w:t>
            </w:r>
          </w:p>
        </w:tc>
        <w:tc>
          <w:tcPr>
            <w:tcW w:w="1644" w:type="dxa"/>
          </w:tcPr>
          <w:p>
            <w:pPr>
              <w:pStyle w:val="0"/>
              <w:jc w:val="center"/>
            </w:pPr>
            <w:r>
              <w:rPr>
                <w:sz w:val="20"/>
              </w:rPr>
              <w:t xml:space="preserve">861,1</w:t>
            </w:r>
          </w:p>
        </w:tc>
      </w:tr>
      <w:tr>
        <w:tc>
          <w:tcPr>
            <w:tcW w:w="2552" w:type="dxa"/>
            <w:vMerge w:val="restart"/>
          </w:tcPr>
          <w:p>
            <w:pPr>
              <w:pStyle w:val="0"/>
              <w:jc w:val="both"/>
            </w:pPr>
            <w:r>
              <w:rPr>
                <w:sz w:val="20"/>
              </w:rPr>
              <w:t xml:space="preserve">Внебюджетные источники, млрд. рублей</w:t>
            </w:r>
          </w:p>
        </w:tc>
        <w:tc>
          <w:tcPr>
            <w:tcW w:w="2126" w:type="dxa"/>
          </w:tcPr>
          <w:p>
            <w:pPr>
              <w:pStyle w:val="0"/>
              <w:ind w:firstLine="120"/>
              <w:jc w:val="both"/>
            </w:pPr>
            <w:r>
              <w:rPr>
                <w:sz w:val="20"/>
              </w:rPr>
              <w:t xml:space="preserve">Консервативный</w:t>
            </w:r>
          </w:p>
        </w:tc>
        <w:tc>
          <w:tcPr>
            <w:tcW w:w="1418" w:type="dxa"/>
          </w:tcPr>
          <w:p>
            <w:pPr>
              <w:pStyle w:val="0"/>
              <w:jc w:val="center"/>
            </w:pPr>
            <w:r>
              <w:rPr>
                <w:sz w:val="20"/>
              </w:rPr>
              <w:t xml:space="preserve">805,8</w:t>
            </w:r>
          </w:p>
        </w:tc>
        <w:tc>
          <w:tcPr>
            <w:tcW w:w="1275" w:type="dxa"/>
          </w:tcPr>
          <w:p>
            <w:pPr>
              <w:pStyle w:val="0"/>
              <w:jc w:val="center"/>
            </w:pPr>
            <w:r>
              <w:rPr>
                <w:sz w:val="20"/>
              </w:rPr>
              <w:t xml:space="preserve">971,2</w:t>
            </w:r>
          </w:p>
        </w:tc>
        <w:tc>
          <w:tcPr>
            <w:tcW w:w="1644" w:type="dxa"/>
          </w:tcPr>
          <w:p>
            <w:pPr>
              <w:pStyle w:val="0"/>
              <w:jc w:val="center"/>
            </w:pPr>
            <w:r>
              <w:rPr>
                <w:sz w:val="20"/>
              </w:rPr>
              <w:t xml:space="preserve">1777,0</w:t>
            </w:r>
          </w:p>
        </w:tc>
      </w:tr>
      <w:tr>
        <w:tc>
          <w:tcPr>
            <w:vMerge w:val="continue"/>
          </w:tcPr>
          <w:p/>
        </w:tc>
        <w:tc>
          <w:tcPr>
            <w:tcW w:w="2126" w:type="dxa"/>
          </w:tcPr>
          <w:p>
            <w:pPr>
              <w:pStyle w:val="0"/>
              <w:ind w:firstLine="120"/>
              <w:jc w:val="both"/>
            </w:pPr>
            <w:r>
              <w:rPr>
                <w:sz w:val="20"/>
              </w:rPr>
              <w:t xml:space="preserve">Базовый</w:t>
            </w:r>
          </w:p>
        </w:tc>
        <w:tc>
          <w:tcPr>
            <w:tcW w:w="1418" w:type="dxa"/>
          </w:tcPr>
          <w:p>
            <w:pPr>
              <w:pStyle w:val="0"/>
              <w:jc w:val="center"/>
            </w:pPr>
            <w:r>
              <w:rPr>
                <w:sz w:val="20"/>
              </w:rPr>
              <w:t xml:space="preserve">835,8</w:t>
            </w:r>
          </w:p>
        </w:tc>
        <w:tc>
          <w:tcPr>
            <w:tcW w:w="1275" w:type="dxa"/>
          </w:tcPr>
          <w:p>
            <w:pPr>
              <w:pStyle w:val="0"/>
              <w:jc w:val="center"/>
            </w:pPr>
            <w:r>
              <w:rPr>
                <w:sz w:val="20"/>
              </w:rPr>
              <w:t xml:space="preserve">1103,9</w:t>
            </w:r>
          </w:p>
        </w:tc>
        <w:tc>
          <w:tcPr>
            <w:tcW w:w="1644" w:type="dxa"/>
          </w:tcPr>
          <w:p>
            <w:pPr>
              <w:pStyle w:val="0"/>
              <w:jc w:val="center"/>
            </w:pPr>
            <w:r>
              <w:rPr>
                <w:sz w:val="20"/>
              </w:rPr>
              <w:t xml:space="preserve">1939,7</w:t>
            </w:r>
          </w:p>
        </w:tc>
      </w:tr>
      <w:tr>
        <w:tc>
          <w:tcPr>
            <w:vMerge w:val="continue"/>
          </w:tcPr>
          <w:p/>
        </w:tc>
        <w:tc>
          <w:tcPr>
            <w:tcW w:w="2126" w:type="dxa"/>
          </w:tcPr>
          <w:p>
            <w:pPr>
              <w:pStyle w:val="0"/>
              <w:ind w:firstLine="120"/>
              <w:jc w:val="both"/>
            </w:pPr>
            <w:r>
              <w:rPr>
                <w:sz w:val="20"/>
              </w:rPr>
              <w:t xml:space="preserve">Целевой</w:t>
            </w:r>
          </w:p>
        </w:tc>
        <w:tc>
          <w:tcPr>
            <w:tcW w:w="1418" w:type="dxa"/>
          </w:tcPr>
          <w:p>
            <w:pPr>
              <w:pStyle w:val="0"/>
              <w:jc w:val="center"/>
            </w:pPr>
            <w:r>
              <w:rPr>
                <w:sz w:val="20"/>
              </w:rPr>
              <w:t xml:space="preserve">949,8</w:t>
            </w:r>
          </w:p>
        </w:tc>
        <w:tc>
          <w:tcPr>
            <w:tcW w:w="1275" w:type="dxa"/>
          </w:tcPr>
          <w:p>
            <w:pPr>
              <w:pStyle w:val="0"/>
              <w:jc w:val="center"/>
            </w:pPr>
            <w:r>
              <w:rPr>
                <w:sz w:val="20"/>
              </w:rPr>
              <w:t xml:space="preserve">1434,0</w:t>
            </w:r>
          </w:p>
        </w:tc>
        <w:tc>
          <w:tcPr>
            <w:tcW w:w="1644" w:type="dxa"/>
          </w:tcPr>
          <w:p>
            <w:pPr>
              <w:pStyle w:val="0"/>
              <w:jc w:val="center"/>
            </w:pPr>
            <w:r>
              <w:rPr>
                <w:sz w:val="20"/>
              </w:rPr>
              <w:t xml:space="preserve">2383,8</w:t>
            </w:r>
          </w:p>
        </w:tc>
      </w:tr>
      <w:tr>
        <w:tc>
          <w:tcPr>
            <w:tcW w:w="2552" w:type="dxa"/>
            <w:vMerge w:val="restart"/>
          </w:tcPr>
          <w:p>
            <w:pPr>
              <w:pStyle w:val="0"/>
              <w:jc w:val="both"/>
            </w:pPr>
            <w:r>
              <w:rPr>
                <w:sz w:val="20"/>
              </w:rPr>
              <w:t xml:space="preserve">Всего за счет всех источников финансирования, млрд. рублей</w:t>
            </w:r>
          </w:p>
        </w:tc>
        <w:tc>
          <w:tcPr>
            <w:tcW w:w="2126" w:type="dxa"/>
          </w:tcPr>
          <w:p>
            <w:pPr>
              <w:pStyle w:val="0"/>
              <w:ind w:firstLine="120"/>
              <w:jc w:val="both"/>
            </w:pPr>
            <w:r>
              <w:rPr>
                <w:sz w:val="20"/>
              </w:rPr>
              <w:t xml:space="preserve">Консервативный</w:t>
            </w:r>
          </w:p>
        </w:tc>
        <w:tc>
          <w:tcPr>
            <w:tcW w:w="1418" w:type="dxa"/>
          </w:tcPr>
          <w:p>
            <w:pPr>
              <w:pStyle w:val="0"/>
              <w:jc w:val="center"/>
            </w:pPr>
            <w:r>
              <w:rPr>
                <w:sz w:val="20"/>
              </w:rPr>
              <w:t xml:space="preserve">1182,8</w:t>
            </w:r>
          </w:p>
        </w:tc>
        <w:tc>
          <w:tcPr>
            <w:tcW w:w="1275" w:type="dxa"/>
          </w:tcPr>
          <w:p>
            <w:pPr>
              <w:pStyle w:val="0"/>
              <w:jc w:val="center"/>
            </w:pPr>
            <w:r>
              <w:rPr>
                <w:sz w:val="20"/>
              </w:rPr>
              <w:t xml:space="preserve">1429,6</w:t>
            </w:r>
          </w:p>
        </w:tc>
        <w:tc>
          <w:tcPr>
            <w:tcW w:w="1644" w:type="dxa"/>
          </w:tcPr>
          <w:p>
            <w:pPr>
              <w:pStyle w:val="0"/>
              <w:jc w:val="center"/>
            </w:pPr>
            <w:r>
              <w:rPr>
                <w:sz w:val="20"/>
              </w:rPr>
              <w:t xml:space="preserve">2612,4</w:t>
            </w:r>
          </w:p>
        </w:tc>
      </w:tr>
      <w:tr>
        <w:tc>
          <w:tcPr>
            <w:vMerge w:val="continue"/>
          </w:tcPr>
          <w:p/>
        </w:tc>
        <w:tc>
          <w:tcPr>
            <w:tcW w:w="2126" w:type="dxa"/>
          </w:tcPr>
          <w:p>
            <w:pPr>
              <w:pStyle w:val="0"/>
              <w:ind w:firstLine="120"/>
              <w:jc w:val="both"/>
            </w:pPr>
            <w:r>
              <w:rPr>
                <w:sz w:val="20"/>
              </w:rPr>
              <w:t xml:space="preserve">Базовый</w:t>
            </w:r>
          </w:p>
        </w:tc>
        <w:tc>
          <w:tcPr>
            <w:tcW w:w="1418" w:type="dxa"/>
          </w:tcPr>
          <w:p>
            <w:pPr>
              <w:pStyle w:val="0"/>
              <w:jc w:val="center"/>
            </w:pPr>
            <w:r>
              <w:rPr>
                <w:sz w:val="20"/>
              </w:rPr>
              <w:t xml:space="preserve">1217,8</w:t>
            </w:r>
          </w:p>
        </w:tc>
        <w:tc>
          <w:tcPr>
            <w:tcW w:w="1275" w:type="dxa"/>
          </w:tcPr>
          <w:p>
            <w:pPr>
              <w:pStyle w:val="0"/>
              <w:jc w:val="center"/>
            </w:pPr>
            <w:r>
              <w:rPr>
                <w:sz w:val="20"/>
              </w:rPr>
              <w:t xml:space="preserve">1572,3</w:t>
            </w:r>
          </w:p>
        </w:tc>
        <w:tc>
          <w:tcPr>
            <w:tcW w:w="1644" w:type="dxa"/>
          </w:tcPr>
          <w:p>
            <w:pPr>
              <w:pStyle w:val="0"/>
              <w:jc w:val="center"/>
            </w:pPr>
            <w:r>
              <w:rPr>
                <w:sz w:val="20"/>
              </w:rPr>
              <w:t xml:space="preserve">2790,1</w:t>
            </w:r>
          </w:p>
        </w:tc>
      </w:tr>
      <w:tr>
        <w:tc>
          <w:tcPr>
            <w:vMerge w:val="continue"/>
          </w:tcPr>
          <w:p/>
        </w:tc>
        <w:tc>
          <w:tcPr>
            <w:tcW w:w="2126" w:type="dxa"/>
          </w:tcPr>
          <w:p>
            <w:pPr>
              <w:pStyle w:val="0"/>
              <w:ind w:firstLine="120"/>
              <w:jc w:val="both"/>
            </w:pPr>
            <w:r>
              <w:rPr>
                <w:sz w:val="20"/>
              </w:rPr>
              <w:t xml:space="preserve">Целевой</w:t>
            </w:r>
          </w:p>
        </w:tc>
        <w:tc>
          <w:tcPr>
            <w:tcW w:w="1418" w:type="dxa"/>
          </w:tcPr>
          <w:p>
            <w:pPr>
              <w:pStyle w:val="0"/>
              <w:jc w:val="center"/>
            </w:pPr>
            <w:r>
              <w:rPr>
                <w:sz w:val="20"/>
              </w:rPr>
              <w:t xml:space="preserve">1335,2</w:t>
            </w:r>
          </w:p>
        </w:tc>
        <w:tc>
          <w:tcPr>
            <w:tcW w:w="1275" w:type="dxa"/>
          </w:tcPr>
          <w:p>
            <w:pPr>
              <w:pStyle w:val="0"/>
              <w:jc w:val="center"/>
            </w:pPr>
            <w:r>
              <w:rPr>
                <w:sz w:val="20"/>
              </w:rPr>
              <w:t xml:space="preserve">1909,7</w:t>
            </w:r>
          </w:p>
        </w:tc>
        <w:tc>
          <w:tcPr>
            <w:tcW w:w="1644" w:type="dxa"/>
          </w:tcPr>
          <w:p>
            <w:pPr>
              <w:pStyle w:val="0"/>
              <w:jc w:val="center"/>
            </w:pPr>
            <w:r>
              <w:rPr>
                <w:sz w:val="20"/>
              </w:rPr>
              <w:t xml:space="preserve">3244,9</w:t>
            </w:r>
          </w:p>
        </w:tc>
      </w:tr>
    </w:tbl>
    <w:p>
      <w:pPr>
        <w:pStyle w:val="0"/>
        <w:jc w:val="both"/>
      </w:pPr>
      <w:r>
        <w:rPr>
          <w:sz w:val="20"/>
        </w:rPr>
      </w:r>
    </w:p>
    <w:p>
      <w:pPr>
        <w:pStyle w:val="0"/>
        <w:ind w:firstLine="540"/>
        <w:jc w:val="both"/>
      </w:pPr>
      <w:r>
        <w:rPr>
          <w:sz w:val="20"/>
        </w:rPr>
        <w:t xml:space="preserve">Главным финансовым инструментом реализация стратегии станут государственные программы Курской области, перечень которых приведен в </w:t>
      </w:r>
      <w:hyperlink w:history="0" w:anchor="P6011" w:tooltip="ПЕРЕЧЕНЬ">
        <w:r>
          <w:rPr>
            <w:sz w:val="20"/>
            <w:color w:val="0000ff"/>
          </w:rPr>
          <w:t xml:space="preserve">приложении N 4</w:t>
        </w:r>
      </w:hyperlink>
      <w:r>
        <w:rPr>
          <w:sz w:val="20"/>
        </w:rPr>
        <w:t xml:space="preserve"> к Стратегии социально-экономического развития Курской области на период до 2030 года. Объем бюджетных ассигнований на их реализацию ежегодно уточняется.</w:t>
      </w:r>
    </w:p>
    <w:p>
      <w:pPr>
        <w:pStyle w:val="0"/>
        <w:spacing w:before="200" w:line-rule="auto"/>
        <w:ind w:firstLine="540"/>
        <w:jc w:val="both"/>
      </w:pPr>
      <w:r>
        <w:rPr>
          <w:sz w:val="20"/>
        </w:rPr>
        <w:t xml:space="preserve">Общий ресурсный потенциал бюджетной составляющей для реализации стратегии ограничен рамками бюджетов на очередной финансовый год и плановый период, а также параметрами бюджетного прогноза Курской области на долгосрочный период. Привлечение средств федерального бюджета планируется осуществлять на условиях софинансирования в соответствии с действующим законодательством Российской Федерации в пределах объемов бюджетных ассигнований, предусмотренных в федеральном бюджете. При расчете прогнозного объема внебюджетных средств учтены инвестиционные проекты, реализуемые или планируемые к реализации на территории региона. Конкретизация направлений и источников финансирования отражается в плане мероприятий по реализации Стратегии.</w:t>
      </w:r>
    </w:p>
    <w:p>
      <w:pPr>
        <w:pStyle w:val="0"/>
        <w:jc w:val="both"/>
      </w:pPr>
      <w:r>
        <w:rPr>
          <w:sz w:val="20"/>
        </w:rPr>
      </w:r>
    </w:p>
    <w:p>
      <w:pPr>
        <w:pStyle w:val="2"/>
        <w:outlineLvl w:val="1"/>
        <w:jc w:val="center"/>
      </w:pPr>
      <w:r>
        <w:rPr>
          <w:sz w:val="20"/>
        </w:rPr>
        <w:t xml:space="preserve">16. Целевые индикаторы Стратегии</w:t>
      </w:r>
    </w:p>
    <w:p>
      <w:pPr>
        <w:pStyle w:val="0"/>
        <w:jc w:val="both"/>
      </w:pPr>
      <w:r>
        <w:rPr>
          <w:sz w:val="20"/>
        </w:rPr>
      </w:r>
    </w:p>
    <w:p>
      <w:pPr>
        <w:pStyle w:val="0"/>
        <w:ind w:firstLine="540"/>
        <w:jc w:val="both"/>
      </w:pPr>
      <w:r>
        <w:rPr>
          <w:sz w:val="20"/>
        </w:rPr>
        <w:t xml:space="preserve">В таблицах ниже представлены целевые индикаторы Стратегии в разрезе возможных сценариев развития:</w:t>
      </w:r>
    </w:p>
    <w:p>
      <w:pPr>
        <w:pStyle w:val="0"/>
        <w:spacing w:before="200" w:line-rule="auto"/>
        <w:ind w:firstLine="540"/>
        <w:jc w:val="both"/>
      </w:pPr>
      <w:r>
        <w:rPr>
          <w:sz w:val="20"/>
        </w:rPr>
        <w:t xml:space="preserve">Основные целевые индикаторы консервативного сценария представлены в таблице ниже.</w:t>
      </w:r>
    </w:p>
    <w:p>
      <w:pPr>
        <w:pStyle w:val="0"/>
        <w:jc w:val="both"/>
      </w:pPr>
      <w:r>
        <w:rPr>
          <w:sz w:val="20"/>
        </w:rPr>
      </w:r>
    </w:p>
    <w:p>
      <w:pPr>
        <w:pStyle w:val="0"/>
        <w:outlineLvl w:val="2"/>
        <w:jc w:val="right"/>
      </w:pPr>
      <w:r>
        <w:rPr>
          <w:sz w:val="20"/>
        </w:rPr>
        <w:t xml:space="preserve">Таблица N 1</w:t>
      </w:r>
    </w:p>
    <w:p>
      <w:pPr>
        <w:pStyle w:val="0"/>
        <w:jc w:val="both"/>
      </w:pPr>
      <w:r>
        <w:rPr>
          <w:sz w:val="20"/>
        </w:rPr>
      </w:r>
    </w:p>
    <w:p>
      <w:pPr>
        <w:pStyle w:val="2"/>
        <w:jc w:val="center"/>
      </w:pPr>
      <w:r>
        <w:rPr>
          <w:sz w:val="20"/>
        </w:rPr>
        <w:t xml:space="preserve">Основные целевые индикаторы</w:t>
      </w:r>
    </w:p>
    <w:p>
      <w:pPr>
        <w:pStyle w:val="2"/>
        <w:jc w:val="center"/>
      </w:pPr>
      <w:r>
        <w:rPr>
          <w:sz w:val="20"/>
        </w:rPr>
        <w:t xml:space="preserve">консервативного сценария развития Курской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4025"/>
        <w:gridCol w:w="1051"/>
        <w:gridCol w:w="1033"/>
        <w:gridCol w:w="1065"/>
        <w:gridCol w:w="1049"/>
      </w:tblGrid>
      <w:tr>
        <w:tc>
          <w:tcPr>
            <w:tcW w:w="680" w:type="dxa"/>
            <w:vAlign w:val="center"/>
          </w:tcPr>
          <w:p>
            <w:pPr>
              <w:pStyle w:val="0"/>
              <w:jc w:val="center"/>
            </w:pPr>
            <w:r>
              <w:rPr>
                <w:sz w:val="20"/>
              </w:rPr>
              <w:t xml:space="preserve">N</w:t>
            </w:r>
          </w:p>
        </w:tc>
        <w:tc>
          <w:tcPr>
            <w:tcW w:w="4025" w:type="dxa"/>
            <w:vAlign w:val="center"/>
          </w:tcPr>
          <w:p>
            <w:pPr>
              <w:pStyle w:val="0"/>
              <w:jc w:val="center"/>
            </w:pPr>
            <w:r>
              <w:rPr>
                <w:sz w:val="20"/>
              </w:rPr>
              <w:t xml:space="preserve">Наименование показателя</w:t>
            </w:r>
          </w:p>
        </w:tc>
        <w:tc>
          <w:tcPr>
            <w:tcW w:w="1051" w:type="dxa"/>
            <w:vAlign w:val="center"/>
          </w:tcPr>
          <w:p>
            <w:pPr>
              <w:pStyle w:val="0"/>
              <w:jc w:val="center"/>
            </w:pPr>
            <w:r>
              <w:rPr>
                <w:sz w:val="20"/>
              </w:rPr>
              <w:t xml:space="preserve">2017 г.</w:t>
            </w:r>
          </w:p>
        </w:tc>
        <w:tc>
          <w:tcPr>
            <w:tcW w:w="1033" w:type="dxa"/>
            <w:vAlign w:val="center"/>
          </w:tcPr>
          <w:p>
            <w:pPr>
              <w:pStyle w:val="0"/>
              <w:jc w:val="center"/>
            </w:pPr>
            <w:r>
              <w:rPr>
                <w:sz w:val="20"/>
              </w:rPr>
              <w:t xml:space="preserve">2020 г.</w:t>
            </w:r>
          </w:p>
        </w:tc>
        <w:tc>
          <w:tcPr>
            <w:tcW w:w="1065" w:type="dxa"/>
            <w:vAlign w:val="center"/>
          </w:tcPr>
          <w:p>
            <w:pPr>
              <w:pStyle w:val="0"/>
              <w:jc w:val="center"/>
            </w:pPr>
            <w:r>
              <w:rPr>
                <w:sz w:val="20"/>
              </w:rPr>
              <w:t xml:space="preserve">2025 г.</w:t>
            </w:r>
          </w:p>
        </w:tc>
        <w:tc>
          <w:tcPr>
            <w:tcW w:w="1049" w:type="dxa"/>
            <w:vAlign w:val="center"/>
          </w:tcPr>
          <w:p>
            <w:pPr>
              <w:pStyle w:val="0"/>
              <w:jc w:val="center"/>
            </w:pPr>
            <w:r>
              <w:rPr>
                <w:sz w:val="20"/>
              </w:rPr>
              <w:t xml:space="preserve">2030 г.</w:t>
            </w:r>
          </w:p>
        </w:tc>
      </w:tr>
      <w:tr>
        <w:tc>
          <w:tcPr>
            <w:tcW w:w="680" w:type="dxa"/>
            <w:vAlign w:val="center"/>
          </w:tcPr>
          <w:p>
            <w:pPr>
              <w:pStyle w:val="0"/>
              <w:jc w:val="center"/>
            </w:pPr>
            <w:r>
              <w:rPr>
                <w:sz w:val="20"/>
              </w:rPr>
              <w:t xml:space="preserve">1</w:t>
            </w:r>
          </w:p>
        </w:tc>
        <w:tc>
          <w:tcPr>
            <w:tcW w:w="4025" w:type="dxa"/>
            <w:vAlign w:val="center"/>
          </w:tcPr>
          <w:p>
            <w:pPr>
              <w:pStyle w:val="0"/>
              <w:jc w:val="both"/>
            </w:pPr>
            <w:r>
              <w:rPr>
                <w:sz w:val="20"/>
              </w:rPr>
              <w:t xml:space="preserve">Среднегодовая численность населения, тыс. чел.</w:t>
            </w:r>
          </w:p>
        </w:tc>
        <w:tc>
          <w:tcPr>
            <w:tcW w:w="1051" w:type="dxa"/>
            <w:vAlign w:val="center"/>
          </w:tcPr>
          <w:p>
            <w:pPr>
              <w:pStyle w:val="0"/>
              <w:jc w:val="center"/>
            </w:pPr>
            <w:r>
              <w:rPr>
                <w:sz w:val="20"/>
              </w:rPr>
              <w:t xml:space="preserve">1119,1</w:t>
            </w:r>
          </w:p>
        </w:tc>
        <w:tc>
          <w:tcPr>
            <w:tcW w:w="1033" w:type="dxa"/>
            <w:vAlign w:val="center"/>
          </w:tcPr>
          <w:p>
            <w:pPr>
              <w:pStyle w:val="0"/>
              <w:jc w:val="center"/>
            </w:pPr>
            <w:r>
              <w:rPr>
                <w:sz w:val="20"/>
              </w:rPr>
              <w:t xml:space="preserve">1101,1</w:t>
            </w:r>
          </w:p>
        </w:tc>
        <w:tc>
          <w:tcPr>
            <w:tcW w:w="1065" w:type="dxa"/>
            <w:vAlign w:val="center"/>
          </w:tcPr>
          <w:p>
            <w:pPr>
              <w:pStyle w:val="0"/>
              <w:jc w:val="center"/>
            </w:pPr>
            <w:r>
              <w:rPr>
                <w:sz w:val="20"/>
              </w:rPr>
              <w:t xml:space="preserve">1076,0</w:t>
            </w:r>
          </w:p>
        </w:tc>
        <w:tc>
          <w:tcPr>
            <w:tcW w:w="1049" w:type="dxa"/>
            <w:vAlign w:val="center"/>
          </w:tcPr>
          <w:p>
            <w:pPr>
              <w:pStyle w:val="0"/>
              <w:jc w:val="center"/>
            </w:pPr>
            <w:r>
              <w:rPr>
                <w:sz w:val="20"/>
              </w:rPr>
              <w:t xml:space="preserve">1058,2</w:t>
            </w:r>
          </w:p>
        </w:tc>
      </w:tr>
      <w:tr>
        <w:tc>
          <w:tcPr>
            <w:tcW w:w="680" w:type="dxa"/>
            <w:vAlign w:val="center"/>
          </w:tcPr>
          <w:p>
            <w:pPr>
              <w:pStyle w:val="0"/>
              <w:jc w:val="center"/>
            </w:pPr>
            <w:r>
              <w:rPr>
                <w:sz w:val="20"/>
              </w:rPr>
              <w:t xml:space="preserve">2</w:t>
            </w:r>
          </w:p>
        </w:tc>
        <w:tc>
          <w:tcPr>
            <w:tcW w:w="4025" w:type="dxa"/>
            <w:vAlign w:val="center"/>
          </w:tcPr>
          <w:p>
            <w:pPr>
              <w:pStyle w:val="0"/>
              <w:jc w:val="both"/>
            </w:pPr>
            <w:r>
              <w:rPr>
                <w:sz w:val="20"/>
              </w:rPr>
              <w:t xml:space="preserve">Ожидаемая продолжительность жизни при рождении, лет</w:t>
            </w:r>
          </w:p>
        </w:tc>
        <w:tc>
          <w:tcPr>
            <w:tcW w:w="1051" w:type="dxa"/>
            <w:vAlign w:val="center"/>
          </w:tcPr>
          <w:p>
            <w:pPr>
              <w:pStyle w:val="0"/>
              <w:jc w:val="center"/>
            </w:pPr>
            <w:r>
              <w:rPr>
                <w:sz w:val="20"/>
              </w:rPr>
              <w:t xml:space="preserve">71,74</w:t>
            </w:r>
          </w:p>
        </w:tc>
        <w:tc>
          <w:tcPr>
            <w:tcW w:w="1033" w:type="dxa"/>
            <w:vAlign w:val="center"/>
          </w:tcPr>
          <w:p>
            <w:pPr>
              <w:pStyle w:val="0"/>
              <w:jc w:val="center"/>
            </w:pPr>
            <w:r>
              <w:rPr>
                <w:sz w:val="20"/>
              </w:rPr>
              <w:t xml:space="preserve">73,77</w:t>
            </w:r>
          </w:p>
        </w:tc>
        <w:tc>
          <w:tcPr>
            <w:tcW w:w="1065" w:type="dxa"/>
            <w:vAlign w:val="center"/>
          </w:tcPr>
          <w:p>
            <w:pPr>
              <w:pStyle w:val="0"/>
              <w:jc w:val="center"/>
            </w:pPr>
            <w:r>
              <w:rPr>
                <w:sz w:val="20"/>
              </w:rPr>
              <w:t xml:space="preserve">74,1</w:t>
            </w:r>
          </w:p>
        </w:tc>
        <w:tc>
          <w:tcPr>
            <w:tcW w:w="1049" w:type="dxa"/>
            <w:vAlign w:val="center"/>
          </w:tcPr>
          <w:p>
            <w:pPr>
              <w:pStyle w:val="0"/>
              <w:jc w:val="center"/>
            </w:pPr>
            <w:r>
              <w:rPr>
                <w:sz w:val="20"/>
              </w:rPr>
              <w:t xml:space="preserve">76,0</w:t>
            </w:r>
          </w:p>
        </w:tc>
      </w:tr>
      <w:tr>
        <w:tc>
          <w:tcPr>
            <w:tcW w:w="680" w:type="dxa"/>
            <w:vAlign w:val="center"/>
          </w:tcPr>
          <w:p>
            <w:pPr>
              <w:pStyle w:val="0"/>
              <w:jc w:val="center"/>
            </w:pPr>
            <w:r>
              <w:rPr>
                <w:sz w:val="20"/>
              </w:rPr>
              <w:t xml:space="preserve">3</w:t>
            </w:r>
          </w:p>
        </w:tc>
        <w:tc>
          <w:tcPr>
            <w:tcW w:w="4025" w:type="dxa"/>
            <w:vAlign w:val="center"/>
          </w:tcPr>
          <w:p>
            <w:pPr>
              <w:pStyle w:val="0"/>
              <w:jc w:val="both"/>
            </w:pPr>
            <w:r>
              <w:rPr>
                <w:sz w:val="20"/>
              </w:rPr>
              <w:t xml:space="preserve">Обеспеченность населения врачами, на 10 тыс. чел.</w:t>
            </w:r>
          </w:p>
        </w:tc>
        <w:tc>
          <w:tcPr>
            <w:tcW w:w="1051" w:type="dxa"/>
            <w:vAlign w:val="center"/>
          </w:tcPr>
          <w:p>
            <w:pPr>
              <w:pStyle w:val="0"/>
              <w:jc w:val="center"/>
            </w:pPr>
            <w:r>
              <w:rPr>
                <w:sz w:val="20"/>
              </w:rPr>
              <w:t xml:space="preserve">49,9</w:t>
            </w:r>
          </w:p>
        </w:tc>
        <w:tc>
          <w:tcPr>
            <w:tcW w:w="1033" w:type="dxa"/>
            <w:vAlign w:val="center"/>
          </w:tcPr>
          <w:p>
            <w:pPr>
              <w:pStyle w:val="0"/>
              <w:jc w:val="center"/>
            </w:pPr>
            <w:r>
              <w:rPr>
                <w:sz w:val="20"/>
              </w:rPr>
              <w:t xml:space="preserve">50,0</w:t>
            </w:r>
          </w:p>
        </w:tc>
        <w:tc>
          <w:tcPr>
            <w:tcW w:w="1065" w:type="dxa"/>
            <w:vAlign w:val="center"/>
          </w:tcPr>
          <w:p>
            <w:pPr>
              <w:pStyle w:val="0"/>
              <w:jc w:val="center"/>
            </w:pPr>
            <w:r>
              <w:rPr>
                <w:sz w:val="20"/>
              </w:rPr>
              <w:t xml:space="preserve">50,1</w:t>
            </w:r>
          </w:p>
        </w:tc>
        <w:tc>
          <w:tcPr>
            <w:tcW w:w="1049" w:type="dxa"/>
            <w:vAlign w:val="center"/>
          </w:tcPr>
          <w:p>
            <w:pPr>
              <w:pStyle w:val="0"/>
              <w:jc w:val="center"/>
            </w:pPr>
            <w:r>
              <w:rPr>
                <w:sz w:val="20"/>
              </w:rPr>
              <w:t xml:space="preserve">50,3</w:t>
            </w:r>
          </w:p>
        </w:tc>
      </w:tr>
      <w:tr>
        <w:tc>
          <w:tcPr>
            <w:tcW w:w="680" w:type="dxa"/>
            <w:vAlign w:val="center"/>
          </w:tcPr>
          <w:p>
            <w:pPr>
              <w:pStyle w:val="0"/>
              <w:jc w:val="center"/>
            </w:pPr>
            <w:r>
              <w:rPr>
                <w:sz w:val="20"/>
              </w:rPr>
              <w:t xml:space="preserve">4</w:t>
            </w:r>
          </w:p>
        </w:tc>
        <w:tc>
          <w:tcPr>
            <w:tcW w:w="4025" w:type="dxa"/>
            <w:vAlign w:val="center"/>
          </w:tcPr>
          <w:p>
            <w:pPr>
              <w:pStyle w:val="0"/>
              <w:jc w:val="both"/>
            </w:pPr>
            <w:r>
              <w:rPr>
                <w:sz w:val="20"/>
              </w:rPr>
              <w:t xml:space="preserve">ВРП, млрд. рублей в текущих ценах</w:t>
            </w:r>
          </w:p>
        </w:tc>
        <w:tc>
          <w:tcPr>
            <w:tcW w:w="1051" w:type="dxa"/>
            <w:vAlign w:val="center"/>
          </w:tcPr>
          <w:p>
            <w:pPr>
              <w:pStyle w:val="0"/>
              <w:jc w:val="center"/>
            </w:pPr>
            <w:r>
              <w:rPr>
                <w:sz w:val="20"/>
              </w:rPr>
              <w:t xml:space="preserve">387,3</w:t>
            </w:r>
          </w:p>
        </w:tc>
        <w:tc>
          <w:tcPr>
            <w:tcW w:w="1033" w:type="dxa"/>
            <w:vAlign w:val="center"/>
          </w:tcPr>
          <w:p>
            <w:pPr>
              <w:pStyle w:val="0"/>
              <w:jc w:val="center"/>
            </w:pPr>
            <w:r>
              <w:rPr>
                <w:sz w:val="20"/>
              </w:rPr>
              <w:t xml:space="preserve">455,4</w:t>
            </w:r>
          </w:p>
        </w:tc>
        <w:tc>
          <w:tcPr>
            <w:tcW w:w="1065" w:type="dxa"/>
            <w:vAlign w:val="center"/>
          </w:tcPr>
          <w:p>
            <w:pPr>
              <w:pStyle w:val="0"/>
              <w:jc w:val="center"/>
            </w:pPr>
            <w:r>
              <w:rPr>
                <w:sz w:val="20"/>
              </w:rPr>
              <w:t xml:space="preserve">566,9</w:t>
            </w:r>
          </w:p>
        </w:tc>
        <w:tc>
          <w:tcPr>
            <w:tcW w:w="1049" w:type="dxa"/>
            <w:vAlign w:val="center"/>
          </w:tcPr>
          <w:p>
            <w:pPr>
              <w:pStyle w:val="0"/>
              <w:jc w:val="center"/>
            </w:pPr>
            <w:r>
              <w:rPr>
                <w:sz w:val="20"/>
              </w:rPr>
              <w:t xml:space="preserve">713,6</w:t>
            </w:r>
          </w:p>
        </w:tc>
      </w:tr>
      <w:tr>
        <w:tc>
          <w:tcPr>
            <w:tcW w:w="680" w:type="dxa"/>
            <w:vAlign w:val="center"/>
          </w:tcPr>
          <w:p>
            <w:pPr>
              <w:pStyle w:val="0"/>
              <w:jc w:val="center"/>
            </w:pPr>
            <w:r>
              <w:rPr>
                <w:sz w:val="20"/>
              </w:rPr>
              <w:t xml:space="preserve">5</w:t>
            </w:r>
          </w:p>
        </w:tc>
        <w:tc>
          <w:tcPr>
            <w:tcW w:w="4025" w:type="dxa"/>
            <w:vAlign w:val="center"/>
          </w:tcPr>
          <w:p>
            <w:pPr>
              <w:pStyle w:val="0"/>
              <w:jc w:val="both"/>
            </w:pPr>
            <w:r>
              <w:rPr>
                <w:sz w:val="20"/>
              </w:rPr>
              <w:t xml:space="preserve">Индекс промышленного производства, в % к 2017 году</w:t>
            </w:r>
          </w:p>
        </w:tc>
        <w:tc>
          <w:tcPr>
            <w:tcW w:w="1051" w:type="dxa"/>
            <w:vAlign w:val="center"/>
          </w:tcPr>
          <w:p>
            <w:pPr>
              <w:pStyle w:val="0"/>
              <w:jc w:val="center"/>
            </w:pPr>
            <w:r>
              <w:rPr>
                <w:sz w:val="20"/>
              </w:rPr>
              <w:t xml:space="preserve">100</w:t>
            </w:r>
          </w:p>
        </w:tc>
        <w:tc>
          <w:tcPr>
            <w:tcW w:w="1033" w:type="dxa"/>
            <w:vAlign w:val="center"/>
          </w:tcPr>
          <w:p>
            <w:pPr>
              <w:pStyle w:val="0"/>
              <w:jc w:val="center"/>
            </w:pPr>
            <w:r>
              <w:rPr>
                <w:sz w:val="20"/>
              </w:rPr>
              <w:t xml:space="preserve">100,4</w:t>
            </w:r>
          </w:p>
        </w:tc>
        <w:tc>
          <w:tcPr>
            <w:tcW w:w="1065" w:type="dxa"/>
            <w:vAlign w:val="center"/>
          </w:tcPr>
          <w:p>
            <w:pPr>
              <w:pStyle w:val="0"/>
              <w:jc w:val="center"/>
            </w:pPr>
            <w:r>
              <w:rPr>
                <w:sz w:val="20"/>
              </w:rPr>
              <w:t xml:space="preserve">106,0</w:t>
            </w:r>
          </w:p>
        </w:tc>
        <w:tc>
          <w:tcPr>
            <w:tcW w:w="1049" w:type="dxa"/>
            <w:vAlign w:val="center"/>
          </w:tcPr>
          <w:p>
            <w:pPr>
              <w:pStyle w:val="0"/>
              <w:jc w:val="center"/>
            </w:pPr>
            <w:r>
              <w:rPr>
                <w:sz w:val="20"/>
              </w:rPr>
              <w:t xml:space="preserve">107,4</w:t>
            </w:r>
          </w:p>
        </w:tc>
      </w:tr>
      <w:tr>
        <w:tc>
          <w:tcPr>
            <w:tcW w:w="680" w:type="dxa"/>
            <w:vAlign w:val="center"/>
          </w:tcPr>
          <w:p>
            <w:pPr>
              <w:pStyle w:val="0"/>
              <w:jc w:val="center"/>
            </w:pPr>
            <w:r>
              <w:rPr>
                <w:sz w:val="20"/>
              </w:rPr>
              <w:t xml:space="preserve">6</w:t>
            </w:r>
          </w:p>
        </w:tc>
        <w:tc>
          <w:tcPr>
            <w:tcW w:w="4025" w:type="dxa"/>
            <w:vAlign w:val="center"/>
          </w:tcPr>
          <w:p>
            <w:pPr>
              <w:pStyle w:val="0"/>
              <w:jc w:val="both"/>
            </w:pPr>
            <w:r>
              <w:rPr>
                <w:sz w:val="20"/>
              </w:rPr>
              <w:t xml:space="preserve">Индекс производительности труда, % к 2017 году</w:t>
            </w:r>
          </w:p>
        </w:tc>
        <w:tc>
          <w:tcPr>
            <w:tcW w:w="1051" w:type="dxa"/>
            <w:vAlign w:val="center"/>
          </w:tcPr>
          <w:p>
            <w:pPr>
              <w:pStyle w:val="0"/>
              <w:jc w:val="center"/>
            </w:pPr>
            <w:r>
              <w:rPr>
                <w:sz w:val="20"/>
              </w:rPr>
              <w:t xml:space="preserve">100</w:t>
            </w:r>
          </w:p>
        </w:tc>
        <w:tc>
          <w:tcPr>
            <w:tcW w:w="1033" w:type="dxa"/>
            <w:vAlign w:val="center"/>
          </w:tcPr>
          <w:p>
            <w:pPr>
              <w:pStyle w:val="0"/>
              <w:jc w:val="center"/>
            </w:pPr>
            <w:r>
              <w:rPr>
                <w:sz w:val="20"/>
              </w:rPr>
              <w:t xml:space="preserve">104,8</w:t>
            </w:r>
          </w:p>
        </w:tc>
        <w:tc>
          <w:tcPr>
            <w:tcW w:w="1065" w:type="dxa"/>
            <w:vAlign w:val="center"/>
          </w:tcPr>
          <w:p>
            <w:pPr>
              <w:pStyle w:val="0"/>
              <w:jc w:val="center"/>
            </w:pPr>
            <w:r>
              <w:rPr>
                <w:sz w:val="20"/>
              </w:rPr>
              <w:t xml:space="preserve">108,0</w:t>
            </w:r>
          </w:p>
        </w:tc>
        <w:tc>
          <w:tcPr>
            <w:tcW w:w="1049" w:type="dxa"/>
            <w:vAlign w:val="center"/>
          </w:tcPr>
          <w:p>
            <w:pPr>
              <w:pStyle w:val="0"/>
              <w:jc w:val="center"/>
            </w:pPr>
            <w:r>
              <w:rPr>
                <w:sz w:val="20"/>
              </w:rPr>
              <w:t xml:space="preserve">112,0</w:t>
            </w:r>
          </w:p>
        </w:tc>
      </w:tr>
      <w:tr>
        <w:tc>
          <w:tcPr>
            <w:tcW w:w="680" w:type="dxa"/>
            <w:vAlign w:val="center"/>
          </w:tcPr>
          <w:p>
            <w:pPr>
              <w:pStyle w:val="0"/>
              <w:jc w:val="center"/>
            </w:pPr>
            <w:r>
              <w:rPr>
                <w:sz w:val="20"/>
              </w:rPr>
              <w:t xml:space="preserve">7</w:t>
            </w:r>
          </w:p>
        </w:tc>
        <w:tc>
          <w:tcPr>
            <w:tcW w:w="4025" w:type="dxa"/>
            <w:vAlign w:val="center"/>
          </w:tcPr>
          <w:p>
            <w:pPr>
              <w:pStyle w:val="0"/>
              <w:jc w:val="both"/>
            </w:pPr>
            <w:r>
              <w:rPr>
                <w:sz w:val="20"/>
              </w:rPr>
              <w:t xml:space="preserve">Ввод в действие жилых домов, тыс. кв. м общей площади</w:t>
            </w:r>
          </w:p>
        </w:tc>
        <w:tc>
          <w:tcPr>
            <w:tcW w:w="1051" w:type="dxa"/>
            <w:vAlign w:val="center"/>
          </w:tcPr>
          <w:p>
            <w:pPr>
              <w:pStyle w:val="0"/>
              <w:jc w:val="center"/>
            </w:pPr>
            <w:r>
              <w:rPr>
                <w:sz w:val="20"/>
              </w:rPr>
              <w:t xml:space="preserve">590,5</w:t>
            </w:r>
          </w:p>
        </w:tc>
        <w:tc>
          <w:tcPr>
            <w:tcW w:w="1033" w:type="dxa"/>
            <w:vAlign w:val="center"/>
          </w:tcPr>
          <w:p>
            <w:pPr>
              <w:pStyle w:val="0"/>
              <w:jc w:val="center"/>
            </w:pPr>
            <w:r>
              <w:rPr>
                <w:sz w:val="20"/>
              </w:rPr>
              <w:t xml:space="preserve">435,1</w:t>
            </w:r>
          </w:p>
        </w:tc>
        <w:tc>
          <w:tcPr>
            <w:tcW w:w="1065" w:type="dxa"/>
            <w:vAlign w:val="center"/>
          </w:tcPr>
          <w:p>
            <w:pPr>
              <w:pStyle w:val="0"/>
              <w:jc w:val="center"/>
            </w:pPr>
            <w:r>
              <w:rPr>
                <w:sz w:val="20"/>
              </w:rPr>
              <w:t xml:space="preserve">393,2</w:t>
            </w:r>
          </w:p>
        </w:tc>
        <w:tc>
          <w:tcPr>
            <w:tcW w:w="1049" w:type="dxa"/>
            <w:vAlign w:val="center"/>
          </w:tcPr>
          <w:p>
            <w:pPr>
              <w:pStyle w:val="0"/>
              <w:jc w:val="center"/>
            </w:pPr>
            <w:r>
              <w:rPr>
                <w:sz w:val="20"/>
              </w:rPr>
              <w:t xml:space="preserve">355,3</w:t>
            </w:r>
          </w:p>
        </w:tc>
      </w:tr>
      <w:tr>
        <w:tblPrEx>
          <w:tblBorders>
            <w:insideH w:val="nil"/>
          </w:tblBorders>
        </w:tblPrEx>
        <w:tc>
          <w:tcPr>
            <w:tcW w:w="680" w:type="dxa"/>
            <w:tcBorders>
              <w:bottom w:val="nil"/>
            </w:tcBorders>
          </w:tcPr>
          <w:p>
            <w:pPr>
              <w:pStyle w:val="0"/>
              <w:jc w:val="center"/>
            </w:pPr>
            <w:r>
              <w:rPr>
                <w:sz w:val="20"/>
              </w:rPr>
              <w:t xml:space="preserve">8</w:t>
            </w:r>
          </w:p>
        </w:tc>
        <w:tc>
          <w:tcPr>
            <w:tcW w:w="4025" w:type="dxa"/>
            <w:tcBorders>
              <w:bottom w:val="nil"/>
            </w:tcBorders>
          </w:tcPr>
          <w:p>
            <w:pPr>
              <w:pStyle w:val="0"/>
              <w:jc w:val="both"/>
            </w:pPr>
            <w:r>
              <w:rPr>
                <w:sz w:val="20"/>
              </w:rPr>
              <w:t xml:space="preserve">Экспорт - всего, млн. долл. США</w:t>
            </w:r>
          </w:p>
        </w:tc>
        <w:tc>
          <w:tcPr>
            <w:tcW w:w="1051" w:type="dxa"/>
            <w:tcBorders>
              <w:bottom w:val="nil"/>
            </w:tcBorders>
          </w:tcPr>
          <w:p>
            <w:pPr>
              <w:pStyle w:val="0"/>
              <w:jc w:val="center"/>
            </w:pPr>
            <w:r>
              <w:rPr>
                <w:sz w:val="20"/>
              </w:rPr>
              <w:t xml:space="preserve">622,2</w:t>
            </w:r>
          </w:p>
        </w:tc>
        <w:tc>
          <w:tcPr>
            <w:tcW w:w="1033" w:type="dxa"/>
            <w:tcBorders>
              <w:bottom w:val="nil"/>
            </w:tcBorders>
          </w:tcPr>
          <w:p>
            <w:pPr>
              <w:pStyle w:val="0"/>
              <w:jc w:val="center"/>
            </w:pPr>
            <w:r>
              <w:rPr>
                <w:sz w:val="20"/>
              </w:rPr>
              <w:t xml:space="preserve">702,0</w:t>
            </w:r>
          </w:p>
        </w:tc>
        <w:tc>
          <w:tcPr>
            <w:tcW w:w="1065" w:type="dxa"/>
            <w:tcBorders>
              <w:bottom w:val="nil"/>
            </w:tcBorders>
          </w:tcPr>
          <w:p>
            <w:pPr>
              <w:pStyle w:val="0"/>
              <w:jc w:val="center"/>
            </w:pPr>
            <w:r>
              <w:rPr>
                <w:sz w:val="20"/>
              </w:rPr>
              <w:t xml:space="preserve">997,0</w:t>
            </w:r>
          </w:p>
        </w:tc>
        <w:tc>
          <w:tcPr>
            <w:tcW w:w="1049" w:type="dxa"/>
            <w:tcBorders>
              <w:bottom w:val="nil"/>
            </w:tcBorders>
          </w:tcPr>
          <w:p>
            <w:pPr>
              <w:pStyle w:val="0"/>
              <w:jc w:val="center"/>
            </w:pPr>
            <w:r>
              <w:rPr>
                <w:sz w:val="20"/>
              </w:rPr>
              <w:t xml:space="preserve">1056,0</w:t>
            </w:r>
          </w:p>
        </w:tc>
      </w:tr>
      <w:tr>
        <w:tblPrEx>
          <w:tblBorders>
            <w:insideH w:val="nil"/>
          </w:tblBorders>
        </w:tblPrEx>
        <w:tc>
          <w:tcPr>
            <w:gridSpan w:val="6"/>
            <w:tcW w:w="8903" w:type="dxa"/>
            <w:tcBorders>
              <w:top w:val="nil"/>
            </w:tcBorders>
          </w:tcPr>
          <w:p>
            <w:pPr>
              <w:pStyle w:val="0"/>
              <w:jc w:val="both"/>
            </w:pPr>
            <w:r>
              <w:rPr>
                <w:sz w:val="20"/>
              </w:rPr>
              <w:t xml:space="preserve">(п. 8 в ред. </w:t>
            </w:r>
            <w:hyperlink w:history="0" r:id="rId110"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tc>
      </w:tr>
      <w:tr>
        <w:tblPrEx>
          <w:tblBorders>
            <w:insideH w:val="nil"/>
          </w:tblBorders>
        </w:tblPrEx>
        <w:tc>
          <w:tcPr>
            <w:tcW w:w="680" w:type="dxa"/>
            <w:tcBorders>
              <w:bottom w:val="nil"/>
            </w:tcBorders>
          </w:tcPr>
          <w:p>
            <w:pPr>
              <w:pStyle w:val="0"/>
              <w:jc w:val="center"/>
            </w:pPr>
            <w:r>
              <w:rPr>
                <w:sz w:val="20"/>
              </w:rPr>
              <w:t xml:space="preserve">8.1</w:t>
            </w:r>
          </w:p>
        </w:tc>
        <w:tc>
          <w:tcPr>
            <w:tcW w:w="4025" w:type="dxa"/>
            <w:tcBorders>
              <w:bottom w:val="nil"/>
            </w:tcBorders>
          </w:tcPr>
          <w:p>
            <w:pPr>
              <w:pStyle w:val="0"/>
            </w:pPr>
            <w:r>
              <w:rPr>
                <w:sz w:val="20"/>
              </w:rPr>
              <w:t xml:space="preserve">Объем несырьевого неэнергетического экспорта, млн. долл. США</w:t>
            </w:r>
          </w:p>
        </w:tc>
        <w:tc>
          <w:tcPr>
            <w:tcW w:w="1051" w:type="dxa"/>
            <w:tcBorders>
              <w:bottom w:val="nil"/>
            </w:tcBorders>
          </w:tcPr>
          <w:p>
            <w:pPr>
              <w:pStyle w:val="0"/>
              <w:jc w:val="center"/>
            </w:pPr>
            <w:r>
              <w:rPr>
                <w:sz w:val="20"/>
              </w:rPr>
              <w:t xml:space="preserve">334,9</w:t>
            </w:r>
          </w:p>
        </w:tc>
        <w:tc>
          <w:tcPr>
            <w:tcW w:w="1033" w:type="dxa"/>
            <w:tcBorders>
              <w:bottom w:val="nil"/>
            </w:tcBorders>
          </w:tcPr>
          <w:p>
            <w:pPr>
              <w:pStyle w:val="0"/>
              <w:jc w:val="center"/>
            </w:pPr>
            <w:r>
              <w:rPr>
                <w:sz w:val="20"/>
              </w:rPr>
              <w:t xml:space="preserve">374,0</w:t>
            </w:r>
          </w:p>
        </w:tc>
        <w:tc>
          <w:tcPr>
            <w:tcW w:w="1065" w:type="dxa"/>
            <w:tcBorders>
              <w:bottom w:val="nil"/>
            </w:tcBorders>
          </w:tcPr>
          <w:p>
            <w:pPr>
              <w:pStyle w:val="0"/>
              <w:jc w:val="center"/>
            </w:pPr>
            <w:r>
              <w:rPr>
                <w:sz w:val="20"/>
              </w:rPr>
              <w:t xml:space="preserve">492,0</w:t>
            </w:r>
          </w:p>
        </w:tc>
        <w:tc>
          <w:tcPr>
            <w:tcW w:w="1049" w:type="dxa"/>
            <w:tcBorders>
              <w:bottom w:val="nil"/>
            </w:tcBorders>
          </w:tcPr>
          <w:p>
            <w:pPr>
              <w:pStyle w:val="0"/>
              <w:jc w:val="center"/>
            </w:pPr>
            <w:r>
              <w:rPr>
                <w:sz w:val="20"/>
              </w:rPr>
              <w:t xml:space="preserve">505,0</w:t>
            </w:r>
          </w:p>
        </w:tc>
      </w:tr>
      <w:tr>
        <w:tblPrEx>
          <w:tblBorders>
            <w:insideH w:val="nil"/>
          </w:tblBorders>
        </w:tblPrEx>
        <w:tc>
          <w:tcPr>
            <w:gridSpan w:val="6"/>
            <w:tcW w:w="8903" w:type="dxa"/>
            <w:tcBorders>
              <w:top w:val="nil"/>
            </w:tcBorders>
          </w:tcPr>
          <w:p>
            <w:pPr>
              <w:pStyle w:val="0"/>
              <w:jc w:val="both"/>
            </w:pPr>
            <w:r>
              <w:rPr>
                <w:sz w:val="20"/>
              </w:rPr>
              <w:t xml:space="preserve">(п. 8.1 в ред. </w:t>
            </w:r>
            <w:hyperlink w:history="0" r:id="rId111"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tc>
      </w:tr>
      <w:tr>
        <w:tc>
          <w:tcPr>
            <w:tcW w:w="680" w:type="dxa"/>
            <w:vAlign w:val="center"/>
          </w:tcPr>
          <w:p>
            <w:pPr>
              <w:pStyle w:val="0"/>
              <w:jc w:val="center"/>
            </w:pPr>
            <w:r>
              <w:rPr>
                <w:sz w:val="20"/>
              </w:rPr>
              <w:t xml:space="preserve">9</w:t>
            </w:r>
          </w:p>
        </w:tc>
        <w:tc>
          <w:tcPr>
            <w:tcW w:w="4025" w:type="dxa"/>
            <w:vAlign w:val="center"/>
          </w:tcPr>
          <w:p>
            <w:pPr>
              <w:pStyle w:val="0"/>
              <w:jc w:val="both"/>
            </w:pPr>
            <w:r>
              <w:rPr>
                <w:sz w:val="20"/>
              </w:rPr>
              <w:t xml:space="preserve">Общий объем инвестиций в основной капитал в расчете на душу населения, тыс. рублей в текущих ценах</w:t>
            </w:r>
          </w:p>
        </w:tc>
        <w:tc>
          <w:tcPr>
            <w:tcW w:w="1051" w:type="dxa"/>
            <w:vAlign w:val="center"/>
          </w:tcPr>
          <w:p>
            <w:pPr>
              <w:pStyle w:val="0"/>
              <w:jc w:val="center"/>
            </w:pPr>
            <w:r>
              <w:rPr>
                <w:sz w:val="20"/>
              </w:rPr>
              <w:t xml:space="preserve">90,2</w:t>
            </w:r>
          </w:p>
        </w:tc>
        <w:tc>
          <w:tcPr>
            <w:tcW w:w="1033" w:type="dxa"/>
            <w:vAlign w:val="center"/>
          </w:tcPr>
          <w:p>
            <w:pPr>
              <w:pStyle w:val="0"/>
              <w:jc w:val="center"/>
            </w:pPr>
            <w:r>
              <w:rPr>
                <w:sz w:val="20"/>
              </w:rPr>
              <w:t xml:space="preserve">139,1</w:t>
            </w:r>
          </w:p>
        </w:tc>
        <w:tc>
          <w:tcPr>
            <w:tcW w:w="1065" w:type="dxa"/>
            <w:vAlign w:val="center"/>
          </w:tcPr>
          <w:p>
            <w:pPr>
              <w:pStyle w:val="0"/>
              <w:jc w:val="center"/>
            </w:pPr>
            <w:r>
              <w:rPr>
                <w:sz w:val="20"/>
              </w:rPr>
              <w:t xml:space="preserve">173,1</w:t>
            </w:r>
          </w:p>
        </w:tc>
        <w:tc>
          <w:tcPr>
            <w:tcW w:w="1049" w:type="dxa"/>
            <w:vAlign w:val="center"/>
          </w:tcPr>
          <w:p>
            <w:pPr>
              <w:pStyle w:val="0"/>
              <w:jc w:val="center"/>
            </w:pPr>
            <w:r>
              <w:rPr>
                <w:sz w:val="20"/>
              </w:rPr>
              <w:t xml:space="preserve">213,9</w:t>
            </w:r>
          </w:p>
        </w:tc>
      </w:tr>
      <w:tr>
        <w:tc>
          <w:tcPr>
            <w:tcW w:w="680" w:type="dxa"/>
            <w:vAlign w:val="center"/>
          </w:tcPr>
          <w:p>
            <w:pPr>
              <w:pStyle w:val="0"/>
              <w:jc w:val="center"/>
            </w:pPr>
            <w:r>
              <w:rPr>
                <w:sz w:val="20"/>
              </w:rPr>
              <w:t xml:space="preserve">10</w:t>
            </w:r>
          </w:p>
        </w:tc>
        <w:tc>
          <w:tcPr>
            <w:tcW w:w="4025" w:type="dxa"/>
            <w:vAlign w:val="center"/>
          </w:tcPr>
          <w:p>
            <w:pPr>
              <w:pStyle w:val="0"/>
              <w:jc w:val="both"/>
            </w:pPr>
            <w:r>
              <w:rPr>
                <w:sz w:val="20"/>
              </w:rPr>
              <w:t xml:space="preserve">Доля продукции высокотехнологичных и наукоемких отраслей в валовом региональном продукте, %</w:t>
            </w:r>
          </w:p>
        </w:tc>
        <w:tc>
          <w:tcPr>
            <w:tcW w:w="1051" w:type="dxa"/>
            <w:vAlign w:val="center"/>
          </w:tcPr>
          <w:p>
            <w:pPr>
              <w:pStyle w:val="0"/>
              <w:jc w:val="center"/>
            </w:pPr>
            <w:r>
              <w:rPr>
                <w:sz w:val="20"/>
              </w:rPr>
              <w:t xml:space="preserve">17,4</w:t>
            </w:r>
          </w:p>
        </w:tc>
        <w:tc>
          <w:tcPr>
            <w:tcW w:w="1033" w:type="dxa"/>
            <w:vAlign w:val="center"/>
          </w:tcPr>
          <w:p>
            <w:pPr>
              <w:pStyle w:val="0"/>
              <w:jc w:val="center"/>
            </w:pPr>
            <w:r>
              <w:rPr>
                <w:sz w:val="20"/>
              </w:rPr>
              <w:t xml:space="preserve">17,4</w:t>
            </w:r>
          </w:p>
        </w:tc>
        <w:tc>
          <w:tcPr>
            <w:tcW w:w="1065" w:type="dxa"/>
            <w:vAlign w:val="center"/>
          </w:tcPr>
          <w:p>
            <w:pPr>
              <w:pStyle w:val="0"/>
              <w:jc w:val="center"/>
            </w:pPr>
            <w:r>
              <w:rPr>
                <w:sz w:val="20"/>
              </w:rPr>
              <w:t xml:space="preserve">20,6</w:t>
            </w:r>
          </w:p>
        </w:tc>
        <w:tc>
          <w:tcPr>
            <w:tcW w:w="1049" w:type="dxa"/>
            <w:vAlign w:val="center"/>
          </w:tcPr>
          <w:p>
            <w:pPr>
              <w:pStyle w:val="0"/>
              <w:jc w:val="center"/>
            </w:pPr>
            <w:r>
              <w:rPr>
                <w:sz w:val="20"/>
              </w:rPr>
              <w:t xml:space="preserve">22,0</w:t>
            </w:r>
          </w:p>
        </w:tc>
      </w:tr>
      <w:tr>
        <w:tc>
          <w:tcPr>
            <w:tcW w:w="680" w:type="dxa"/>
            <w:vAlign w:val="center"/>
          </w:tcPr>
          <w:p>
            <w:pPr>
              <w:pStyle w:val="0"/>
              <w:jc w:val="center"/>
            </w:pPr>
            <w:r>
              <w:rPr>
                <w:sz w:val="20"/>
              </w:rPr>
              <w:t xml:space="preserve">11</w:t>
            </w:r>
          </w:p>
        </w:tc>
        <w:tc>
          <w:tcPr>
            <w:tcW w:w="4025" w:type="dxa"/>
            <w:vAlign w:val="center"/>
          </w:tcPr>
          <w:p>
            <w:pPr>
              <w:pStyle w:val="0"/>
              <w:jc w:val="both"/>
            </w:pPr>
            <w:r>
              <w:rPr>
                <w:sz w:val="20"/>
              </w:rPr>
              <w:t xml:space="preserve">Затраты на исследования и разработки, в % к ВРП</w:t>
            </w:r>
          </w:p>
        </w:tc>
        <w:tc>
          <w:tcPr>
            <w:tcW w:w="1051" w:type="dxa"/>
            <w:vAlign w:val="center"/>
          </w:tcPr>
          <w:p>
            <w:pPr>
              <w:pStyle w:val="0"/>
              <w:jc w:val="center"/>
            </w:pPr>
            <w:r>
              <w:rPr>
                <w:sz w:val="20"/>
              </w:rPr>
              <w:t xml:space="preserve">1,53</w:t>
            </w:r>
          </w:p>
        </w:tc>
        <w:tc>
          <w:tcPr>
            <w:tcW w:w="1033" w:type="dxa"/>
            <w:vAlign w:val="center"/>
          </w:tcPr>
          <w:p>
            <w:pPr>
              <w:pStyle w:val="0"/>
              <w:jc w:val="center"/>
            </w:pPr>
            <w:r>
              <w:rPr>
                <w:sz w:val="20"/>
              </w:rPr>
              <w:t xml:space="preserve">1,55</w:t>
            </w:r>
          </w:p>
        </w:tc>
        <w:tc>
          <w:tcPr>
            <w:tcW w:w="1065" w:type="dxa"/>
            <w:vAlign w:val="center"/>
          </w:tcPr>
          <w:p>
            <w:pPr>
              <w:pStyle w:val="0"/>
              <w:jc w:val="center"/>
            </w:pPr>
            <w:r>
              <w:rPr>
                <w:sz w:val="20"/>
              </w:rPr>
              <w:t xml:space="preserve">1,61</w:t>
            </w:r>
          </w:p>
        </w:tc>
        <w:tc>
          <w:tcPr>
            <w:tcW w:w="1049" w:type="dxa"/>
            <w:vAlign w:val="center"/>
          </w:tcPr>
          <w:p>
            <w:pPr>
              <w:pStyle w:val="0"/>
              <w:jc w:val="center"/>
            </w:pPr>
            <w:r>
              <w:rPr>
                <w:sz w:val="20"/>
              </w:rPr>
              <w:t xml:space="preserve">1,70</w:t>
            </w:r>
          </w:p>
        </w:tc>
      </w:tr>
      <w:tr>
        <w:tc>
          <w:tcPr>
            <w:tcW w:w="680" w:type="dxa"/>
            <w:vAlign w:val="center"/>
          </w:tcPr>
          <w:p>
            <w:pPr>
              <w:pStyle w:val="0"/>
              <w:jc w:val="center"/>
            </w:pPr>
            <w:r>
              <w:rPr>
                <w:sz w:val="20"/>
              </w:rPr>
              <w:t xml:space="preserve">12</w:t>
            </w:r>
          </w:p>
        </w:tc>
        <w:tc>
          <w:tcPr>
            <w:tcW w:w="4025" w:type="dxa"/>
            <w:vAlign w:val="center"/>
          </w:tcPr>
          <w:p>
            <w:pPr>
              <w:pStyle w:val="0"/>
              <w:jc w:val="both"/>
            </w:pPr>
            <w:r>
              <w:rPr>
                <w:sz w:val="20"/>
              </w:rPr>
              <w:t xml:space="preserve">Произведено сельскохозяйственной продукции в хозяйствах всех категорий, тыс. тонн:</w:t>
            </w:r>
          </w:p>
        </w:tc>
        <w:tc>
          <w:tcPr>
            <w:tcW w:w="1051" w:type="dxa"/>
            <w:vAlign w:val="center"/>
          </w:tcPr>
          <w:p>
            <w:pPr>
              <w:pStyle w:val="0"/>
            </w:pPr>
            <w:r>
              <w:rPr>
                <w:sz w:val="20"/>
              </w:rPr>
            </w:r>
          </w:p>
        </w:tc>
        <w:tc>
          <w:tcPr>
            <w:tcW w:w="1033" w:type="dxa"/>
            <w:vAlign w:val="center"/>
          </w:tcPr>
          <w:p>
            <w:pPr>
              <w:pStyle w:val="0"/>
            </w:pPr>
            <w:r>
              <w:rPr>
                <w:sz w:val="20"/>
              </w:rPr>
            </w:r>
          </w:p>
        </w:tc>
        <w:tc>
          <w:tcPr>
            <w:tcW w:w="1065" w:type="dxa"/>
            <w:vAlign w:val="center"/>
          </w:tcPr>
          <w:p>
            <w:pPr>
              <w:pStyle w:val="0"/>
            </w:pPr>
            <w:r>
              <w:rPr>
                <w:sz w:val="20"/>
              </w:rPr>
            </w:r>
          </w:p>
        </w:tc>
        <w:tc>
          <w:tcPr>
            <w:tcW w:w="1049" w:type="dxa"/>
            <w:vAlign w:val="center"/>
          </w:tcPr>
          <w:p>
            <w:pPr>
              <w:pStyle w:val="0"/>
            </w:pPr>
            <w:r>
              <w:rPr>
                <w:sz w:val="20"/>
              </w:rPr>
            </w:r>
          </w:p>
        </w:tc>
      </w:tr>
      <w:tr>
        <w:tc>
          <w:tcPr>
            <w:tcW w:w="680" w:type="dxa"/>
            <w:vAlign w:val="center"/>
          </w:tcPr>
          <w:p>
            <w:pPr>
              <w:pStyle w:val="0"/>
              <w:jc w:val="center"/>
            </w:pPr>
            <w:r>
              <w:rPr>
                <w:sz w:val="20"/>
              </w:rPr>
              <w:t xml:space="preserve">12.1</w:t>
            </w:r>
          </w:p>
        </w:tc>
        <w:tc>
          <w:tcPr>
            <w:tcW w:w="4025" w:type="dxa"/>
            <w:vAlign w:val="center"/>
          </w:tcPr>
          <w:p>
            <w:pPr>
              <w:pStyle w:val="0"/>
              <w:jc w:val="both"/>
            </w:pPr>
            <w:r>
              <w:rPr>
                <w:sz w:val="20"/>
              </w:rPr>
              <w:t xml:space="preserve">зерно (в весе после доработки)</w:t>
            </w:r>
          </w:p>
        </w:tc>
        <w:tc>
          <w:tcPr>
            <w:tcW w:w="1051" w:type="dxa"/>
          </w:tcPr>
          <w:p>
            <w:pPr>
              <w:pStyle w:val="0"/>
              <w:jc w:val="center"/>
            </w:pPr>
            <w:r>
              <w:rPr>
                <w:sz w:val="20"/>
              </w:rPr>
              <w:t xml:space="preserve">5044</w:t>
            </w:r>
          </w:p>
        </w:tc>
        <w:tc>
          <w:tcPr>
            <w:tcW w:w="1033" w:type="dxa"/>
          </w:tcPr>
          <w:p>
            <w:pPr>
              <w:pStyle w:val="0"/>
              <w:jc w:val="center"/>
            </w:pPr>
            <w:r>
              <w:rPr>
                <w:sz w:val="20"/>
              </w:rPr>
              <w:t xml:space="preserve">3830</w:t>
            </w:r>
          </w:p>
        </w:tc>
        <w:tc>
          <w:tcPr>
            <w:tcW w:w="1065" w:type="dxa"/>
          </w:tcPr>
          <w:p>
            <w:pPr>
              <w:pStyle w:val="0"/>
              <w:jc w:val="center"/>
            </w:pPr>
            <w:r>
              <w:rPr>
                <w:sz w:val="20"/>
              </w:rPr>
              <w:t xml:space="preserve">3995</w:t>
            </w:r>
          </w:p>
        </w:tc>
        <w:tc>
          <w:tcPr>
            <w:tcW w:w="1049" w:type="dxa"/>
          </w:tcPr>
          <w:p>
            <w:pPr>
              <w:pStyle w:val="0"/>
              <w:jc w:val="center"/>
            </w:pPr>
            <w:r>
              <w:rPr>
                <w:sz w:val="20"/>
              </w:rPr>
              <w:t xml:space="preserve">4310</w:t>
            </w:r>
          </w:p>
        </w:tc>
      </w:tr>
      <w:tr>
        <w:tc>
          <w:tcPr>
            <w:tcW w:w="680" w:type="dxa"/>
            <w:vAlign w:val="center"/>
          </w:tcPr>
          <w:p>
            <w:pPr>
              <w:pStyle w:val="0"/>
              <w:jc w:val="center"/>
            </w:pPr>
            <w:r>
              <w:rPr>
                <w:sz w:val="20"/>
              </w:rPr>
              <w:t xml:space="preserve">12.2</w:t>
            </w:r>
          </w:p>
        </w:tc>
        <w:tc>
          <w:tcPr>
            <w:tcW w:w="4025" w:type="dxa"/>
            <w:vAlign w:val="center"/>
          </w:tcPr>
          <w:p>
            <w:pPr>
              <w:pStyle w:val="0"/>
              <w:jc w:val="both"/>
            </w:pPr>
            <w:r>
              <w:rPr>
                <w:sz w:val="20"/>
              </w:rPr>
              <w:t xml:space="preserve">сахарная свекла</w:t>
            </w:r>
          </w:p>
        </w:tc>
        <w:tc>
          <w:tcPr>
            <w:tcW w:w="1051" w:type="dxa"/>
          </w:tcPr>
          <w:p>
            <w:pPr>
              <w:pStyle w:val="0"/>
              <w:jc w:val="center"/>
            </w:pPr>
            <w:r>
              <w:rPr>
                <w:sz w:val="20"/>
              </w:rPr>
              <w:t xml:space="preserve">5546</w:t>
            </w:r>
          </w:p>
        </w:tc>
        <w:tc>
          <w:tcPr>
            <w:tcW w:w="1033" w:type="dxa"/>
          </w:tcPr>
          <w:p>
            <w:pPr>
              <w:pStyle w:val="0"/>
              <w:jc w:val="center"/>
            </w:pPr>
            <w:r>
              <w:rPr>
                <w:sz w:val="20"/>
              </w:rPr>
              <w:t xml:space="preserve">3800</w:t>
            </w:r>
          </w:p>
        </w:tc>
        <w:tc>
          <w:tcPr>
            <w:tcW w:w="1065" w:type="dxa"/>
          </w:tcPr>
          <w:p>
            <w:pPr>
              <w:pStyle w:val="0"/>
              <w:jc w:val="center"/>
            </w:pPr>
            <w:r>
              <w:rPr>
                <w:sz w:val="20"/>
              </w:rPr>
              <w:t xml:space="preserve">4180</w:t>
            </w:r>
          </w:p>
        </w:tc>
        <w:tc>
          <w:tcPr>
            <w:tcW w:w="1049" w:type="dxa"/>
          </w:tcPr>
          <w:p>
            <w:pPr>
              <w:pStyle w:val="0"/>
              <w:jc w:val="center"/>
            </w:pPr>
            <w:r>
              <w:rPr>
                <w:sz w:val="20"/>
              </w:rPr>
              <w:t xml:space="preserve">4350</w:t>
            </w:r>
          </w:p>
        </w:tc>
      </w:tr>
      <w:tr>
        <w:tc>
          <w:tcPr>
            <w:tcW w:w="680" w:type="dxa"/>
            <w:vAlign w:val="center"/>
          </w:tcPr>
          <w:p>
            <w:pPr>
              <w:pStyle w:val="0"/>
              <w:jc w:val="center"/>
            </w:pPr>
            <w:r>
              <w:rPr>
                <w:sz w:val="20"/>
              </w:rPr>
              <w:t xml:space="preserve">12.3</w:t>
            </w:r>
          </w:p>
        </w:tc>
        <w:tc>
          <w:tcPr>
            <w:tcW w:w="4025" w:type="dxa"/>
            <w:vAlign w:val="center"/>
          </w:tcPr>
          <w:p>
            <w:pPr>
              <w:pStyle w:val="0"/>
              <w:jc w:val="both"/>
            </w:pPr>
            <w:r>
              <w:rPr>
                <w:sz w:val="20"/>
              </w:rPr>
              <w:t xml:space="preserve">скот и птица на убой в живом весе</w:t>
            </w:r>
          </w:p>
        </w:tc>
        <w:tc>
          <w:tcPr>
            <w:tcW w:w="1051" w:type="dxa"/>
          </w:tcPr>
          <w:p>
            <w:pPr>
              <w:pStyle w:val="0"/>
              <w:jc w:val="center"/>
            </w:pPr>
            <w:r>
              <w:rPr>
                <w:sz w:val="20"/>
              </w:rPr>
              <w:t xml:space="preserve">527,4</w:t>
            </w:r>
          </w:p>
        </w:tc>
        <w:tc>
          <w:tcPr>
            <w:tcW w:w="1033" w:type="dxa"/>
          </w:tcPr>
          <w:p>
            <w:pPr>
              <w:pStyle w:val="0"/>
              <w:jc w:val="center"/>
            </w:pPr>
            <w:r>
              <w:rPr>
                <w:sz w:val="20"/>
              </w:rPr>
              <w:t xml:space="preserve">546</w:t>
            </w:r>
          </w:p>
        </w:tc>
        <w:tc>
          <w:tcPr>
            <w:tcW w:w="1065" w:type="dxa"/>
          </w:tcPr>
          <w:p>
            <w:pPr>
              <w:pStyle w:val="0"/>
              <w:jc w:val="center"/>
            </w:pPr>
            <w:r>
              <w:rPr>
                <w:sz w:val="20"/>
              </w:rPr>
              <w:t xml:space="preserve">570</w:t>
            </w:r>
          </w:p>
        </w:tc>
        <w:tc>
          <w:tcPr>
            <w:tcW w:w="1049" w:type="dxa"/>
          </w:tcPr>
          <w:p>
            <w:pPr>
              <w:pStyle w:val="0"/>
              <w:jc w:val="center"/>
            </w:pPr>
            <w:r>
              <w:rPr>
                <w:sz w:val="20"/>
              </w:rPr>
              <w:t xml:space="preserve">580</w:t>
            </w:r>
          </w:p>
        </w:tc>
      </w:tr>
      <w:tr>
        <w:tc>
          <w:tcPr>
            <w:tcW w:w="680" w:type="dxa"/>
            <w:vAlign w:val="center"/>
          </w:tcPr>
          <w:p>
            <w:pPr>
              <w:pStyle w:val="0"/>
              <w:jc w:val="center"/>
            </w:pPr>
            <w:r>
              <w:rPr>
                <w:sz w:val="20"/>
              </w:rPr>
              <w:t xml:space="preserve">12.3</w:t>
            </w:r>
          </w:p>
        </w:tc>
        <w:tc>
          <w:tcPr>
            <w:tcW w:w="4025" w:type="dxa"/>
            <w:vAlign w:val="center"/>
          </w:tcPr>
          <w:p>
            <w:pPr>
              <w:pStyle w:val="0"/>
              <w:jc w:val="both"/>
            </w:pPr>
            <w:r>
              <w:rPr>
                <w:sz w:val="20"/>
              </w:rPr>
              <w:t xml:space="preserve">молоко</w:t>
            </w:r>
          </w:p>
        </w:tc>
        <w:tc>
          <w:tcPr>
            <w:tcW w:w="1051" w:type="dxa"/>
            <w:vAlign w:val="bottom"/>
          </w:tcPr>
          <w:p>
            <w:pPr>
              <w:pStyle w:val="0"/>
              <w:jc w:val="center"/>
            </w:pPr>
            <w:r>
              <w:rPr>
                <w:sz w:val="20"/>
              </w:rPr>
              <w:t xml:space="preserve">276,5</w:t>
            </w:r>
          </w:p>
        </w:tc>
        <w:tc>
          <w:tcPr>
            <w:tcW w:w="1033" w:type="dxa"/>
            <w:vAlign w:val="bottom"/>
          </w:tcPr>
          <w:p>
            <w:pPr>
              <w:pStyle w:val="0"/>
              <w:jc w:val="center"/>
            </w:pPr>
            <w:r>
              <w:rPr>
                <w:sz w:val="20"/>
              </w:rPr>
              <w:t xml:space="preserve">294,7</w:t>
            </w:r>
          </w:p>
        </w:tc>
        <w:tc>
          <w:tcPr>
            <w:tcW w:w="1065" w:type="dxa"/>
            <w:vAlign w:val="bottom"/>
          </w:tcPr>
          <w:p>
            <w:pPr>
              <w:pStyle w:val="0"/>
              <w:jc w:val="center"/>
            </w:pPr>
            <w:r>
              <w:rPr>
                <w:sz w:val="20"/>
              </w:rPr>
              <w:t xml:space="preserve">301,0</w:t>
            </w:r>
          </w:p>
        </w:tc>
        <w:tc>
          <w:tcPr>
            <w:tcW w:w="1049" w:type="dxa"/>
            <w:vAlign w:val="bottom"/>
          </w:tcPr>
          <w:p>
            <w:pPr>
              <w:pStyle w:val="0"/>
              <w:jc w:val="center"/>
            </w:pPr>
            <w:r>
              <w:rPr>
                <w:sz w:val="20"/>
              </w:rPr>
              <w:t xml:space="preserve">301,0</w:t>
            </w:r>
          </w:p>
        </w:tc>
      </w:tr>
      <w:tr>
        <w:tc>
          <w:tcPr>
            <w:tcW w:w="680" w:type="dxa"/>
            <w:vAlign w:val="center"/>
          </w:tcPr>
          <w:p>
            <w:pPr>
              <w:pStyle w:val="0"/>
              <w:jc w:val="center"/>
            </w:pPr>
            <w:r>
              <w:rPr>
                <w:sz w:val="20"/>
              </w:rPr>
              <w:t xml:space="preserve">13</w:t>
            </w:r>
          </w:p>
        </w:tc>
        <w:tc>
          <w:tcPr>
            <w:tcW w:w="4025" w:type="dxa"/>
            <w:vAlign w:val="center"/>
          </w:tcPr>
          <w:p>
            <w:pPr>
              <w:pStyle w:val="0"/>
              <w:jc w:val="both"/>
            </w:pPr>
            <w:r>
              <w:rPr>
                <w:sz w:val="20"/>
              </w:rPr>
              <w:t xml:space="preserve">Доля сельского населения в общей численности населения Курской области, %</w:t>
            </w:r>
          </w:p>
        </w:tc>
        <w:tc>
          <w:tcPr>
            <w:tcW w:w="1051" w:type="dxa"/>
            <w:vAlign w:val="center"/>
          </w:tcPr>
          <w:p>
            <w:pPr>
              <w:pStyle w:val="0"/>
              <w:jc w:val="center"/>
            </w:pPr>
            <w:r>
              <w:rPr>
                <w:sz w:val="20"/>
              </w:rPr>
              <w:t xml:space="preserve">32,1</w:t>
            </w:r>
          </w:p>
        </w:tc>
        <w:tc>
          <w:tcPr>
            <w:tcW w:w="1033" w:type="dxa"/>
            <w:vAlign w:val="center"/>
          </w:tcPr>
          <w:p>
            <w:pPr>
              <w:pStyle w:val="0"/>
              <w:jc w:val="center"/>
            </w:pPr>
            <w:r>
              <w:rPr>
                <w:sz w:val="20"/>
              </w:rPr>
              <w:t xml:space="preserve">31,7</w:t>
            </w:r>
          </w:p>
        </w:tc>
        <w:tc>
          <w:tcPr>
            <w:tcW w:w="1065" w:type="dxa"/>
            <w:vAlign w:val="center"/>
          </w:tcPr>
          <w:p>
            <w:pPr>
              <w:pStyle w:val="0"/>
              <w:jc w:val="center"/>
            </w:pPr>
            <w:r>
              <w:rPr>
                <w:sz w:val="20"/>
              </w:rPr>
              <w:t xml:space="preserve">32,0</w:t>
            </w:r>
          </w:p>
        </w:tc>
        <w:tc>
          <w:tcPr>
            <w:tcW w:w="1049" w:type="dxa"/>
            <w:vAlign w:val="center"/>
          </w:tcPr>
          <w:p>
            <w:pPr>
              <w:pStyle w:val="0"/>
              <w:jc w:val="center"/>
            </w:pPr>
            <w:r>
              <w:rPr>
                <w:sz w:val="20"/>
              </w:rPr>
              <w:t xml:space="preserve">32,0</w:t>
            </w:r>
          </w:p>
        </w:tc>
      </w:tr>
      <w:tr>
        <w:tc>
          <w:tcPr>
            <w:tcW w:w="680" w:type="dxa"/>
            <w:vAlign w:val="center"/>
          </w:tcPr>
          <w:p>
            <w:pPr>
              <w:pStyle w:val="0"/>
              <w:jc w:val="center"/>
            </w:pPr>
            <w:r>
              <w:rPr>
                <w:sz w:val="20"/>
              </w:rPr>
              <w:t xml:space="preserve">14</w:t>
            </w:r>
          </w:p>
        </w:tc>
        <w:tc>
          <w:tcPr>
            <w:tcW w:w="4025" w:type="dxa"/>
            <w:vAlign w:val="center"/>
          </w:tcPr>
          <w:p>
            <w:pPr>
              <w:pStyle w:val="0"/>
              <w:jc w:val="both"/>
            </w:pPr>
            <w:r>
              <w:rPr>
                <w:sz w:val="20"/>
              </w:rPr>
              <w:t xml:space="preserve">Доля общей площади благоустроенных жилых помещений в сельских населенных пунктах, %</w:t>
            </w:r>
          </w:p>
        </w:tc>
        <w:tc>
          <w:tcPr>
            <w:tcW w:w="1051" w:type="dxa"/>
            <w:vAlign w:val="center"/>
          </w:tcPr>
          <w:p>
            <w:pPr>
              <w:pStyle w:val="0"/>
              <w:jc w:val="center"/>
            </w:pPr>
            <w:r>
              <w:rPr>
                <w:sz w:val="20"/>
              </w:rPr>
              <w:t xml:space="preserve">38,5</w:t>
            </w:r>
          </w:p>
        </w:tc>
        <w:tc>
          <w:tcPr>
            <w:tcW w:w="1033" w:type="dxa"/>
            <w:vAlign w:val="center"/>
          </w:tcPr>
          <w:p>
            <w:pPr>
              <w:pStyle w:val="0"/>
              <w:jc w:val="center"/>
            </w:pPr>
            <w:r>
              <w:rPr>
                <w:sz w:val="20"/>
              </w:rPr>
              <w:t xml:space="preserve">39,0</w:t>
            </w:r>
          </w:p>
        </w:tc>
        <w:tc>
          <w:tcPr>
            <w:tcW w:w="1065" w:type="dxa"/>
            <w:vAlign w:val="center"/>
          </w:tcPr>
          <w:p>
            <w:pPr>
              <w:pStyle w:val="0"/>
              <w:jc w:val="center"/>
            </w:pPr>
            <w:r>
              <w:rPr>
                <w:sz w:val="20"/>
              </w:rPr>
              <w:t xml:space="preserve">41,0</w:t>
            </w:r>
          </w:p>
        </w:tc>
        <w:tc>
          <w:tcPr>
            <w:tcW w:w="1049" w:type="dxa"/>
            <w:vAlign w:val="center"/>
          </w:tcPr>
          <w:p>
            <w:pPr>
              <w:pStyle w:val="0"/>
              <w:jc w:val="center"/>
            </w:pPr>
            <w:r>
              <w:rPr>
                <w:sz w:val="20"/>
              </w:rPr>
              <w:t xml:space="preserve">41,0</w:t>
            </w:r>
          </w:p>
        </w:tc>
      </w:tr>
      <w:tr>
        <w:tc>
          <w:tcPr>
            <w:tcW w:w="680" w:type="dxa"/>
            <w:vAlign w:val="center"/>
          </w:tcPr>
          <w:p>
            <w:pPr>
              <w:pStyle w:val="0"/>
              <w:jc w:val="center"/>
            </w:pPr>
            <w:r>
              <w:rPr>
                <w:sz w:val="20"/>
              </w:rPr>
              <w:t xml:space="preserve">15</w:t>
            </w:r>
          </w:p>
        </w:tc>
        <w:tc>
          <w:tcPr>
            <w:tcW w:w="4025" w:type="dxa"/>
            <w:vAlign w:val="center"/>
          </w:tcPr>
          <w:p>
            <w:pPr>
              <w:pStyle w:val="0"/>
              <w:jc w:val="both"/>
            </w:pPr>
            <w:r>
              <w:rPr>
                <w:sz w:val="20"/>
              </w:rPr>
              <w:t xml:space="preserve">Выброшено в атмосферу загрязняющих веществ, отходящих от стационарных источников, тыс. тонн</w:t>
            </w:r>
          </w:p>
        </w:tc>
        <w:tc>
          <w:tcPr>
            <w:tcW w:w="1051" w:type="dxa"/>
            <w:vAlign w:val="center"/>
          </w:tcPr>
          <w:p>
            <w:pPr>
              <w:pStyle w:val="0"/>
              <w:jc w:val="center"/>
            </w:pPr>
            <w:r>
              <w:rPr>
                <w:sz w:val="20"/>
              </w:rPr>
              <w:t xml:space="preserve">39,8</w:t>
            </w:r>
          </w:p>
        </w:tc>
        <w:tc>
          <w:tcPr>
            <w:tcW w:w="1033" w:type="dxa"/>
            <w:vAlign w:val="center"/>
          </w:tcPr>
          <w:p>
            <w:pPr>
              <w:pStyle w:val="0"/>
              <w:jc w:val="center"/>
            </w:pPr>
            <w:r>
              <w:rPr>
                <w:sz w:val="20"/>
              </w:rPr>
              <w:t xml:space="preserve">37,3</w:t>
            </w:r>
          </w:p>
        </w:tc>
        <w:tc>
          <w:tcPr>
            <w:tcW w:w="1065" w:type="dxa"/>
            <w:vAlign w:val="center"/>
          </w:tcPr>
          <w:p>
            <w:pPr>
              <w:pStyle w:val="0"/>
              <w:jc w:val="center"/>
            </w:pPr>
            <w:r>
              <w:rPr>
                <w:sz w:val="20"/>
              </w:rPr>
              <w:t xml:space="preserve">33,4</w:t>
            </w:r>
          </w:p>
        </w:tc>
        <w:tc>
          <w:tcPr>
            <w:tcW w:w="1049" w:type="dxa"/>
            <w:vAlign w:val="center"/>
          </w:tcPr>
          <w:p>
            <w:pPr>
              <w:pStyle w:val="0"/>
              <w:jc w:val="center"/>
            </w:pPr>
            <w:r>
              <w:rPr>
                <w:sz w:val="20"/>
              </w:rPr>
              <w:t xml:space="preserve">30,0</w:t>
            </w:r>
          </w:p>
        </w:tc>
      </w:tr>
      <w:tr>
        <w:tc>
          <w:tcPr>
            <w:tcW w:w="680" w:type="dxa"/>
            <w:vAlign w:val="center"/>
          </w:tcPr>
          <w:p>
            <w:pPr>
              <w:pStyle w:val="0"/>
              <w:jc w:val="center"/>
            </w:pPr>
            <w:r>
              <w:rPr>
                <w:sz w:val="20"/>
              </w:rPr>
              <w:t xml:space="preserve">16</w:t>
            </w:r>
          </w:p>
        </w:tc>
        <w:tc>
          <w:tcPr>
            <w:tcW w:w="4025" w:type="dxa"/>
            <w:vAlign w:val="center"/>
          </w:tcPr>
          <w:p>
            <w:pPr>
              <w:pStyle w:val="0"/>
              <w:jc w:val="both"/>
            </w:pPr>
            <w:r>
              <w:rPr>
                <w:sz w:val="20"/>
              </w:rPr>
              <w:t xml:space="preserve">Уровень преступности (преступлений на 100 тыс. человек населения)</w:t>
            </w:r>
          </w:p>
        </w:tc>
        <w:tc>
          <w:tcPr>
            <w:tcW w:w="1051" w:type="dxa"/>
            <w:vAlign w:val="center"/>
          </w:tcPr>
          <w:p>
            <w:pPr>
              <w:pStyle w:val="0"/>
              <w:jc w:val="center"/>
            </w:pPr>
            <w:r>
              <w:rPr>
                <w:sz w:val="20"/>
              </w:rPr>
              <w:t xml:space="preserve">1331</w:t>
            </w:r>
          </w:p>
        </w:tc>
        <w:tc>
          <w:tcPr>
            <w:tcW w:w="1033" w:type="dxa"/>
            <w:vAlign w:val="center"/>
          </w:tcPr>
          <w:p>
            <w:pPr>
              <w:pStyle w:val="0"/>
              <w:jc w:val="center"/>
            </w:pPr>
            <w:r>
              <w:rPr>
                <w:sz w:val="20"/>
              </w:rPr>
              <w:t xml:space="preserve">1328</w:t>
            </w:r>
          </w:p>
        </w:tc>
        <w:tc>
          <w:tcPr>
            <w:tcW w:w="1065" w:type="dxa"/>
            <w:vAlign w:val="center"/>
          </w:tcPr>
          <w:p>
            <w:pPr>
              <w:pStyle w:val="0"/>
              <w:jc w:val="center"/>
            </w:pPr>
            <w:r>
              <w:rPr>
                <w:sz w:val="20"/>
              </w:rPr>
              <w:t xml:space="preserve">1324</w:t>
            </w:r>
          </w:p>
        </w:tc>
        <w:tc>
          <w:tcPr>
            <w:tcW w:w="1049" w:type="dxa"/>
            <w:vAlign w:val="center"/>
          </w:tcPr>
          <w:p>
            <w:pPr>
              <w:pStyle w:val="0"/>
              <w:jc w:val="center"/>
            </w:pPr>
            <w:r>
              <w:rPr>
                <w:sz w:val="20"/>
              </w:rPr>
              <w:t xml:space="preserve">1319</w:t>
            </w:r>
          </w:p>
        </w:tc>
      </w:tr>
      <w:tr>
        <w:tc>
          <w:tcPr>
            <w:tcW w:w="680" w:type="dxa"/>
            <w:vAlign w:val="center"/>
          </w:tcPr>
          <w:p>
            <w:pPr>
              <w:pStyle w:val="0"/>
              <w:jc w:val="center"/>
            </w:pPr>
            <w:r>
              <w:rPr>
                <w:sz w:val="20"/>
              </w:rPr>
              <w:t xml:space="preserve">17</w:t>
            </w:r>
          </w:p>
        </w:tc>
        <w:tc>
          <w:tcPr>
            <w:tcW w:w="4025" w:type="dxa"/>
            <w:vAlign w:val="center"/>
          </w:tcPr>
          <w:p>
            <w:pPr>
              <w:pStyle w:val="0"/>
              <w:jc w:val="both"/>
            </w:pPr>
            <w:r>
              <w:rPr>
                <w:sz w:val="20"/>
              </w:rPr>
              <w:t xml:space="preserve">Количество погибших в дорожно-транспортных происшествиях, человек на 100 тысяч населения</w:t>
            </w:r>
          </w:p>
        </w:tc>
        <w:tc>
          <w:tcPr>
            <w:tcW w:w="1051" w:type="dxa"/>
            <w:vAlign w:val="center"/>
          </w:tcPr>
          <w:p>
            <w:pPr>
              <w:pStyle w:val="0"/>
              <w:jc w:val="center"/>
            </w:pPr>
            <w:r>
              <w:rPr>
                <w:sz w:val="20"/>
              </w:rPr>
              <w:t xml:space="preserve">18,0</w:t>
            </w:r>
          </w:p>
        </w:tc>
        <w:tc>
          <w:tcPr>
            <w:tcW w:w="1033" w:type="dxa"/>
            <w:vAlign w:val="center"/>
          </w:tcPr>
          <w:p>
            <w:pPr>
              <w:pStyle w:val="0"/>
              <w:jc w:val="center"/>
            </w:pPr>
            <w:r>
              <w:rPr>
                <w:sz w:val="20"/>
              </w:rPr>
              <w:t xml:space="preserve">15,13</w:t>
            </w:r>
          </w:p>
        </w:tc>
        <w:tc>
          <w:tcPr>
            <w:tcW w:w="1065" w:type="dxa"/>
            <w:vAlign w:val="center"/>
          </w:tcPr>
          <w:p>
            <w:pPr>
              <w:pStyle w:val="0"/>
              <w:jc w:val="center"/>
            </w:pPr>
            <w:r>
              <w:rPr>
                <w:sz w:val="20"/>
              </w:rPr>
              <w:t xml:space="preserve">5,1</w:t>
            </w:r>
          </w:p>
        </w:tc>
        <w:tc>
          <w:tcPr>
            <w:tcW w:w="1049" w:type="dxa"/>
            <w:vAlign w:val="center"/>
          </w:tcPr>
          <w:p>
            <w:pPr>
              <w:pStyle w:val="0"/>
              <w:jc w:val="center"/>
            </w:pPr>
            <w:r>
              <w:rPr>
                <w:sz w:val="20"/>
              </w:rPr>
              <w:t xml:space="preserve">4,5</w:t>
            </w:r>
          </w:p>
        </w:tc>
      </w:tr>
      <w:tr>
        <w:tc>
          <w:tcPr>
            <w:tcW w:w="680" w:type="dxa"/>
            <w:vAlign w:val="center"/>
          </w:tcPr>
          <w:p>
            <w:pPr>
              <w:pStyle w:val="0"/>
              <w:jc w:val="center"/>
            </w:pPr>
            <w:r>
              <w:rPr>
                <w:sz w:val="20"/>
              </w:rPr>
              <w:t xml:space="preserve">18</w:t>
            </w:r>
          </w:p>
        </w:tc>
        <w:tc>
          <w:tcPr>
            <w:tcW w:w="4025" w:type="dxa"/>
            <w:vAlign w:val="center"/>
          </w:tcPr>
          <w:p>
            <w:pPr>
              <w:pStyle w:val="0"/>
              <w:jc w:val="both"/>
            </w:pPr>
            <w:r>
              <w:rPr>
                <w:sz w:val="20"/>
              </w:rPr>
              <w:t xml:space="preserve">Снижение количества пожаров, случаев</w:t>
            </w:r>
          </w:p>
        </w:tc>
        <w:tc>
          <w:tcPr>
            <w:tcW w:w="1051" w:type="dxa"/>
            <w:vAlign w:val="center"/>
          </w:tcPr>
          <w:p>
            <w:pPr>
              <w:pStyle w:val="0"/>
              <w:jc w:val="center"/>
            </w:pPr>
            <w:r>
              <w:rPr>
                <w:sz w:val="20"/>
              </w:rPr>
              <w:t xml:space="preserve">560</w:t>
            </w:r>
          </w:p>
        </w:tc>
        <w:tc>
          <w:tcPr>
            <w:tcW w:w="1033" w:type="dxa"/>
            <w:vAlign w:val="center"/>
          </w:tcPr>
          <w:p>
            <w:pPr>
              <w:pStyle w:val="0"/>
              <w:jc w:val="center"/>
            </w:pPr>
            <w:r>
              <w:rPr>
                <w:sz w:val="20"/>
              </w:rPr>
              <w:t xml:space="preserve">6800</w:t>
            </w:r>
          </w:p>
        </w:tc>
        <w:tc>
          <w:tcPr>
            <w:tcW w:w="1065" w:type="dxa"/>
            <w:vAlign w:val="center"/>
          </w:tcPr>
          <w:p>
            <w:pPr>
              <w:pStyle w:val="0"/>
              <w:jc w:val="center"/>
            </w:pPr>
            <w:r>
              <w:rPr>
                <w:sz w:val="20"/>
              </w:rPr>
              <w:t xml:space="preserve">6460</w:t>
            </w:r>
          </w:p>
        </w:tc>
        <w:tc>
          <w:tcPr>
            <w:tcW w:w="1049" w:type="dxa"/>
            <w:vAlign w:val="center"/>
          </w:tcPr>
          <w:p>
            <w:pPr>
              <w:pStyle w:val="0"/>
              <w:jc w:val="center"/>
            </w:pPr>
            <w:r>
              <w:rPr>
                <w:sz w:val="20"/>
              </w:rPr>
              <w:t xml:space="preserve">6320</w:t>
            </w:r>
          </w:p>
        </w:tc>
      </w:tr>
      <w:tr>
        <w:tc>
          <w:tcPr>
            <w:tcW w:w="680" w:type="dxa"/>
            <w:vAlign w:val="center"/>
          </w:tcPr>
          <w:p>
            <w:pPr>
              <w:pStyle w:val="0"/>
              <w:jc w:val="center"/>
            </w:pPr>
            <w:r>
              <w:rPr>
                <w:sz w:val="20"/>
              </w:rPr>
              <w:t xml:space="preserve">19</w:t>
            </w:r>
          </w:p>
        </w:tc>
        <w:tc>
          <w:tcPr>
            <w:tcW w:w="4025" w:type="dxa"/>
            <w:vAlign w:val="center"/>
          </w:tcPr>
          <w:p>
            <w:pPr>
              <w:pStyle w:val="0"/>
              <w:jc w:val="both"/>
            </w:pPr>
            <w:r>
              <w:rPr>
                <w:sz w:val="20"/>
              </w:rPr>
              <w:t xml:space="preserve">Снижение количества гибели людей при ЧС и на воде, %</w:t>
            </w:r>
          </w:p>
        </w:tc>
        <w:tc>
          <w:tcPr>
            <w:tcW w:w="1051" w:type="dxa"/>
            <w:vAlign w:val="center"/>
          </w:tcPr>
          <w:p>
            <w:pPr>
              <w:pStyle w:val="0"/>
              <w:jc w:val="center"/>
            </w:pPr>
            <w:r>
              <w:rPr>
                <w:sz w:val="20"/>
              </w:rPr>
              <w:t xml:space="preserve">14</w:t>
            </w:r>
          </w:p>
        </w:tc>
        <w:tc>
          <w:tcPr>
            <w:tcW w:w="1033" w:type="dxa"/>
            <w:vAlign w:val="center"/>
          </w:tcPr>
          <w:p>
            <w:pPr>
              <w:pStyle w:val="0"/>
              <w:jc w:val="center"/>
            </w:pPr>
            <w:r>
              <w:rPr>
                <w:sz w:val="20"/>
              </w:rPr>
              <w:t xml:space="preserve">17</w:t>
            </w:r>
          </w:p>
        </w:tc>
        <w:tc>
          <w:tcPr>
            <w:tcW w:w="1065" w:type="dxa"/>
            <w:vAlign w:val="center"/>
          </w:tcPr>
          <w:p>
            <w:pPr>
              <w:pStyle w:val="0"/>
              <w:jc w:val="center"/>
            </w:pPr>
            <w:r>
              <w:rPr>
                <w:sz w:val="20"/>
              </w:rPr>
              <w:t xml:space="preserve">21</w:t>
            </w:r>
          </w:p>
        </w:tc>
        <w:tc>
          <w:tcPr>
            <w:tcW w:w="1049" w:type="dxa"/>
            <w:vAlign w:val="center"/>
          </w:tcPr>
          <w:p>
            <w:pPr>
              <w:pStyle w:val="0"/>
              <w:jc w:val="center"/>
            </w:pPr>
            <w:r>
              <w:rPr>
                <w:sz w:val="20"/>
              </w:rPr>
              <w:t xml:space="preserve">26</w:t>
            </w:r>
          </w:p>
        </w:tc>
      </w:tr>
      <w:tr>
        <w:tc>
          <w:tcPr>
            <w:tcW w:w="680" w:type="dxa"/>
            <w:vAlign w:val="center"/>
          </w:tcPr>
          <w:p>
            <w:pPr>
              <w:pStyle w:val="0"/>
              <w:jc w:val="center"/>
            </w:pPr>
            <w:r>
              <w:rPr>
                <w:sz w:val="20"/>
              </w:rPr>
              <w:t xml:space="preserve">20</w:t>
            </w:r>
          </w:p>
        </w:tc>
        <w:tc>
          <w:tcPr>
            <w:tcW w:w="4025" w:type="dxa"/>
          </w:tcPr>
          <w:p>
            <w:pPr>
              <w:pStyle w:val="0"/>
              <w:jc w:val="both"/>
            </w:pPr>
            <w:r>
              <w:rPr>
                <w:sz w:val="20"/>
              </w:rPr>
              <w:t xml:space="preserve">Число технологических сбоев (аварий) в системах водоснабжения, единиц</w:t>
            </w:r>
          </w:p>
        </w:tc>
        <w:tc>
          <w:tcPr>
            <w:tcW w:w="1051" w:type="dxa"/>
          </w:tcPr>
          <w:p>
            <w:pPr>
              <w:pStyle w:val="0"/>
              <w:jc w:val="center"/>
            </w:pPr>
            <w:r>
              <w:rPr>
                <w:sz w:val="20"/>
              </w:rPr>
              <w:t xml:space="preserve">62</w:t>
            </w:r>
          </w:p>
        </w:tc>
        <w:tc>
          <w:tcPr>
            <w:tcW w:w="1033" w:type="dxa"/>
          </w:tcPr>
          <w:p>
            <w:pPr>
              <w:pStyle w:val="0"/>
              <w:jc w:val="center"/>
            </w:pPr>
            <w:r>
              <w:rPr>
                <w:sz w:val="20"/>
              </w:rPr>
              <w:t xml:space="preserve">60</w:t>
            </w:r>
          </w:p>
        </w:tc>
        <w:tc>
          <w:tcPr>
            <w:tcW w:w="1065" w:type="dxa"/>
          </w:tcPr>
          <w:p>
            <w:pPr>
              <w:pStyle w:val="0"/>
              <w:jc w:val="center"/>
            </w:pPr>
            <w:r>
              <w:rPr>
                <w:sz w:val="20"/>
              </w:rPr>
              <w:t xml:space="preserve">58</w:t>
            </w:r>
          </w:p>
        </w:tc>
        <w:tc>
          <w:tcPr>
            <w:tcW w:w="1049" w:type="dxa"/>
          </w:tcPr>
          <w:p>
            <w:pPr>
              <w:pStyle w:val="0"/>
              <w:jc w:val="center"/>
            </w:pPr>
            <w:r>
              <w:rPr>
                <w:sz w:val="20"/>
              </w:rPr>
              <w:t xml:space="preserve">56</w:t>
            </w:r>
          </w:p>
        </w:tc>
      </w:tr>
      <w:tr>
        <w:tc>
          <w:tcPr>
            <w:tcW w:w="680" w:type="dxa"/>
            <w:vAlign w:val="center"/>
          </w:tcPr>
          <w:p>
            <w:pPr>
              <w:pStyle w:val="0"/>
              <w:jc w:val="center"/>
            </w:pPr>
            <w:r>
              <w:rPr>
                <w:sz w:val="20"/>
              </w:rPr>
              <w:t xml:space="preserve">21</w:t>
            </w:r>
          </w:p>
        </w:tc>
        <w:tc>
          <w:tcPr>
            <w:tcW w:w="4025" w:type="dxa"/>
          </w:tcPr>
          <w:p>
            <w:pPr>
              <w:pStyle w:val="0"/>
              <w:jc w:val="both"/>
            </w:pPr>
            <w:r>
              <w:rPr>
                <w:sz w:val="20"/>
              </w:rPr>
              <w:t xml:space="preserve">Степень износа коммунальной инфраструктуры, %</w:t>
            </w:r>
          </w:p>
        </w:tc>
        <w:tc>
          <w:tcPr>
            <w:tcW w:w="1051" w:type="dxa"/>
          </w:tcPr>
          <w:p>
            <w:pPr>
              <w:pStyle w:val="0"/>
              <w:jc w:val="center"/>
            </w:pPr>
            <w:r>
              <w:rPr>
                <w:sz w:val="20"/>
              </w:rPr>
              <w:t xml:space="preserve">69,84</w:t>
            </w:r>
          </w:p>
        </w:tc>
        <w:tc>
          <w:tcPr>
            <w:tcW w:w="1033" w:type="dxa"/>
          </w:tcPr>
          <w:p>
            <w:pPr>
              <w:pStyle w:val="0"/>
              <w:jc w:val="center"/>
            </w:pPr>
            <w:r>
              <w:rPr>
                <w:sz w:val="20"/>
              </w:rPr>
              <w:t xml:space="preserve">62</w:t>
            </w:r>
          </w:p>
        </w:tc>
        <w:tc>
          <w:tcPr>
            <w:tcW w:w="1065" w:type="dxa"/>
          </w:tcPr>
          <w:p>
            <w:pPr>
              <w:pStyle w:val="0"/>
              <w:jc w:val="center"/>
            </w:pPr>
            <w:r>
              <w:rPr>
                <w:sz w:val="20"/>
              </w:rPr>
              <w:t xml:space="preserve">62</w:t>
            </w:r>
          </w:p>
        </w:tc>
        <w:tc>
          <w:tcPr>
            <w:tcW w:w="1049" w:type="dxa"/>
          </w:tcPr>
          <w:p>
            <w:pPr>
              <w:pStyle w:val="0"/>
              <w:jc w:val="center"/>
            </w:pPr>
            <w:r>
              <w:rPr>
                <w:sz w:val="20"/>
              </w:rPr>
              <w:t xml:space="preserve">61</w:t>
            </w:r>
          </w:p>
        </w:tc>
      </w:tr>
      <w:tr>
        <w:tc>
          <w:tcPr>
            <w:tcW w:w="680" w:type="dxa"/>
            <w:vAlign w:val="center"/>
          </w:tcPr>
          <w:p>
            <w:pPr>
              <w:pStyle w:val="0"/>
              <w:jc w:val="center"/>
            </w:pPr>
            <w:r>
              <w:rPr>
                <w:sz w:val="20"/>
              </w:rPr>
              <w:t xml:space="preserve">22</w:t>
            </w:r>
          </w:p>
        </w:tc>
        <w:tc>
          <w:tcPr>
            <w:tcW w:w="4025" w:type="dxa"/>
            <w:vAlign w:val="center"/>
          </w:tcPr>
          <w:p>
            <w:pPr>
              <w:pStyle w:val="0"/>
              <w:jc w:val="both"/>
            </w:pPr>
            <w:r>
              <w:rPr>
                <w:sz w:val="20"/>
              </w:rPr>
              <w:t xml:space="preserve">Объем перевозок пассажиров транспортом общего пользования, млн. чел.</w:t>
            </w:r>
          </w:p>
        </w:tc>
        <w:tc>
          <w:tcPr>
            <w:tcW w:w="1051" w:type="dxa"/>
            <w:vAlign w:val="center"/>
          </w:tcPr>
          <w:p>
            <w:pPr>
              <w:pStyle w:val="0"/>
              <w:jc w:val="center"/>
            </w:pPr>
            <w:r>
              <w:rPr>
                <w:sz w:val="20"/>
              </w:rPr>
              <w:t xml:space="preserve">143,3</w:t>
            </w:r>
          </w:p>
        </w:tc>
        <w:tc>
          <w:tcPr>
            <w:tcW w:w="1033" w:type="dxa"/>
            <w:vAlign w:val="center"/>
          </w:tcPr>
          <w:p>
            <w:pPr>
              <w:pStyle w:val="0"/>
              <w:jc w:val="center"/>
            </w:pPr>
            <w:r>
              <w:rPr>
                <w:sz w:val="20"/>
              </w:rPr>
              <w:t xml:space="preserve">179</w:t>
            </w:r>
          </w:p>
        </w:tc>
        <w:tc>
          <w:tcPr>
            <w:tcW w:w="1065" w:type="dxa"/>
            <w:vAlign w:val="center"/>
          </w:tcPr>
          <w:p>
            <w:pPr>
              <w:pStyle w:val="0"/>
              <w:jc w:val="center"/>
            </w:pPr>
            <w:r>
              <w:rPr>
                <w:sz w:val="20"/>
              </w:rPr>
              <w:t xml:space="preserve">232</w:t>
            </w:r>
          </w:p>
        </w:tc>
        <w:tc>
          <w:tcPr>
            <w:tcW w:w="1049" w:type="dxa"/>
            <w:vAlign w:val="center"/>
          </w:tcPr>
          <w:p>
            <w:pPr>
              <w:pStyle w:val="0"/>
              <w:jc w:val="center"/>
            </w:pPr>
            <w:r>
              <w:rPr>
                <w:sz w:val="20"/>
              </w:rPr>
              <w:t xml:space="preserve">300</w:t>
            </w:r>
          </w:p>
        </w:tc>
      </w:tr>
      <w:tr>
        <w:tc>
          <w:tcPr>
            <w:tcW w:w="680" w:type="dxa"/>
            <w:vAlign w:val="center"/>
          </w:tcPr>
          <w:p>
            <w:pPr>
              <w:pStyle w:val="0"/>
              <w:jc w:val="center"/>
            </w:pPr>
            <w:r>
              <w:rPr>
                <w:sz w:val="20"/>
              </w:rPr>
              <w:t xml:space="preserve">23</w:t>
            </w:r>
          </w:p>
        </w:tc>
        <w:tc>
          <w:tcPr>
            <w:tcW w:w="4025" w:type="dxa"/>
            <w:vAlign w:val="center"/>
          </w:tcPr>
          <w:p>
            <w:pPr>
              <w:pStyle w:val="0"/>
              <w:jc w:val="both"/>
            </w:pPr>
            <w:r>
              <w:rPr>
                <w:sz w:val="20"/>
              </w:rPr>
              <w:t xml:space="preserve">Общее количество посетителей Курской области, размещенных в коллективных средствах размещения, тыс. чел.</w:t>
            </w:r>
          </w:p>
        </w:tc>
        <w:tc>
          <w:tcPr>
            <w:tcW w:w="1051" w:type="dxa"/>
            <w:vAlign w:val="center"/>
          </w:tcPr>
          <w:p>
            <w:pPr>
              <w:pStyle w:val="0"/>
              <w:jc w:val="center"/>
            </w:pPr>
            <w:r>
              <w:rPr>
                <w:sz w:val="20"/>
              </w:rPr>
              <w:t xml:space="preserve">199,8</w:t>
            </w:r>
          </w:p>
        </w:tc>
        <w:tc>
          <w:tcPr>
            <w:tcW w:w="1033" w:type="dxa"/>
            <w:vAlign w:val="center"/>
          </w:tcPr>
          <w:p>
            <w:pPr>
              <w:pStyle w:val="0"/>
              <w:jc w:val="center"/>
            </w:pPr>
            <w:r>
              <w:rPr>
                <w:sz w:val="20"/>
              </w:rPr>
              <w:t xml:space="preserve">201,8</w:t>
            </w:r>
          </w:p>
        </w:tc>
        <w:tc>
          <w:tcPr>
            <w:tcW w:w="1065" w:type="dxa"/>
            <w:vAlign w:val="center"/>
          </w:tcPr>
          <w:p>
            <w:pPr>
              <w:pStyle w:val="0"/>
              <w:jc w:val="center"/>
            </w:pPr>
            <w:r>
              <w:rPr>
                <w:sz w:val="20"/>
              </w:rPr>
              <w:t xml:space="preserve">212,1</w:t>
            </w:r>
          </w:p>
        </w:tc>
        <w:tc>
          <w:tcPr>
            <w:tcW w:w="1049" w:type="dxa"/>
            <w:vAlign w:val="center"/>
          </w:tcPr>
          <w:p>
            <w:pPr>
              <w:pStyle w:val="0"/>
              <w:jc w:val="center"/>
            </w:pPr>
            <w:r>
              <w:rPr>
                <w:sz w:val="20"/>
              </w:rPr>
              <w:t xml:space="preserve">222,9</w:t>
            </w:r>
          </w:p>
        </w:tc>
      </w:tr>
      <w:tr>
        <w:tc>
          <w:tcPr>
            <w:tcW w:w="680" w:type="dxa"/>
            <w:vAlign w:val="center"/>
          </w:tcPr>
          <w:p>
            <w:pPr>
              <w:pStyle w:val="0"/>
              <w:jc w:val="center"/>
            </w:pPr>
            <w:r>
              <w:rPr>
                <w:sz w:val="20"/>
              </w:rPr>
              <w:t xml:space="preserve">24</w:t>
            </w:r>
          </w:p>
        </w:tc>
        <w:tc>
          <w:tcPr>
            <w:tcW w:w="4025" w:type="dxa"/>
            <w:vAlign w:val="center"/>
          </w:tcPr>
          <w:p>
            <w:pPr>
              <w:pStyle w:val="0"/>
              <w:jc w:val="both"/>
            </w:pPr>
            <w:r>
              <w:rPr>
                <w:sz w:val="20"/>
              </w:rPr>
              <w:t xml:space="preserve">Государственный долг по отношению к налоговым и неналоговым доходам областного бюджета, %</w:t>
            </w:r>
          </w:p>
        </w:tc>
        <w:tc>
          <w:tcPr>
            <w:tcW w:w="1051" w:type="dxa"/>
            <w:vAlign w:val="center"/>
          </w:tcPr>
          <w:p>
            <w:pPr>
              <w:pStyle w:val="0"/>
              <w:jc w:val="center"/>
            </w:pPr>
            <w:r>
              <w:rPr>
                <w:sz w:val="20"/>
              </w:rPr>
              <w:t xml:space="preserve">25,8</w:t>
            </w:r>
          </w:p>
        </w:tc>
        <w:tc>
          <w:tcPr>
            <w:tcW w:w="1033" w:type="dxa"/>
            <w:vAlign w:val="center"/>
          </w:tcPr>
          <w:p>
            <w:pPr>
              <w:pStyle w:val="0"/>
              <w:jc w:val="center"/>
            </w:pPr>
            <w:r>
              <w:rPr>
                <w:sz w:val="20"/>
              </w:rPr>
              <w:t xml:space="preserve">24,3</w:t>
            </w:r>
          </w:p>
        </w:tc>
        <w:tc>
          <w:tcPr>
            <w:tcW w:w="1065" w:type="dxa"/>
            <w:vAlign w:val="center"/>
          </w:tcPr>
          <w:p>
            <w:pPr>
              <w:pStyle w:val="0"/>
              <w:jc w:val="center"/>
            </w:pPr>
            <w:r>
              <w:rPr>
                <w:sz w:val="20"/>
              </w:rPr>
              <w:t xml:space="preserve">18,1</w:t>
            </w:r>
          </w:p>
        </w:tc>
        <w:tc>
          <w:tcPr>
            <w:tcW w:w="1049" w:type="dxa"/>
            <w:vAlign w:val="center"/>
          </w:tcPr>
          <w:p>
            <w:pPr>
              <w:pStyle w:val="0"/>
              <w:jc w:val="center"/>
            </w:pPr>
            <w:r>
              <w:rPr>
                <w:sz w:val="20"/>
              </w:rPr>
              <w:t xml:space="preserve">14,9</w:t>
            </w:r>
          </w:p>
        </w:tc>
      </w:tr>
      <w:tr>
        <w:tc>
          <w:tcPr>
            <w:tcW w:w="680" w:type="dxa"/>
            <w:vAlign w:val="center"/>
          </w:tcPr>
          <w:p>
            <w:pPr>
              <w:pStyle w:val="0"/>
              <w:jc w:val="center"/>
            </w:pPr>
            <w:r>
              <w:rPr>
                <w:sz w:val="20"/>
              </w:rPr>
              <w:t xml:space="preserve">25</w:t>
            </w:r>
          </w:p>
        </w:tc>
        <w:tc>
          <w:tcPr>
            <w:tcW w:w="4025" w:type="dxa"/>
            <w:vAlign w:val="center"/>
          </w:tcPr>
          <w:p>
            <w:pPr>
              <w:pStyle w:val="0"/>
              <w:jc w:val="both"/>
            </w:pPr>
            <w:r>
              <w:rPr>
                <w:sz w:val="20"/>
              </w:rPr>
              <w:t xml:space="preserve">Естественный прирост населения, на 1000 чел. населения</w:t>
            </w:r>
          </w:p>
        </w:tc>
        <w:tc>
          <w:tcPr>
            <w:tcW w:w="1051" w:type="dxa"/>
            <w:vAlign w:val="center"/>
          </w:tcPr>
          <w:p>
            <w:pPr>
              <w:pStyle w:val="0"/>
              <w:jc w:val="center"/>
            </w:pPr>
            <w:r>
              <w:rPr>
                <w:sz w:val="20"/>
              </w:rPr>
              <w:t xml:space="preserve">- 5,93</w:t>
            </w:r>
          </w:p>
        </w:tc>
        <w:tc>
          <w:tcPr>
            <w:tcW w:w="1033" w:type="dxa"/>
            <w:vAlign w:val="center"/>
          </w:tcPr>
          <w:p>
            <w:pPr>
              <w:pStyle w:val="0"/>
              <w:jc w:val="center"/>
            </w:pPr>
            <w:r>
              <w:rPr>
                <w:sz w:val="20"/>
              </w:rPr>
              <w:t xml:space="preserve">- 8,1</w:t>
            </w:r>
          </w:p>
        </w:tc>
        <w:tc>
          <w:tcPr>
            <w:tcW w:w="1065" w:type="dxa"/>
            <w:vAlign w:val="center"/>
          </w:tcPr>
          <w:p>
            <w:pPr>
              <w:pStyle w:val="0"/>
              <w:jc w:val="center"/>
            </w:pPr>
            <w:r>
              <w:rPr>
                <w:sz w:val="20"/>
              </w:rPr>
              <w:t xml:space="preserve">- 7,4</w:t>
            </w:r>
          </w:p>
        </w:tc>
        <w:tc>
          <w:tcPr>
            <w:tcW w:w="1049" w:type="dxa"/>
            <w:vAlign w:val="center"/>
          </w:tcPr>
          <w:p>
            <w:pPr>
              <w:pStyle w:val="0"/>
              <w:jc w:val="center"/>
            </w:pPr>
            <w:r>
              <w:rPr>
                <w:sz w:val="20"/>
              </w:rPr>
              <w:t xml:space="preserve">- 6,6</w:t>
            </w:r>
          </w:p>
        </w:tc>
      </w:tr>
      <w:tr>
        <w:tc>
          <w:tcPr>
            <w:tcW w:w="680" w:type="dxa"/>
            <w:vAlign w:val="center"/>
          </w:tcPr>
          <w:p>
            <w:pPr>
              <w:pStyle w:val="0"/>
              <w:jc w:val="center"/>
            </w:pPr>
            <w:r>
              <w:rPr>
                <w:sz w:val="20"/>
              </w:rPr>
              <w:t xml:space="preserve">26</w:t>
            </w:r>
          </w:p>
        </w:tc>
        <w:tc>
          <w:tcPr>
            <w:tcW w:w="4025" w:type="dxa"/>
            <w:vAlign w:val="center"/>
          </w:tcPr>
          <w:p>
            <w:pPr>
              <w:pStyle w:val="0"/>
              <w:jc w:val="both"/>
            </w:pPr>
            <w:r>
              <w:rPr>
                <w:sz w:val="20"/>
              </w:rPr>
              <w:t xml:space="preserve">Суммарный коэффициент рождаемости (число родившихся детей на 1 женщину)</w:t>
            </w:r>
          </w:p>
        </w:tc>
        <w:tc>
          <w:tcPr>
            <w:tcW w:w="1051" w:type="dxa"/>
            <w:vAlign w:val="center"/>
          </w:tcPr>
          <w:p>
            <w:pPr>
              <w:pStyle w:val="0"/>
              <w:jc w:val="center"/>
            </w:pPr>
            <w:r>
              <w:rPr>
                <w:sz w:val="20"/>
              </w:rPr>
              <w:t xml:space="preserve">1,46</w:t>
            </w:r>
          </w:p>
        </w:tc>
        <w:tc>
          <w:tcPr>
            <w:tcW w:w="1033" w:type="dxa"/>
            <w:vAlign w:val="center"/>
          </w:tcPr>
          <w:p>
            <w:pPr>
              <w:pStyle w:val="0"/>
              <w:jc w:val="center"/>
            </w:pPr>
            <w:r>
              <w:rPr>
                <w:sz w:val="20"/>
              </w:rPr>
              <w:t xml:space="preserve">1,349</w:t>
            </w:r>
          </w:p>
        </w:tc>
        <w:tc>
          <w:tcPr>
            <w:tcW w:w="1065" w:type="dxa"/>
            <w:vAlign w:val="center"/>
          </w:tcPr>
          <w:p>
            <w:pPr>
              <w:pStyle w:val="0"/>
              <w:jc w:val="center"/>
            </w:pPr>
            <w:r>
              <w:rPr>
                <w:sz w:val="20"/>
              </w:rPr>
              <w:t xml:space="preserve">1,436</w:t>
            </w:r>
          </w:p>
        </w:tc>
        <w:tc>
          <w:tcPr>
            <w:tcW w:w="1049" w:type="dxa"/>
            <w:vAlign w:val="center"/>
          </w:tcPr>
          <w:p>
            <w:pPr>
              <w:pStyle w:val="0"/>
              <w:jc w:val="center"/>
            </w:pPr>
            <w:r>
              <w:rPr>
                <w:sz w:val="20"/>
              </w:rPr>
              <w:t xml:space="preserve">1,511</w:t>
            </w:r>
          </w:p>
        </w:tc>
      </w:tr>
      <w:tr>
        <w:tc>
          <w:tcPr>
            <w:tcW w:w="680" w:type="dxa"/>
            <w:vAlign w:val="center"/>
          </w:tcPr>
          <w:p>
            <w:pPr>
              <w:pStyle w:val="0"/>
              <w:jc w:val="center"/>
            </w:pPr>
            <w:r>
              <w:rPr>
                <w:sz w:val="20"/>
              </w:rPr>
              <w:t xml:space="preserve">27</w:t>
            </w:r>
          </w:p>
        </w:tc>
        <w:tc>
          <w:tcPr>
            <w:tcW w:w="4025" w:type="dxa"/>
            <w:vAlign w:val="center"/>
          </w:tcPr>
          <w:p>
            <w:pPr>
              <w:pStyle w:val="0"/>
              <w:jc w:val="both"/>
            </w:pPr>
            <w:r>
              <w:rPr>
                <w:sz w:val="20"/>
              </w:rPr>
              <w:t xml:space="preserve">Младенческая смертность (умершие в возрасте до 1 года на 1000 родившихся живыми)</w:t>
            </w:r>
          </w:p>
        </w:tc>
        <w:tc>
          <w:tcPr>
            <w:tcW w:w="1051" w:type="dxa"/>
            <w:vAlign w:val="center"/>
          </w:tcPr>
          <w:p>
            <w:pPr>
              <w:pStyle w:val="0"/>
              <w:jc w:val="center"/>
            </w:pPr>
            <w:r>
              <w:rPr>
                <w:sz w:val="20"/>
              </w:rPr>
              <w:t xml:space="preserve">5,6</w:t>
            </w:r>
          </w:p>
        </w:tc>
        <w:tc>
          <w:tcPr>
            <w:tcW w:w="1033" w:type="dxa"/>
            <w:vAlign w:val="center"/>
          </w:tcPr>
          <w:p>
            <w:pPr>
              <w:pStyle w:val="0"/>
              <w:jc w:val="center"/>
            </w:pPr>
            <w:r>
              <w:rPr>
                <w:sz w:val="20"/>
              </w:rPr>
              <w:t xml:space="preserve">5,6</w:t>
            </w:r>
          </w:p>
        </w:tc>
        <w:tc>
          <w:tcPr>
            <w:tcW w:w="1065" w:type="dxa"/>
            <w:vAlign w:val="center"/>
          </w:tcPr>
          <w:p>
            <w:pPr>
              <w:pStyle w:val="0"/>
              <w:jc w:val="center"/>
            </w:pPr>
            <w:r>
              <w:rPr>
                <w:sz w:val="20"/>
              </w:rPr>
              <w:t xml:space="preserve">5,0</w:t>
            </w:r>
          </w:p>
        </w:tc>
        <w:tc>
          <w:tcPr>
            <w:tcW w:w="1049" w:type="dxa"/>
            <w:vAlign w:val="center"/>
          </w:tcPr>
          <w:p>
            <w:pPr>
              <w:pStyle w:val="0"/>
              <w:jc w:val="center"/>
            </w:pPr>
            <w:r>
              <w:rPr>
                <w:sz w:val="20"/>
              </w:rPr>
              <w:t xml:space="preserve">4,5</w:t>
            </w:r>
          </w:p>
        </w:tc>
      </w:tr>
      <w:tr>
        <w:tc>
          <w:tcPr>
            <w:tcW w:w="680" w:type="dxa"/>
            <w:vAlign w:val="center"/>
          </w:tcPr>
          <w:p>
            <w:pPr>
              <w:pStyle w:val="0"/>
              <w:jc w:val="center"/>
            </w:pPr>
            <w:r>
              <w:rPr>
                <w:sz w:val="20"/>
              </w:rPr>
              <w:t xml:space="preserve">28</w:t>
            </w:r>
          </w:p>
        </w:tc>
        <w:tc>
          <w:tcPr>
            <w:tcW w:w="4025" w:type="dxa"/>
            <w:vAlign w:val="center"/>
          </w:tcPr>
          <w:p>
            <w:pPr>
              <w:pStyle w:val="0"/>
              <w:jc w:val="both"/>
            </w:pPr>
            <w:r>
              <w:rPr>
                <w:sz w:val="20"/>
              </w:rPr>
              <w:t xml:space="preserve">Смертность лиц трудоспособного возраста (человек на 100 тыс. населения)</w:t>
            </w:r>
          </w:p>
        </w:tc>
        <w:tc>
          <w:tcPr>
            <w:tcW w:w="1051" w:type="dxa"/>
            <w:vAlign w:val="center"/>
          </w:tcPr>
          <w:p>
            <w:pPr>
              <w:pStyle w:val="0"/>
              <w:jc w:val="center"/>
            </w:pPr>
            <w:r>
              <w:rPr>
                <w:sz w:val="20"/>
              </w:rPr>
              <w:t xml:space="preserve">540,0</w:t>
            </w:r>
          </w:p>
        </w:tc>
        <w:tc>
          <w:tcPr>
            <w:tcW w:w="1033" w:type="dxa"/>
            <w:vAlign w:val="center"/>
          </w:tcPr>
          <w:p>
            <w:pPr>
              <w:pStyle w:val="0"/>
              <w:jc w:val="center"/>
            </w:pPr>
            <w:r>
              <w:rPr>
                <w:sz w:val="20"/>
              </w:rPr>
              <w:t xml:space="preserve">538,6</w:t>
            </w:r>
          </w:p>
        </w:tc>
        <w:tc>
          <w:tcPr>
            <w:tcW w:w="1065" w:type="dxa"/>
            <w:vAlign w:val="center"/>
          </w:tcPr>
          <w:p>
            <w:pPr>
              <w:pStyle w:val="0"/>
              <w:jc w:val="center"/>
            </w:pPr>
            <w:r>
              <w:rPr>
                <w:sz w:val="20"/>
              </w:rPr>
              <w:t xml:space="preserve">395,7</w:t>
            </w:r>
          </w:p>
        </w:tc>
        <w:tc>
          <w:tcPr>
            <w:tcW w:w="1049" w:type="dxa"/>
            <w:vAlign w:val="center"/>
          </w:tcPr>
          <w:p>
            <w:pPr>
              <w:pStyle w:val="0"/>
              <w:jc w:val="center"/>
            </w:pPr>
            <w:r>
              <w:rPr>
                <w:sz w:val="20"/>
              </w:rPr>
              <w:t xml:space="preserve">365,7</w:t>
            </w:r>
          </w:p>
        </w:tc>
      </w:tr>
      <w:tr>
        <w:tc>
          <w:tcPr>
            <w:tcW w:w="680" w:type="dxa"/>
            <w:vAlign w:val="center"/>
          </w:tcPr>
          <w:p>
            <w:pPr>
              <w:pStyle w:val="0"/>
              <w:jc w:val="center"/>
            </w:pPr>
            <w:r>
              <w:rPr>
                <w:sz w:val="20"/>
              </w:rPr>
              <w:t xml:space="preserve">29</w:t>
            </w:r>
          </w:p>
        </w:tc>
        <w:tc>
          <w:tcPr>
            <w:tcW w:w="4025" w:type="dxa"/>
            <w:vAlign w:val="center"/>
          </w:tcPr>
          <w:p>
            <w:pPr>
              <w:pStyle w:val="0"/>
              <w:jc w:val="both"/>
            </w:pPr>
            <w:r>
              <w:rPr>
                <w:sz w:val="20"/>
              </w:rPr>
              <w:t xml:space="preserve">Уровень реальной среднемесячной заработной платы, % (2017 год - базовое значение)</w:t>
            </w:r>
          </w:p>
        </w:tc>
        <w:tc>
          <w:tcPr>
            <w:tcW w:w="1051" w:type="dxa"/>
            <w:vAlign w:val="center"/>
          </w:tcPr>
          <w:p>
            <w:pPr>
              <w:pStyle w:val="0"/>
              <w:jc w:val="center"/>
            </w:pPr>
            <w:r>
              <w:rPr>
                <w:sz w:val="20"/>
              </w:rPr>
              <w:t xml:space="preserve">100</w:t>
            </w:r>
          </w:p>
        </w:tc>
        <w:tc>
          <w:tcPr>
            <w:tcW w:w="1033" w:type="dxa"/>
            <w:vAlign w:val="center"/>
          </w:tcPr>
          <w:p>
            <w:pPr>
              <w:pStyle w:val="0"/>
              <w:jc w:val="center"/>
            </w:pPr>
            <w:r>
              <w:rPr>
                <w:sz w:val="20"/>
              </w:rPr>
              <w:t xml:space="preserve">114,2</w:t>
            </w:r>
          </w:p>
        </w:tc>
        <w:tc>
          <w:tcPr>
            <w:tcW w:w="1065" w:type="dxa"/>
            <w:vAlign w:val="center"/>
          </w:tcPr>
          <w:p>
            <w:pPr>
              <w:pStyle w:val="0"/>
              <w:jc w:val="center"/>
            </w:pPr>
            <w:r>
              <w:rPr>
                <w:sz w:val="20"/>
              </w:rPr>
              <w:t xml:space="preserve">120,6</w:t>
            </w:r>
          </w:p>
        </w:tc>
        <w:tc>
          <w:tcPr>
            <w:tcW w:w="1049" w:type="dxa"/>
            <w:vAlign w:val="center"/>
          </w:tcPr>
          <w:p>
            <w:pPr>
              <w:pStyle w:val="0"/>
              <w:jc w:val="center"/>
            </w:pPr>
            <w:r>
              <w:rPr>
                <w:sz w:val="20"/>
              </w:rPr>
              <w:t xml:space="preserve">134,3</w:t>
            </w:r>
          </w:p>
        </w:tc>
      </w:tr>
      <w:tr>
        <w:tc>
          <w:tcPr>
            <w:tcW w:w="680" w:type="dxa"/>
            <w:vAlign w:val="center"/>
          </w:tcPr>
          <w:p>
            <w:pPr>
              <w:pStyle w:val="0"/>
              <w:jc w:val="center"/>
            </w:pPr>
            <w:r>
              <w:rPr>
                <w:sz w:val="20"/>
              </w:rPr>
              <w:t xml:space="preserve">30</w:t>
            </w:r>
          </w:p>
        </w:tc>
        <w:tc>
          <w:tcPr>
            <w:tcW w:w="4025" w:type="dxa"/>
            <w:vAlign w:val="center"/>
          </w:tcPr>
          <w:p>
            <w:pPr>
              <w:pStyle w:val="0"/>
              <w:jc w:val="both"/>
            </w:pPr>
            <w:r>
              <w:rPr>
                <w:sz w:val="20"/>
              </w:rPr>
              <w:t xml:space="preserve">Уровень бедности, %</w:t>
            </w:r>
          </w:p>
        </w:tc>
        <w:tc>
          <w:tcPr>
            <w:tcW w:w="1051" w:type="dxa"/>
            <w:vAlign w:val="center"/>
          </w:tcPr>
          <w:p>
            <w:pPr>
              <w:pStyle w:val="0"/>
              <w:jc w:val="center"/>
            </w:pPr>
            <w:r>
              <w:rPr>
                <w:sz w:val="20"/>
              </w:rPr>
              <w:t xml:space="preserve">10,3</w:t>
            </w:r>
          </w:p>
        </w:tc>
        <w:tc>
          <w:tcPr>
            <w:tcW w:w="1033" w:type="dxa"/>
            <w:vAlign w:val="center"/>
          </w:tcPr>
          <w:p>
            <w:pPr>
              <w:pStyle w:val="0"/>
              <w:jc w:val="center"/>
            </w:pPr>
            <w:r>
              <w:rPr>
                <w:sz w:val="20"/>
              </w:rPr>
              <w:t xml:space="preserve">11,0</w:t>
            </w:r>
          </w:p>
        </w:tc>
        <w:tc>
          <w:tcPr>
            <w:tcW w:w="1065" w:type="dxa"/>
            <w:vAlign w:val="center"/>
          </w:tcPr>
          <w:p>
            <w:pPr>
              <w:pStyle w:val="0"/>
              <w:jc w:val="center"/>
            </w:pPr>
            <w:r>
              <w:rPr>
                <w:sz w:val="20"/>
              </w:rPr>
              <w:t xml:space="preserve">8,5</w:t>
            </w:r>
          </w:p>
        </w:tc>
        <w:tc>
          <w:tcPr>
            <w:tcW w:w="1049" w:type="dxa"/>
            <w:vAlign w:val="center"/>
          </w:tcPr>
          <w:p>
            <w:pPr>
              <w:pStyle w:val="0"/>
              <w:jc w:val="center"/>
            </w:pPr>
            <w:r>
              <w:rPr>
                <w:sz w:val="20"/>
              </w:rPr>
              <w:t xml:space="preserve">6,1</w:t>
            </w:r>
          </w:p>
        </w:tc>
      </w:tr>
      <w:tr>
        <w:tc>
          <w:tcPr>
            <w:tcW w:w="680" w:type="dxa"/>
            <w:vAlign w:val="center"/>
          </w:tcPr>
          <w:p>
            <w:pPr>
              <w:pStyle w:val="0"/>
              <w:jc w:val="center"/>
            </w:pPr>
            <w:r>
              <w:rPr>
                <w:sz w:val="20"/>
              </w:rPr>
              <w:t xml:space="preserve">31</w:t>
            </w:r>
          </w:p>
        </w:tc>
        <w:tc>
          <w:tcPr>
            <w:tcW w:w="4025" w:type="dxa"/>
            <w:vAlign w:val="center"/>
          </w:tcPr>
          <w:p>
            <w:pPr>
              <w:pStyle w:val="0"/>
              <w:jc w:val="both"/>
            </w:pPr>
            <w:r>
              <w:rPr>
                <w:sz w:val="20"/>
              </w:rPr>
              <w:t xml:space="preserve">Обеспеченность учреждениями культуры (учреждений на 100 тыс. человек населения)</w:t>
            </w:r>
          </w:p>
        </w:tc>
        <w:tc>
          <w:tcPr>
            <w:tcW w:w="1051" w:type="dxa"/>
            <w:vAlign w:val="center"/>
          </w:tcPr>
          <w:p>
            <w:pPr>
              <w:pStyle w:val="0"/>
              <w:jc w:val="center"/>
            </w:pPr>
            <w:r>
              <w:rPr>
                <w:sz w:val="20"/>
              </w:rPr>
              <w:t xml:space="preserve">129,05</w:t>
            </w:r>
          </w:p>
          <w:p>
            <w:pPr>
              <w:pStyle w:val="0"/>
              <w:jc w:val="center"/>
            </w:pPr>
            <w:r>
              <w:rPr>
                <w:sz w:val="20"/>
              </w:rPr>
              <w:t xml:space="preserve">(за 2019 год)</w:t>
            </w:r>
          </w:p>
        </w:tc>
        <w:tc>
          <w:tcPr>
            <w:tcW w:w="1033" w:type="dxa"/>
            <w:vAlign w:val="center"/>
          </w:tcPr>
          <w:p>
            <w:pPr>
              <w:pStyle w:val="0"/>
              <w:jc w:val="center"/>
            </w:pPr>
            <w:r>
              <w:rPr>
                <w:sz w:val="20"/>
              </w:rPr>
              <w:t xml:space="preserve">129,05</w:t>
            </w:r>
          </w:p>
        </w:tc>
        <w:tc>
          <w:tcPr>
            <w:tcW w:w="1065" w:type="dxa"/>
            <w:vAlign w:val="center"/>
          </w:tcPr>
          <w:p>
            <w:pPr>
              <w:pStyle w:val="0"/>
              <w:jc w:val="center"/>
            </w:pPr>
            <w:r>
              <w:rPr>
                <w:sz w:val="20"/>
              </w:rPr>
              <w:t xml:space="preserve">129,5</w:t>
            </w:r>
          </w:p>
        </w:tc>
        <w:tc>
          <w:tcPr>
            <w:tcW w:w="1049" w:type="dxa"/>
            <w:vAlign w:val="center"/>
          </w:tcPr>
          <w:p>
            <w:pPr>
              <w:pStyle w:val="0"/>
              <w:jc w:val="center"/>
            </w:pPr>
            <w:r>
              <w:rPr>
                <w:sz w:val="20"/>
              </w:rPr>
              <w:t xml:space="preserve">132,0</w:t>
            </w:r>
          </w:p>
        </w:tc>
      </w:tr>
      <w:tr>
        <w:tc>
          <w:tcPr>
            <w:tcW w:w="680" w:type="dxa"/>
            <w:vAlign w:val="center"/>
          </w:tcPr>
          <w:p>
            <w:pPr>
              <w:pStyle w:val="0"/>
              <w:jc w:val="center"/>
            </w:pPr>
            <w:r>
              <w:rPr>
                <w:sz w:val="20"/>
              </w:rPr>
              <w:t xml:space="preserve">32</w:t>
            </w:r>
          </w:p>
        </w:tc>
        <w:tc>
          <w:tcPr>
            <w:tcW w:w="4025" w:type="dxa"/>
            <w:vAlign w:val="center"/>
          </w:tcPr>
          <w:p>
            <w:pPr>
              <w:pStyle w:val="0"/>
              <w:jc w:val="both"/>
            </w:pPr>
            <w:r>
              <w:rPr>
                <w:sz w:val="20"/>
              </w:rPr>
              <w:t xml:space="preserve">Уровень удовлетворенности граждан Российской Федерации качеством предоставления государственных и муниципальных услуг в сфере культуры, %</w:t>
            </w:r>
          </w:p>
        </w:tc>
        <w:tc>
          <w:tcPr>
            <w:tcW w:w="1051" w:type="dxa"/>
            <w:vAlign w:val="center"/>
          </w:tcPr>
          <w:p>
            <w:pPr>
              <w:pStyle w:val="0"/>
              <w:jc w:val="center"/>
            </w:pPr>
            <w:r>
              <w:rPr>
                <w:sz w:val="20"/>
              </w:rPr>
              <w:t xml:space="preserve">90</w:t>
            </w:r>
          </w:p>
          <w:p>
            <w:pPr>
              <w:pStyle w:val="0"/>
              <w:jc w:val="both"/>
            </w:pPr>
            <w:r>
              <w:rPr>
                <w:sz w:val="20"/>
              </w:rPr>
              <w:t xml:space="preserve">(за 2019 год)</w:t>
            </w:r>
          </w:p>
        </w:tc>
        <w:tc>
          <w:tcPr>
            <w:tcW w:w="1033" w:type="dxa"/>
            <w:vAlign w:val="center"/>
          </w:tcPr>
          <w:p>
            <w:pPr>
              <w:pStyle w:val="0"/>
              <w:jc w:val="center"/>
            </w:pPr>
            <w:r>
              <w:rPr>
                <w:sz w:val="20"/>
              </w:rPr>
              <w:t xml:space="preserve">92</w:t>
            </w:r>
          </w:p>
        </w:tc>
        <w:tc>
          <w:tcPr>
            <w:tcW w:w="1065" w:type="dxa"/>
            <w:vAlign w:val="center"/>
          </w:tcPr>
          <w:p>
            <w:pPr>
              <w:pStyle w:val="0"/>
              <w:jc w:val="center"/>
            </w:pPr>
            <w:r>
              <w:rPr>
                <w:sz w:val="20"/>
              </w:rPr>
              <w:t xml:space="preserve">95</w:t>
            </w:r>
          </w:p>
        </w:tc>
        <w:tc>
          <w:tcPr>
            <w:tcW w:w="1049" w:type="dxa"/>
            <w:vAlign w:val="center"/>
          </w:tcPr>
          <w:p>
            <w:pPr>
              <w:pStyle w:val="0"/>
              <w:jc w:val="center"/>
            </w:pPr>
            <w:r>
              <w:rPr>
                <w:sz w:val="20"/>
              </w:rPr>
              <w:t xml:space="preserve">100</w:t>
            </w:r>
          </w:p>
        </w:tc>
      </w:tr>
      <w:tr>
        <w:tc>
          <w:tcPr>
            <w:tcW w:w="680" w:type="dxa"/>
            <w:vAlign w:val="center"/>
          </w:tcPr>
          <w:p>
            <w:pPr>
              <w:pStyle w:val="0"/>
              <w:jc w:val="center"/>
            </w:pPr>
            <w:r>
              <w:rPr>
                <w:sz w:val="20"/>
              </w:rPr>
              <w:t xml:space="preserve">33</w:t>
            </w:r>
          </w:p>
        </w:tc>
        <w:tc>
          <w:tcPr>
            <w:tcW w:w="4025" w:type="dxa"/>
            <w:vAlign w:val="center"/>
          </w:tcPr>
          <w:p>
            <w:pPr>
              <w:pStyle w:val="0"/>
              <w:jc w:val="both"/>
            </w:pPr>
            <w:r>
              <w:rPr>
                <w:sz w:val="20"/>
              </w:rPr>
              <w:t xml:space="preserve">Доля автомобильных дорог регионального значения, соответствующих нормативным требованиям, %</w:t>
            </w:r>
          </w:p>
        </w:tc>
        <w:tc>
          <w:tcPr>
            <w:tcW w:w="1051" w:type="dxa"/>
            <w:vAlign w:val="center"/>
          </w:tcPr>
          <w:p>
            <w:pPr>
              <w:pStyle w:val="0"/>
              <w:jc w:val="center"/>
            </w:pPr>
            <w:r>
              <w:rPr>
                <w:sz w:val="20"/>
              </w:rPr>
              <w:t xml:space="preserve">49,4</w:t>
            </w:r>
          </w:p>
        </w:tc>
        <w:tc>
          <w:tcPr>
            <w:tcW w:w="1033" w:type="dxa"/>
            <w:vAlign w:val="center"/>
          </w:tcPr>
          <w:p>
            <w:pPr>
              <w:pStyle w:val="0"/>
              <w:jc w:val="center"/>
            </w:pPr>
            <w:r>
              <w:rPr>
                <w:sz w:val="20"/>
              </w:rPr>
              <w:t xml:space="preserve">49,9</w:t>
            </w:r>
          </w:p>
        </w:tc>
        <w:tc>
          <w:tcPr>
            <w:tcW w:w="1065" w:type="dxa"/>
            <w:vAlign w:val="center"/>
          </w:tcPr>
          <w:p>
            <w:pPr>
              <w:pStyle w:val="0"/>
              <w:jc w:val="center"/>
            </w:pPr>
            <w:r>
              <w:rPr>
                <w:sz w:val="20"/>
              </w:rPr>
              <w:t xml:space="preserve">52,0</w:t>
            </w:r>
          </w:p>
        </w:tc>
        <w:tc>
          <w:tcPr>
            <w:tcW w:w="1049" w:type="dxa"/>
            <w:vAlign w:val="center"/>
          </w:tcPr>
          <w:p>
            <w:pPr>
              <w:pStyle w:val="0"/>
              <w:jc w:val="center"/>
            </w:pPr>
            <w:r>
              <w:rPr>
                <w:sz w:val="20"/>
              </w:rPr>
              <w:t xml:space="preserve">65,0</w:t>
            </w:r>
          </w:p>
        </w:tc>
      </w:tr>
      <w:tr>
        <w:tc>
          <w:tcPr>
            <w:tcW w:w="680" w:type="dxa"/>
            <w:vAlign w:val="center"/>
          </w:tcPr>
          <w:p>
            <w:pPr>
              <w:pStyle w:val="0"/>
              <w:jc w:val="center"/>
            </w:pPr>
            <w:r>
              <w:rPr>
                <w:sz w:val="20"/>
              </w:rPr>
              <w:t xml:space="preserve">34</w:t>
            </w:r>
          </w:p>
        </w:tc>
        <w:tc>
          <w:tcPr>
            <w:tcW w:w="4025" w:type="dxa"/>
            <w:vAlign w:val="center"/>
          </w:tcPr>
          <w:p>
            <w:pPr>
              <w:pStyle w:val="0"/>
              <w:jc w:val="both"/>
            </w:pPr>
            <w:r>
              <w:rPr>
                <w:sz w:val="20"/>
              </w:rPr>
              <w:t xml:space="preserve">Валовое потребление природного газа в качестве моторного топлива, млн. куб. м</w:t>
            </w:r>
          </w:p>
        </w:tc>
        <w:tc>
          <w:tcPr>
            <w:tcW w:w="1051" w:type="dxa"/>
            <w:vAlign w:val="center"/>
          </w:tcPr>
          <w:p>
            <w:pPr>
              <w:pStyle w:val="0"/>
              <w:jc w:val="center"/>
            </w:pPr>
            <w:r>
              <w:rPr>
                <w:sz w:val="20"/>
              </w:rPr>
              <w:t xml:space="preserve">12,03</w:t>
            </w:r>
          </w:p>
        </w:tc>
        <w:tc>
          <w:tcPr>
            <w:tcW w:w="1033" w:type="dxa"/>
            <w:vAlign w:val="center"/>
          </w:tcPr>
          <w:p>
            <w:pPr>
              <w:pStyle w:val="0"/>
              <w:jc w:val="center"/>
            </w:pPr>
            <w:r>
              <w:rPr>
                <w:sz w:val="20"/>
              </w:rPr>
              <w:t xml:space="preserve">14,48</w:t>
            </w:r>
          </w:p>
        </w:tc>
        <w:tc>
          <w:tcPr>
            <w:tcW w:w="1065" w:type="dxa"/>
            <w:vAlign w:val="center"/>
          </w:tcPr>
          <w:p>
            <w:pPr>
              <w:pStyle w:val="0"/>
              <w:jc w:val="center"/>
            </w:pPr>
            <w:r>
              <w:rPr>
                <w:sz w:val="20"/>
              </w:rPr>
              <w:t xml:space="preserve">20,0</w:t>
            </w:r>
          </w:p>
        </w:tc>
        <w:tc>
          <w:tcPr>
            <w:tcW w:w="1049" w:type="dxa"/>
            <w:vAlign w:val="center"/>
          </w:tcPr>
          <w:p>
            <w:pPr>
              <w:pStyle w:val="0"/>
              <w:jc w:val="center"/>
            </w:pPr>
            <w:r>
              <w:rPr>
                <w:sz w:val="20"/>
              </w:rPr>
              <w:t xml:space="preserve">20,5</w:t>
            </w:r>
          </w:p>
        </w:tc>
      </w:tr>
      <w:tr>
        <w:tc>
          <w:tcPr>
            <w:tcW w:w="680" w:type="dxa"/>
            <w:vAlign w:val="center"/>
          </w:tcPr>
          <w:p>
            <w:pPr>
              <w:pStyle w:val="0"/>
              <w:jc w:val="center"/>
            </w:pPr>
            <w:r>
              <w:rPr>
                <w:sz w:val="20"/>
              </w:rPr>
              <w:t xml:space="preserve">35</w:t>
            </w:r>
          </w:p>
        </w:tc>
        <w:tc>
          <w:tcPr>
            <w:tcW w:w="4025" w:type="dxa"/>
            <w:vAlign w:val="center"/>
          </w:tcPr>
          <w:p>
            <w:pPr>
              <w:pStyle w:val="0"/>
              <w:jc w:val="both"/>
            </w:pPr>
            <w:r>
              <w:rPr>
                <w:sz w:val="20"/>
              </w:rPr>
              <w:t xml:space="preserve">Количество объектов газозаправочной инфраструктуры, ед.</w:t>
            </w:r>
          </w:p>
        </w:tc>
        <w:tc>
          <w:tcPr>
            <w:tcW w:w="1051" w:type="dxa"/>
            <w:vAlign w:val="center"/>
          </w:tcPr>
          <w:p>
            <w:pPr>
              <w:pStyle w:val="0"/>
              <w:jc w:val="center"/>
            </w:pPr>
            <w:r>
              <w:rPr>
                <w:sz w:val="20"/>
              </w:rPr>
              <w:t xml:space="preserve">4</w:t>
            </w:r>
          </w:p>
        </w:tc>
        <w:tc>
          <w:tcPr>
            <w:tcW w:w="1033" w:type="dxa"/>
            <w:vAlign w:val="center"/>
          </w:tcPr>
          <w:p>
            <w:pPr>
              <w:pStyle w:val="0"/>
              <w:jc w:val="center"/>
            </w:pPr>
            <w:r>
              <w:rPr>
                <w:sz w:val="20"/>
              </w:rPr>
              <w:t xml:space="preserve">6</w:t>
            </w:r>
          </w:p>
        </w:tc>
        <w:tc>
          <w:tcPr>
            <w:tcW w:w="1065" w:type="dxa"/>
            <w:vAlign w:val="center"/>
          </w:tcPr>
          <w:p>
            <w:pPr>
              <w:pStyle w:val="0"/>
              <w:jc w:val="center"/>
            </w:pPr>
            <w:r>
              <w:rPr>
                <w:sz w:val="20"/>
              </w:rPr>
              <w:t xml:space="preserve">20</w:t>
            </w:r>
          </w:p>
        </w:tc>
        <w:tc>
          <w:tcPr>
            <w:tcW w:w="1049" w:type="dxa"/>
            <w:vAlign w:val="center"/>
          </w:tcPr>
          <w:p>
            <w:pPr>
              <w:pStyle w:val="0"/>
              <w:jc w:val="center"/>
            </w:pPr>
            <w:r>
              <w:rPr>
                <w:sz w:val="20"/>
              </w:rPr>
              <w:t xml:space="preserve">24</w:t>
            </w:r>
          </w:p>
        </w:tc>
      </w:tr>
      <w:tr>
        <w:tc>
          <w:tcPr>
            <w:tcW w:w="680" w:type="dxa"/>
            <w:vAlign w:val="center"/>
          </w:tcPr>
          <w:p>
            <w:pPr>
              <w:pStyle w:val="0"/>
              <w:jc w:val="center"/>
            </w:pPr>
            <w:r>
              <w:rPr>
                <w:sz w:val="20"/>
              </w:rPr>
              <w:t xml:space="preserve">36</w:t>
            </w:r>
          </w:p>
        </w:tc>
        <w:tc>
          <w:tcPr>
            <w:tcW w:w="4025" w:type="dxa"/>
            <w:vAlign w:val="center"/>
          </w:tcPr>
          <w:p>
            <w:pPr>
              <w:pStyle w:val="0"/>
              <w:jc w:val="both"/>
            </w:pPr>
            <w:r>
              <w:rPr>
                <w:sz w:val="20"/>
              </w:rPr>
              <w:t xml:space="preserve">Удельный расход условного топлива на отпуск электрической и тепловой энергии для генерирующих источников, работающих на органическом топливе (т у.т/1000 кВт.ч)</w:t>
            </w:r>
          </w:p>
        </w:tc>
        <w:tc>
          <w:tcPr>
            <w:tcW w:w="1051" w:type="dxa"/>
            <w:vAlign w:val="center"/>
          </w:tcPr>
          <w:p>
            <w:pPr>
              <w:pStyle w:val="0"/>
              <w:jc w:val="center"/>
            </w:pPr>
            <w:r>
              <w:rPr>
                <w:sz w:val="20"/>
              </w:rPr>
              <w:t xml:space="preserve">0</w:t>
            </w:r>
          </w:p>
        </w:tc>
        <w:tc>
          <w:tcPr>
            <w:tcW w:w="1033" w:type="dxa"/>
            <w:vAlign w:val="center"/>
          </w:tcPr>
          <w:p>
            <w:pPr>
              <w:pStyle w:val="0"/>
              <w:jc w:val="center"/>
            </w:pPr>
            <w:r>
              <w:rPr>
                <w:sz w:val="20"/>
              </w:rPr>
              <w:t xml:space="preserve">0</w:t>
            </w:r>
          </w:p>
        </w:tc>
        <w:tc>
          <w:tcPr>
            <w:tcW w:w="1065" w:type="dxa"/>
            <w:vAlign w:val="center"/>
          </w:tcPr>
          <w:p>
            <w:pPr>
              <w:pStyle w:val="0"/>
              <w:jc w:val="center"/>
            </w:pPr>
            <w:r>
              <w:rPr>
                <w:sz w:val="20"/>
              </w:rPr>
              <w:t xml:space="preserve">1,082</w:t>
            </w:r>
          </w:p>
        </w:tc>
        <w:tc>
          <w:tcPr>
            <w:tcW w:w="1049" w:type="dxa"/>
            <w:vAlign w:val="center"/>
          </w:tcPr>
          <w:p>
            <w:pPr>
              <w:pStyle w:val="0"/>
              <w:jc w:val="center"/>
            </w:pPr>
            <w:r>
              <w:rPr>
                <w:sz w:val="20"/>
              </w:rPr>
              <w:t xml:space="preserve">1,05</w:t>
            </w:r>
          </w:p>
        </w:tc>
      </w:tr>
    </w:tbl>
    <w:p>
      <w:pPr>
        <w:pStyle w:val="0"/>
        <w:jc w:val="both"/>
      </w:pPr>
      <w:r>
        <w:rPr>
          <w:sz w:val="20"/>
        </w:rPr>
      </w:r>
    </w:p>
    <w:p>
      <w:pPr>
        <w:pStyle w:val="0"/>
        <w:ind w:firstLine="540"/>
        <w:jc w:val="both"/>
      </w:pPr>
      <w:r>
        <w:rPr>
          <w:sz w:val="20"/>
        </w:rPr>
        <w:t xml:space="preserve">Источник: Центр стратегий регионального развития ИПЭИ РАНХиГС.</w:t>
      </w:r>
    </w:p>
    <w:p>
      <w:pPr>
        <w:pStyle w:val="0"/>
        <w:jc w:val="both"/>
      </w:pPr>
      <w:r>
        <w:rPr>
          <w:sz w:val="20"/>
        </w:rPr>
      </w:r>
    </w:p>
    <w:p>
      <w:pPr>
        <w:pStyle w:val="0"/>
        <w:ind w:firstLine="540"/>
        <w:jc w:val="both"/>
      </w:pPr>
      <w:r>
        <w:rPr>
          <w:sz w:val="20"/>
        </w:rPr>
        <w:t xml:space="preserve">Ключевые целевые индикаторы реализации базового сценария развития представлены в таблице ниже.</w:t>
      </w:r>
    </w:p>
    <w:p>
      <w:pPr>
        <w:pStyle w:val="0"/>
        <w:jc w:val="both"/>
      </w:pPr>
      <w:r>
        <w:rPr>
          <w:sz w:val="20"/>
        </w:rPr>
      </w:r>
    </w:p>
    <w:p>
      <w:pPr>
        <w:pStyle w:val="0"/>
        <w:outlineLvl w:val="2"/>
        <w:jc w:val="right"/>
      </w:pPr>
      <w:r>
        <w:rPr>
          <w:sz w:val="20"/>
        </w:rPr>
        <w:t xml:space="preserve">Таблица N 2</w:t>
      </w:r>
    </w:p>
    <w:p>
      <w:pPr>
        <w:pStyle w:val="0"/>
        <w:jc w:val="both"/>
      </w:pPr>
      <w:r>
        <w:rPr>
          <w:sz w:val="20"/>
        </w:rPr>
      </w:r>
    </w:p>
    <w:p>
      <w:pPr>
        <w:pStyle w:val="2"/>
        <w:jc w:val="center"/>
      </w:pPr>
      <w:r>
        <w:rPr>
          <w:sz w:val="20"/>
        </w:rPr>
        <w:t xml:space="preserve">Основные целевые индикаторы базового сценария развития</w:t>
      </w:r>
    </w:p>
    <w:p>
      <w:pPr>
        <w:pStyle w:val="2"/>
        <w:jc w:val="center"/>
      </w:pPr>
      <w:r>
        <w:rPr>
          <w:sz w:val="20"/>
        </w:rPr>
        <w:t xml:space="preserve">Курской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4025"/>
        <w:gridCol w:w="1051"/>
        <w:gridCol w:w="1033"/>
        <w:gridCol w:w="1065"/>
        <w:gridCol w:w="1049"/>
      </w:tblGrid>
      <w:tr>
        <w:tc>
          <w:tcPr>
            <w:tcW w:w="680" w:type="dxa"/>
            <w:vAlign w:val="center"/>
          </w:tcPr>
          <w:p>
            <w:pPr>
              <w:pStyle w:val="0"/>
              <w:jc w:val="center"/>
            </w:pPr>
            <w:r>
              <w:rPr>
                <w:sz w:val="20"/>
              </w:rPr>
              <w:t xml:space="preserve">N</w:t>
            </w:r>
          </w:p>
        </w:tc>
        <w:tc>
          <w:tcPr>
            <w:tcW w:w="4025" w:type="dxa"/>
            <w:vAlign w:val="center"/>
          </w:tcPr>
          <w:p>
            <w:pPr>
              <w:pStyle w:val="0"/>
              <w:jc w:val="center"/>
            </w:pPr>
            <w:r>
              <w:rPr>
                <w:sz w:val="20"/>
              </w:rPr>
              <w:t xml:space="preserve">Наименование показателя</w:t>
            </w:r>
          </w:p>
        </w:tc>
        <w:tc>
          <w:tcPr>
            <w:tcW w:w="1051" w:type="dxa"/>
            <w:vAlign w:val="center"/>
          </w:tcPr>
          <w:p>
            <w:pPr>
              <w:pStyle w:val="0"/>
              <w:jc w:val="center"/>
            </w:pPr>
            <w:r>
              <w:rPr>
                <w:sz w:val="20"/>
              </w:rPr>
              <w:t xml:space="preserve">2017 г.</w:t>
            </w:r>
          </w:p>
        </w:tc>
        <w:tc>
          <w:tcPr>
            <w:tcW w:w="1033" w:type="dxa"/>
            <w:vAlign w:val="center"/>
          </w:tcPr>
          <w:p>
            <w:pPr>
              <w:pStyle w:val="0"/>
              <w:jc w:val="center"/>
            </w:pPr>
            <w:r>
              <w:rPr>
                <w:sz w:val="20"/>
              </w:rPr>
              <w:t xml:space="preserve">2020 г.</w:t>
            </w:r>
          </w:p>
        </w:tc>
        <w:tc>
          <w:tcPr>
            <w:tcW w:w="1065" w:type="dxa"/>
            <w:vAlign w:val="center"/>
          </w:tcPr>
          <w:p>
            <w:pPr>
              <w:pStyle w:val="0"/>
              <w:jc w:val="center"/>
            </w:pPr>
            <w:r>
              <w:rPr>
                <w:sz w:val="20"/>
              </w:rPr>
              <w:t xml:space="preserve">2025 г.</w:t>
            </w:r>
          </w:p>
        </w:tc>
        <w:tc>
          <w:tcPr>
            <w:tcW w:w="1049" w:type="dxa"/>
            <w:vAlign w:val="center"/>
          </w:tcPr>
          <w:p>
            <w:pPr>
              <w:pStyle w:val="0"/>
              <w:jc w:val="center"/>
            </w:pPr>
            <w:r>
              <w:rPr>
                <w:sz w:val="20"/>
              </w:rPr>
              <w:t xml:space="preserve">2030 г.</w:t>
            </w:r>
          </w:p>
        </w:tc>
      </w:tr>
      <w:tr>
        <w:tc>
          <w:tcPr>
            <w:tcW w:w="680" w:type="dxa"/>
            <w:vAlign w:val="center"/>
          </w:tcPr>
          <w:p>
            <w:pPr>
              <w:pStyle w:val="0"/>
              <w:jc w:val="center"/>
            </w:pPr>
            <w:r>
              <w:rPr>
                <w:sz w:val="20"/>
              </w:rPr>
              <w:t xml:space="preserve">1</w:t>
            </w:r>
          </w:p>
        </w:tc>
        <w:tc>
          <w:tcPr>
            <w:tcW w:w="4025" w:type="dxa"/>
            <w:vAlign w:val="center"/>
          </w:tcPr>
          <w:p>
            <w:pPr>
              <w:pStyle w:val="0"/>
              <w:jc w:val="both"/>
            </w:pPr>
            <w:r>
              <w:rPr>
                <w:sz w:val="20"/>
              </w:rPr>
              <w:t xml:space="preserve">Среднегодовая численность населения, тыс. чел.</w:t>
            </w:r>
          </w:p>
        </w:tc>
        <w:tc>
          <w:tcPr>
            <w:tcW w:w="1051" w:type="dxa"/>
            <w:vAlign w:val="center"/>
          </w:tcPr>
          <w:p>
            <w:pPr>
              <w:pStyle w:val="0"/>
              <w:jc w:val="center"/>
            </w:pPr>
            <w:r>
              <w:rPr>
                <w:sz w:val="20"/>
              </w:rPr>
              <w:t xml:space="preserve">1119,1</w:t>
            </w:r>
          </w:p>
        </w:tc>
        <w:tc>
          <w:tcPr>
            <w:tcW w:w="1033" w:type="dxa"/>
            <w:vAlign w:val="center"/>
          </w:tcPr>
          <w:p>
            <w:pPr>
              <w:pStyle w:val="0"/>
              <w:jc w:val="center"/>
            </w:pPr>
            <w:r>
              <w:rPr>
                <w:sz w:val="20"/>
              </w:rPr>
              <w:t xml:space="preserve">1101,1</w:t>
            </w:r>
          </w:p>
        </w:tc>
        <w:tc>
          <w:tcPr>
            <w:tcW w:w="1065" w:type="dxa"/>
            <w:vAlign w:val="center"/>
          </w:tcPr>
          <w:p>
            <w:pPr>
              <w:pStyle w:val="0"/>
              <w:jc w:val="center"/>
            </w:pPr>
            <w:r>
              <w:rPr>
                <w:sz w:val="20"/>
              </w:rPr>
              <w:t xml:space="preserve">1076,0</w:t>
            </w:r>
          </w:p>
        </w:tc>
        <w:tc>
          <w:tcPr>
            <w:tcW w:w="1049" w:type="dxa"/>
            <w:vAlign w:val="center"/>
          </w:tcPr>
          <w:p>
            <w:pPr>
              <w:pStyle w:val="0"/>
              <w:jc w:val="center"/>
            </w:pPr>
            <w:r>
              <w:rPr>
                <w:sz w:val="20"/>
              </w:rPr>
              <w:t xml:space="preserve">1058,2</w:t>
            </w:r>
          </w:p>
        </w:tc>
      </w:tr>
      <w:tr>
        <w:tc>
          <w:tcPr>
            <w:tcW w:w="680" w:type="dxa"/>
            <w:vAlign w:val="center"/>
          </w:tcPr>
          <w:p>
            <w:pPr>
              <w:pStyle w:val="0"/>
              <w:jc w:val="center"/>
            </w:pPr>
            <w:r>
              <w:rPr>
                <w:sz w:val="20"/>
              </w:rPr>
              <w:t xml:space="preserve">2</w:t>
            </w:r>
          </w:p>
        </w:tc>
        <w:tc>
          <w:tcPr>
            <w:tcW w:w="4025" w:type="dxa"/>
            <w:vAlign w:val="center"/>
          </w:tcPr>
          <w:p>
            <w:pPr>
              <w:pStyle w:val="0"/>
              <w:jc w:val="both"/>
            </w:pPr>
            <w:r>
              <w:rPr>
                <w:sz w:val="20"/>
              </w:rPr>
              <w:t xml:space="preserve">Ожидаемая продолжительность жизни при рождении, лет</w:t>
            </w:r>
          </w:p>
        </w:tc>
        <w:tc>
          <w:tcPr>
            <w:tcW w:w="1051" w:type="dxa"/>
            <w:vAlign w:val="center"/>
          </w:tcPr>
          <w:p>
            <w:pPr>
              <w:pStyle w:val="0"/>
              <w:jc w:val="center"/>
            </w:pPr>
            <w:r>
              <w:rPr>
                <w:sz w:val="20"/>
              </w:rPr>
              <w:t xml:space="preserve">71,74</w:t>
            </w:r>
          </w:p>
        </w:tc>
        <w:tc>
          <w:tcPr>
            <w:tcW w:w="1033" w:type="dxa"/>
            <w:vAlign w:val="center"/>
          </w:tcPr>
          <w:p>
            <w:pPr>
              <w:pStyle w:val="0"/>
              <w:jc w:val="center"/>
            </w:pPr>
            <w:r>
              <w:rPr>
                <w:sz w:val="20"/>
              </w:rPr>
              <w:t xml:space="preserve">73,77</w:t>
            </w:r>
          </w:p>
        </w:tc>
        <w:tc>
          <w:tcPr>
            <w:tcW w:w="1065" w:type="dxa"/>
            <w:vAlign w:val="center"/>
          </w:tcPr>
          <w:p>
            <w:pPr>
              <w:pStyle w:val="0"/>
              <w:jc w:val="center"/>
            </w:pPr>
            <w:r>
              <w:rPr>
                <w:sz w:val="20"/>
              </w:rPr>
              <w:t xml:space="preserve">75,4</w:t>
            </w:r>
          </w:p>
        </w:tc>
        <w:tc>
          <w:tcPr>
            <w:tcW w:w="1049" w:type="dxa"/>
            <w:vAlign w:val="center"/>
          </w:tcPr>
          <w:p>
            <w:pPr>
              <w:pStyle w:val="0"/>
              <w:jc w:val="center"/>
            </w:pPr>
            <w:r>
              <w:rPr>
                <w:sz w:val="20"/>
              </w:rPr>
              <w:t xml:space="preserve">76,5</w:t>
            </w:r>
          </w:p>
        </w:tc>
      </w:tr>
      <w:tr>
        <w:tc>
          <w:tcPr>
            <w:tcW w:w="680" w:type="dxa"/>
            <w:vAlign w:val="center"/>
          </w:tcPr>
          <w:p>
            <w:pPr>
              <w:pStyle w:val="0"/>
              <w:jc w:val="center"/>
            </w:pPr>
            <w:r>
              <w:rPr>
                <w:sz w:val="20"/>
              </w:rPr>
              <w:t xml:space="preserve">3</w:t>
            </w:r>
          </w:p>
        </w:tc>
        <w:tc>
          <w:tcPr>
            <w:tcW w:w="4025" w:type="dxa"/>
            <w:vAlign w:val="center"/>
          </w:tcPr>
          <w:p>
            <w:pPr>
              <w:pStyle w:val="0"/>
              <w:jc w:val="both"/>
            </w:pPr>
            <w:r>
              <w:rPr>
                <w:sz w:val="20"/>
              </w:rPr>
              <w:t xml:space="preserve">Обеспеченность населения врачами, на 10 тыс. чел.</w:t>
            </w:r>
          </w:p>
        </w:tc>
        <w:tc>
          <w:tcPr>
            <w:tcW w:w="1051" w:type="dxa"/>
            <w:vAlign w:val="center"/>
          </w:tcPr>
          <w:p>
            <w:pPr>
              <w:pStyle w:val="0"/>
              <w:jc w:val="center"/>
            </w:pPr>
            <w:r>
              <w:rPr>
                <w:sz w:val="20"/>
              </w:rPr>
              <w:t xml:space="preserve">49,9</w:t>
            </w:r>
          </w:p>
        </w:tc>
        <w:tc>
          <w:tcPr>
            <w:tcW w:w="1033" w:type="dxa"/>
            <w:vAlign w:val="center"/>
          </w:tcPr>
          <w:p>
            <w:pPr>
              <w:pStyle w:val="0"/>
              <w:jc w:val="center"/>
            </w:pPr>
            <w:r>
              <w:rPr>
                <w:sz w:val="20"/>
              </w:rPr>
              <w:t xml:space="preserve">50,6</w:t>
            </w:r>
          </w:p>
        </w:tc>
        <w:tc>
          <w:tcPr>
            <w:tcW w:w="1065" w:type="dxa"/>
            <w:vAlign w:val="center"/>
          </w:tcPr>
          <w:p>
            <w:pPr>
              <w:pStyle w:val="0"/>
              <w:jc w:val="center"/>
            </w:pPr>
            <w:r>
              <w:rPr>
                <w:sz w:val="20"/>
              </w:rPr>
              <w:t xml:space="preserve">52,3</w:t>
            </w:r>
          </w:p>
        </w:tc>
        <w:tc>
          <w:tcPr>
            <w:tcW w:w="1049" w:type="dxa"/>
            <w:vAlign w:val="center"/>
          </w:tcPr>
          <w:p>
            <w:pPr>
              <w:pStyle w:val="0"/>
              <w:jc w:val="center"/>
            </w:pPr>
            <w:r>
              <w:rPr>
                <w:sz w:val="20"/>
              </w:rPr>
              <w:t xml:space="preserve">54,0</w:t>
            </w:r>
          </w:p>
        </w:tc>
      </w:tr>
      <w:tr>
        <w:tc>
          <w:tcPr>
            <w:tcW w:w="680" w:type="dxa"/>
            <w:vAlign w:val="center"/>
          </w:tcPr>
          <w:p>
            <w:pPr>
              <w:pStyle w:val="0"/>
              <w:jc w:val="center"/>
            </w:pPr>
            <w:r>
              <w:rPr>
                <w:sz w:val="20"/>
              </w:rPr>
              <w:t xml:space="preserve">4</w:t>
            </w:r>
          </w:p>
        </w:tc>
        <w:tc>
          <w:tcPr>
            <w:tcW w:w="4025" w:type="dxa"/>
            <w:vAlign w:val="center"/>
          </w:tcPr>
          <w:p>
            <w:pPr>
              <w:pStyle w:val="0"/>
              <w:jc w:val="both"/>
            </w:pPr>
            <w:r>
              <w:rPr>
                <w:sz w:val="20"/>
              </w:rPr>
              <w:t xml:space="preserve">ВРП, млрд. рублей в текущих ценах</w:t>
            </w:r>
          </w:p>
        </w:tc>
        <w:tc>
          <w:tcPr>
            <w:tcW w:w="1051" w:type="dxa"/>
            <w:vAlign w:val="center"/>
          </w:tcPr>
          <w:p>
            <w:pPr>
              <w:pStyle w:val="0"/>
              <w:jc w:val="center"/>
            </w:pPr>
            <w:r>
              <w:rPr>
                <w:sz w:val="20"/>
              </w:rPr>
              <w:t xml:space="preserve">387,3</w:t>
            </w:r>
          </w:p>
        </w:tc>
        <w:tc>
          <w:tcPr>
            <w:tcW w:w="1033" w:type="dxa"/>
            <w:vAlign w:val="center"/>
          </w:tcPr>
          <w:p>
            <w:pPr>
              <w:pStyle w:val="0"/>
              <w:jc w:val="center"/>
            </w:pPr>
            <w:r>
              <w:rPr>
                <w:sz w:val="20"/>
              </w:rPr>
              <w:t xml:space="preserve">455,4</w:t>
            </w:r>
          </w:p>
        </w:tc>
        <w:tc>
          <w:tcPr>
            <w:tcW w:w="1065" w:type="dxa"/>
            <w:vAlign w:val="center"/>
          </w:tcPr>
          <w:p>
            <w:pPr>
              <w:pStyle w:val="0"/>
              <w:jc w:val="center"/>
            </w:pPr>
            <w:r>
              <w:rPr>
                <w:sz w:val="20"/>
              </w:rPr>
              <w:t xml:space="preserve">578,3</w:t>
            </w:r>
          </w:p>
        </w:tc>
        <w:tc>
          <w:tcPr>
            <w:tcW w:w="1049" w:type="dxa"/>
            <w:vAlign w:val="center"/>
          </w:tcPr>
          <w:p>
            <w:pPr>
              <w:pStyle w:val="0"/>
              <w:jc w:val="center"/>
            </w:pPr>
            <w:r>
              <w:rPr>
                <w:sz w:val="20"/>
              </w:rPr>
              <w:t xml:space="preserve">735,7</w:t>
            </w:r>
          </w:p>
        </w:tc>
      </w:tr>
      <w:tr>
        <w:tc>
          <w:tcPr>
            <w:tcW w:w="680" w:type="dxa"/>
            <w:vAlign w:val="center"/>
          </w:tcPr>
          <w:p>
            <w:pPr>
              <w:pStyle w:val="0"/>
              <w:jc w:val="center"/>
            </w:pPr>
            <w:r>
              <w:rPr>
                <w:sz w:val="20"/>
              </w:rPr>
              <w:t xml:space="preserve">5</w:t>
            </w:r>
          </w:p>
        </w:tc>
        <w:tc>
          <w:tcPr>
            <w:tcW w:w="4025" w:type="dxa"/>
            <w:vAlign w:val="center"/>
          </w:tcPr>
          <w:p>
            <w:pPr>
              <w:pStyle w:val="0"/>
              <w:jc w:val="both"/>
            </w:pPr>
            <w:r>
              <w:rPr>
                <w:sz w:val="20"/>
              </w:rPr>
              <w:t xml:space="preserve">Индекс промышленного производства, в % к 2017 году</w:t>
            </w:r>
          </w:p>
        </w:tc>
        <w:tc>
          <w:tcPr>
            <w:tcW w:w="1051" w:type="dxa"/>
            <w:vAlign w:val="center"/>
          </w:tcPr>
          <w:p>
            <w:pPr>
              <w:pStyle w:val="0"/>
              <w:jc w:val="center"/>
            </w:pPr>
            <w:r>
              <w:rPr>
                <w:sz w:val="20"/>
              </w:rPr>
              <w:t xml:space="preserve">100</w:t>
            </w:r>
          </w:p>
        </w:tc>
        <w:tc>
          <w:tcPr>
            <w:tcW w:w="1033" w:type="dxa"/>
            <w:vAlign w:val="center"/>
          </w:tcPr>
          <w:p>
            <w:pPr>
              <w:pStyle w:val="0"/>
              <w:jc w:val="center"/>
            </w:pPr>
            <w:r>
              <w:rPr>
                <w:sz w:val="20"/>
              </w:rPr>
              <w:t xml:space="preserve">100,4</w:t>
            </w:r>
          </w:p>
        </w:tc>
        <w:tc>
          <w:tcPr>
            <w:tcW w:w="1065" w:type="dxa"/>
            <w:vAlign w:val="center"/>
          </w:tcPr>
          <w:p>
            <w:pPr>
              <w:pStyle w:val="0"/>
              <w:jc w:val="center"/>
            </w:pPr>
            <w:r>
              <w:rPr>
                <w:sz w:val="20"/>
              </w:rPr>
              <w:t xml:space="preserve">108,1</w:t>
            </w:r>
          </w:p>
        </w:tc>
        <w:tc>
          <w:tcPr>
            <w:tcW w:w="1049" w:type="dxa"/>
            <w:vAlign w:val="center"/>
          </w:tcPr>
          <w:p>
            <w:pPr>
              <w:pStyle w:val="0"/>
              <w:jc w:val="center"/>
            </w:pPr>
            <w:r>
              <w:rPr>
                <w:sz w:val="20"/>
              </w:rPr>
              <w:t xml:space="preserve">119,2</w:t>
            </w:r>
          </w:p>
        </w:tc>
      </w:tr>
      <w:tr>
        <w:tc>
          <w:tcPr>
            <w:tcW w:w="680" w:type="dxa"/>
            <w:vAlign w:val="center"/>
          </w:tcPr>
          <w:p>
            <w:pPr>
              <w:pStyle w:val="0"/>
              <w:jc w:val="center"/>
            </w:pPr>
            <w:r>
              <w:rPr>
                <w:sz w:val="20"/>
              </w:rPr>
              <w:t xml:space="preserve">6</w:t>
            </w:r>
          </w:p>
        </w:tc>
        <w:tc>
          <w:tcPr>
            <w:tcW w:w="4025" w:type="dxa"/>
            <w:vAlign w:val="center"/>
          </w:tcPr>
          <w:p>
            <w:pPr>
              <w:pStyle w:val="0"/>
              <w:jc w:val="both"/>
            </w:pPr>
            <w:r>
              <w:rPr>
                <w:sz w:val="20"/>
              </w:rPr>
              <w:t xml:space="preserve">Индекс производительности труда, % к 2017 году</w:t>
            </w:r>
          </w:p>
        </w:tc>
        <w:tc>
          <w:tcPr>
            <w:tcW w:w="1051" w:type="dxa"/>
            <w:vAlign w:val="center"/>
          </w:tcPr>
          <w:p>
            <w:pPr>
              <w:pStyle w:val="0"/>
              <w:jc w:val="center"/>
            </w:pPr>
            <w:r>
              <w:rPr>
                <w:sz w:val="20"/>
              </w:rPr>
              <w:t xml:space="preserve">100</w:t>
            </w:r>
          </w:p>
        </w:tc>
        <w:tc>
          <w:tcPr>
            <w:tcW w:w="1033" w:type="dxa"/>
            <w:vAlign w:val="center"/>
          </w:tcPr>
          <w:p>
            <w:pPr>
              <w:pStyle w:val="0"/>
              <w:jc w:val="center"/>
            </w:pPr>
            <w:r>
              <w:rPr>
                <w:sz w:val="20"/>
              </w:rPr>
              <w:t xml:space="preserve">105,0</w:t>
            </w:r>
          </w:p>
        </w:tc>
        <w:tc>
          <w:tcPr>
            <w:tcW w:w="1065" w:type="dxa"/>
            <w:vAlign w:val="center"/>
          </w:tcPr>
          <w:p>
            <w:pPr>
              <w:pStyle w:val="0"/>
              <w:jc w:val="center"/>
            </w:pPr>
            <w:r>
              <w:rPr>
                <w:sz w:val="20"/>
              </w:rPr>
              <w:t xml:space="preserve">110,0</w:t>
            </w:r>
          </w:p>
        </w:tc>
        <w:tc>
          <w:tcPr>
            <w:tcW w:w="1049" w:type="dxa"/>
            <w:vAlign w:val="center"/>
          </w:tcPr>
          <w:p>
            <w:pPr>
              <w:pStyle w:val="0"/>
              <w:jc w:val="center"/>
            </w:pPr>
            <w:r>
              <w:rPr>
                <w:sz w:val="20"/>
              </w:rPr>
              <w:t xml:space="preserve">120,0</w:t>
            </w:r>
          </w:p>
        </w:tc>
      </w:tr>
      <w:tr>
        <w:tc>
          <w:tcPr>
            <w:tcW w:w="680" w:type="dxa"/>
            <w:vAlign w:val="center"/>
          </w:tcPr>
          <w:p>
            <w:pPr>
              <w:pStyle w:val="0"/>
              <w:jc w:val="center"/>
            </w:pPr>
            <w:r>
              <w:rPr>
                <w:sz w:val="20"/>
              </w:rPr>
              <w:t xml:space="preserve">7</w:t>
            </w:r>
          </w:p>
        </w:tc>
        <w:tc>
          <w:tcPr>
            <w:tcW w:w="4025" w:type="dxa"/>
            <w:vAlign w:val="center"/>
          </w:tcPr>
          <w:p>
            <w:pPr>
              <w:pStyle w:val="0"/>
              <w:jc w:val="both"/>
            </w:pPr>
            <w:r>
              <w:rPr>
                <w:sz w:val="20"/>
              </w:rPr>
              <w:t xml:space="preserve">Ввод в действие жилых домов, тыс. кв. м общей площади</w:t>
            </w:r>
          </w:p>
        </w:tc>
        <w:tc>
          <w:tcPr>
            <w:tcW w:w="1051" w:type="dxa"/>
            <w:vAlign w:val="center"/>
          </w:tcPr>
          <w:p>
            <w:pPr>
              <w:pStyle w:val="0"/>
              <w:jc w:val="center"/>
            </w:pPr>
            <w:r>
              <w:rPr>
                <w:sz w:val="20"/>
              </w:rPr>
              <w:t xml:space="preserve">590,5</w:t>
            </w:r>
          </w:p>
        </w:tc>
        <w:tc>
          <w:tcPr>
            <w:tcW w:w="1033" w:type="dxa"/>
            <w:vAlign w:val="center"/>
          </w:tcPr>
          <w:p>
            <w:pPr>
              <w:pStyle w:val="0"/>
              <w:jc w:val="center"/>
            </w:pPr>
            <w:r>
              <w:rPr>
                <w:sz w:val="20"/>
              </w:rPr>
              <w:t xml:space="preserve">435,1</w:t>
            </w:r>
          </w:p>
        </w:tc>
        <w:tc>
          <w:tcPr>
            <w:tcW w:w="1065" w:type="dxa"/>
            <w:vAlign w:val="center"/>
          </w:tcPr>
          <w:p>
            <w:pPr>
              <w:pStyle w:val="0"/>
              <w:jc w:val="center"/>
            </w:pPr>
            <w:r>
              <w:rPr>
                <w:sz w:val="20"/>
              </w:rPr>
              <w:t xml:space="preserve">435,1</w:t>
            </w:r>
          </w:p>
        </w:tc>
        <w:tc>
          <w:tcPr>
            <w:tcW w:w="1049" w:type="dxa"/>
            <w:vAlign w:val="center"/>
          </w:tcPr>
          <w:p>
            <w:pPr>
              <w:pStyle w:val="0"/>
              <w:jc w:val="center"/>
            </w:pPr>
            <w:r>
              <w:rPr>
                <w:sz w:val="20"/>
              </w:rPr>
              <w:t xml:space="preserve">435,1</w:t>
            </w:r>
          </w:p>
        </w:tc>
      </w:tr>
      <w:tr>
        <w:tblPrEx>
          <w:tblBorders>
            <w:insideH w:val="nil"/>
          </w:tblBorders>
        </w:tblPrEx>
        <w:tc>
          <w:tcPr>
            <w:tcW w:w="680" w:type="dxa"/>
            <w:tcBorders>
              <w:bottom w:val="nil"/>
            </w:tcBorders>
          </w:tcPr>
          <w:p>
            <w:pPr>
              <w:pStyle w:val="0"/>
              <w:jc w:val="center"/>
            </w:pPr>
            <w:r>
              <w:rPr>
                <w:sz w:val="20"/>
              </w:rPr>
              <w:t xml:space="preserve">8</w:t>
            </w:r>
          </w:p>
        </w:tc>
        <w:tc>
          <w:tcPr>
            <w:tcW w:w="4025" w:type="dxa"/>
            <w:tcBorders>
              <w:bottom w:val="nil"/>
            </w:tcBorders>
          </w:tcPr>
          <w:p>
            <w:pPr>
              <w:pStyle w:val="0"/>
              <w:jc w:val="both"/>
            </w:pPr>
            <w:r>
              <w:rPr>
                <w:sz w:val="20"/>
              </w:rPr>
              <w:t xml:space="preserve">Экспорт - всего, млн. долл. США</w:t>
            </w:r>
          </w:p>
        </w:tc>
        <w:tc>
          <w:tcPr>
            <w:tcW w:w="1051" w:type="dxa"/>
            <w:tcBorders>
              <w:bottom w:val="nil"/>
            </w:tcBorders>
          </w:tcPr>
          <w:p>
            <w:pPr>
              <w:pStyle w:val="0"/>
              <w:jc w:val="center"/>
            </w:pPr>
            <w:r>
              <w:rPr>
                <w:sz w:val="20"/>
              </w:rPr>
              <w:t xml:space="preserve">622,2</w:t>
            </w:r>
          </w:p>
        </w:tc>
        <w:tc>
          <w:tcPr>
            <w:tcW w:w="1033" w:type="dxa"/>
            <w:tcBorders>
              <w:bottom w:val="nil"/>
            </w:tcBorders>
          </w:tcPr>
          <w:p>
            <w:pPr>
              <w:pStyle w:val="0"/>
              <w:jc w:val="center"/>
            </w:pPr>
            <w:r>
              <w:rPr>
                <w:sz w:val="20"/>
              </w:rPr>
              <w:t xml:space="preserve">704,0</w:t>
            </w:r>
          </w:p>
        </w:tc>
        <w:tc>
          <w:tcPr>
            <w:tcW w:w="1065" w:type="dxa"/>
            <w:tcBorders>
              <w:bottom w:val="nil"/>
            </w:tcBorders>
          </w:tcPr>
          <w:p>
            <w:pPr>
              <w:pStyle w:val="0"/>
              <w:jc w:val="center"/>
            </w:pPr>
            <w:r>
              <w:rPr>
                <w:sz w:val="20"/>
              </w:rPr>
              <w:t xml:space="preserve">1094,0</w:t>
            </w:r>
          </w:p>
        </w:tc>
        <w:tc>
          <w:tcPr>
            <w:tcW w:w="1049" w:type="dxa"/>
            <w:tcBorders>
              <w:bottom w:val="nil"/>
            </w:tcBorders>
          </w:tcPr>
          <w:p>
            <w:pPr>
              <w:pStyle w:val="0"/>
              <w:jc w:val="center"/>
            </w:pPr>
            <w:r>
              <w:rPr>
                <w:sz w:val="20"/>
              </w:rPr>
              <w:t xml:space="preserve">1228,0</w:t>
            </w:r>
          </w:p>
        </w:tc>
      </w:tr>
      <w:tr>
        <w:tblPrEx>
          <w:tblBorders>
            <w:insideH w:val="nil"/>
          </w:tblBorders>
        </w:tblPrEx>
        <w:tc>
          <w:tcPr>
            <w:gridSpan w:val="6"/>
            <w:tcW w:w="8903" w:type="dxa"/>
            <w:tcBorders>
              <w:top w:val="nil"/>
            </w:tcBorders>
          </w:tcPr>
          <w:p>
            <w:pPr>
              <w:pStyle w:val="0"/>
              <w:jc w:val="both"/>
            </w:pPr>
            <w:r>
              <w:rPr>
                <w:sz w:val="20"/>
              </w:rPr>
              <w:t xml:space="preserve">(п. 8 в ред. </w:t>
            </w:r>
            <w:hyperlink w:history="0" r:id="rId112"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tc>
      </w:tr>
      <w:tr>
        <w:tblPrEx>
          <w:tblBorders>
            <w:insideH w:val="nil"/>
          </w:tblBorders>
        </w:tblPrEx>
        <w:tc>
          <w:tcPr>
            <w:tcW w:w="680" w:type="dxa"/>
            <w:tcBorders>
              <w:bottom w:val="nil"/>
            </w:tcBorders>
          </w:tcPr>
          <w:p>
            <w:pPr>
              <w:pStyle w:val="0"/>
              <w:jc w:val="center"/>
            </w:pPr>
            <w:r>
              <w:rPr>
                <w:sz w:val="20"/>
              </w:rPr>
              <w:t xml:space="preserve">8.1</w:t>
            </w:r>
          </w:p>
        </w:tc>
        <w:tc>
          <w:tcPr>
            <w:tcW w:w="4025" w:type="dxa"/>
            <w:tcBorders>
              <w:bottom w:val="nil"/>
            </w:tcBorders>
          </w:tcPr>
          <w:p>
            <w:pPr>
              <w:pStyle w:val="0"/>
            </w:pPr>
            <w:r>
              <w:rPr>
                <w:sz w:val="20"/>
              </w:rPr>
              <w:t xml:space="preserve">Объем несырьевого неэнергетического экспорта, млн. долл. США</w:t>
            </w:r>
          </w:p>
        </w:tc>
        <w:tc>
          <w:tcPr>
            <w:tcW w:w="1051" w:type="dxa"/>
            <w:tcBorders>
              <w:bottom w:val="nil"/>
            </w:tcBorders>
          </w:tcPr>
          <w:p>
            <w:pPr>
              <w:pStyle w:val="0"/>
              <w:jc w:val="center"/>
            </w:pPr>
            <w:r>
              <w:rPr>
                <w:sz w:val="20"/>
              </w:rPr>
              <w:t xml:space="preserve">334,9</w:t>
            </w:r>
          </w:p>
        </w:tc>
        <w:tc>
          <w:tcPr>
            <w:tcW w:w="1033" w:type="dxa"/>
            <w:tcBorders>
              <w:bottom w:val="nil"/>
            </w:tcBorders>
          </w:tcPr>
          <w:p>
            <w:pPr>
              <w:pStyle w:val="0"/>
              <w:jc w:val="center"/>
            </w:pPr>
            <w:r>
              <w:rPr>
                <w:sz w:val="20"/>
              </w:rPr>
              <w:t xml:space="preserve">437,0</w:t>
            </w:r>
          </w:p>
        </w:tc>
        <w:tc>
          <w:tcPr>
            <w:tcW w:w="1065" w:type="dxa"/>
            <w:tcBorders>
              <w:bottom w:val="nil"/>
            </w:tcBorders>
          </w:tcPr>
          <w:p>
            <w:pPr>
              <w:pStyle w:val="0"/>
              <w:jc w:val="center"/>
            </w:pPr>
            <w:r>
              <w:rPr>
                <w:sz w:val="20"/>
              </w:rPr>
              <w:t xml:space="preserve">566,0</w:t>
            </w:r>
          </w:p>
        </w:tc>
        <w:tc>
          <w:tcPr>
            <w:tcW w:w="1049" w:type="dxa"/>
            <w:tcBorders>
              <w:bottom w:val="nil"/>
            </w:tcBorders>
          </w:tcPr>
          <w:p>
            <w:pPr>
              <w:pStyle w:val="0"/>
              <w:jc w:val="center"/>
            </w:pPr>
            <w:r>
              <w:rPr>
                <w:sz w:val="20"/>
              </w:rPr>
              <w:t xml:space="preserve">639,0</w:t>
            </w:r>
          </w:p>
        </w:tc>
      </w:tr>
      <w:tr>
        <w:tblPrEx>
          <w:tblBorders>
            <w:insideH w:val="nil"/>
          </w:tblBorders>
        </w:tblPrEx>
        <w:tc>
          <w:tcPr>
            <w:gridSpan w:val="6"/>
            <w:tcW w:w="8903" w:type="dxa"/>
            <w:tcBorders>
              <w:top w:val="nil"/>
            </w:tcBorders>
          </w:tcPr>
          <w:p>
            <w:pPr>
              <w:pStyle w:val="0"/>
              <w:jc w:val="both"/>
            </w:pPr>
            <w:r>
              <w:rPr>
                <w:sz w:val="20"/>
              </w:rPr>
              <w:t xml:space="preserve">(п. 8.1 в ред. </w:t>
            </w:r>
            <w:hyperlink w:history="0" r:id="rId113"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tc>
      </w:tr>
      <w:tr>
        <w:tc>
          <w:tcPr>
            <w:tcW w:w="680" w:type="dxa"/>
            <w:vAlign w:val="center"/>
          </w:tcPr>
          <w:p>
            <w:pPr>
              <w:pStyle w:val="0"/>
              <w:jc w:val="center"/>
            </w:pPr>
            <w:r>
              <w:rPr>
                <w:sz w:val="20"/>
              </w:rPr>
              <w:t xml:space="preserve">9</w:t>
            </w:r>
          </w:p>
        </w:tc>
        <w:tc>
          <w:tcPr>
            <w:tcW w:w="4025" w:type="dxa"/>
            <w:vAlign w:val="center"/>
          </w:tcPr>
          <w:p>
            <w:pPr>
              <w:pStyle w:val="0"/>
              <w:jc w:val="both"/>
            </w:pPr>
            <w:r>
              <w:rPr>
                <w:sz w:val="20"/>
              </w:rPr>
              <w:t xml:space="preserve">Общий объем инвестиций в основной капитал в расчете на душу населения, тыс. рублей в текущих ценах</w:t>
            </w:r>
          </w:p>
        </w:tc>
        <w:tc>
          <w:tcPr>
            <w:tcW w:w="1051" w:type="dxa"/>
            <w:vAlign w:val="center"/>
          </w:tcPr>
          <w:p>
            <w:pPr>
              <w:pStyle w:val="0"/>
              <w:jc w:val="center"/>
            </w:pPr>
            <w:r>
              <w:rPr>
                <w:sz w:val="20"/>
              </w:rPr>
              <w:t xml:space="preserve">90,2</w:t>
            </w:r>
          </w:p>
        </w:tc>
        <w:tc>
          <w:tcPr>
            <w:tcW w:w="1033" w:type="dxa"/>
            <w:vAlign w:val="center"/>
          </w:tcPr>
          <w:p>
            <w:pPr>
              <w:pStyle w:val="0"/>
              <w:jc w:val="center"/>
            </w:pPr>
            <w:r>
              <w:rPr>
                <w:sz w:val="20"/>
              </w:rPr>
              <w:t xml:space="preserve">139,1</w:t>
            </w:r>
          </w:p>
        </w:tc>
        <w:tc>
          <w:tcPr>
            <w:tcW w:w="1065" w:type="dxa"/>
            <w:vAlign w:val="center"/>
          </w:tcPr>
          <w:p>
            <w:pPr>
              <w:pStyle w:val="0"/>
              <w:jc w:val="center"/>
            </w:pPr>
            <w:r>
              <w:rPr>
                <w:sz w:val="20"/>
              </w:rPr>
              <w:t xml:space="preserve">184,2</w:t>
            </w:r>
          </w:p>
        </w:tc>
        <w:tc>
          <w:tcPr>
            <w:tcW w:w="1049" w:type="dxa"/>
            <w:vAlign w:val="center"/>
          </w:tcPr>
          <w:p>
            <w:pPr>
              <w:pStyle w:val="0"/>
              <w:jc w:val="center"/>
            </w:pPr>
            <w:r>
              <w:rPr>
                <w:sz w:val="20"/>
              </w:rPr>
              <w:t xml:space="preserve">256,0</w:t>
            </w:r>
          </w:p>
        </w:tc>
      </w:tr>
      <w:tr>
        <w:tc>
          <w:tcPr>
            <w:tcW w:w="680" w:type="dxa"/>
            <w:vAlign w:val="center"/>
          </w:tcPr>
          <w:p>
            <w:pPr>
              <w:pStyle w:val="0"/>
              <w:jc w:val="center"/>
            </w:pPr>
            <w:r>
              <w:rPr>
                <w:sz w:val="20"/>
              </w:rPr>
              <w:t xml:space="preserve">10</w:t>
            </w:r>
          </w:p>
        </w:tc>
        <w:tc>
          <w:tcPr>
            <w:tcW w:w="4025" w:type="dxa"/>
            <w:vAlign w:val="center"/>
          </w:tcPr>
          <w:p>
            <w:pPr>
              <w:pStyle w:val="0"/>
              <w:jc w:val="both"/>
            </w:pPr>
            <w:r>
              <w:rPr>
                <w:sz w:val="20"/>
              </w:rPr>
              <w:t xml:space="preserve">Доля продукции высокотехнологичных и наукоемких отраслей в валовом региональном продукте, %</w:t>
            </w:r>
          </w:p>
        </w:tc>
        <w:tc>
          <w:tcPr>
            <w:tcW w:w="1051" w:type="dxa"/>
            <w:vAlign w:val="center"/>
          </w:tcPr>
          <w:p>
            <w:pPr>
              <w:pStyle w:val="0"/>
              <w:jc w:val="center"/>
            </w:pPr>
            <w:r>
              <w:rPr>
                <w:sz w:val="20"/>
              </w:rPr>
              <w:t xml:space="preserve">17,4</w:t>
            </w:r>
          </w:p>
        </w:tc>
        <w:tc>
          <w:tcPr>
            <w:tcW w:w="1033" w:type="dxa"/>
            <w:vAlign w:val="center"/>
          </w:tcPr>
          <w:p>
            <w:pPr>
              <w:pStyle w:val="0"/>
              <w:jc w:val="center"/>
            </w:pPr>
            <w:r>
              <w:rPr>
                <w:sz w:val="20"/>
              </w:rPr>
              <w:t xml:space="preserve">17,6</w:t>
            </w:r>
          </w:p>
        </w:tc>
        <w:tc>
          <w:tcPr>
            <w:tcW w:w="1065" w:type="dxa"/>
            <w:vAlign w:val="center"/>
          </w:tcPr>
          <w:p>
            <w:pPr>
              <w:pStyle w:val="0"/>
              <w:jc w:val="center"/>
            </w:pPr>
            <w:r>
              <w:rPr>
                <w:sz w:val="20"/>
              </w:rPr>
              <w:t xml:space="preserve">22,9</w:t>
            </w:r>
          </w:p>
        </w:tc>
        <w:tc>
          <w:tcPr>
            <w:tcW w:w="1049" w:type="dxa"/>
            <w:vAlign w:val="center"/>
          </w:tcPr>
          <w:p>
            <w:pPr>
              <w:pStyle w:val="0"/>
              <w:jc w:val="center"/>
            </w:pPr>
            <w:r>
              <w:rPr>
                <w:sz w:val="20"/>
              </w:rPr>
              <w:t xml:space="preserve">26,0</w:t>
            </w:r>
          </w:p>
        </w:tc>
      </w:tr>
      <w:tr>
        <w:tc>
          <w:tcPr>
            <w:tcW w:w="680" w:type="dxa"/>
            <w:vAlign w:val="center"/>
          </w:tcPr>
          <w:p>
            <w:pPr>
              <w:pStyle w:val="0"/>
              <w:jc w:val="center"/>
            </w:pPr>
            <w:r>
              <w:rPr>
                <w:sz w:val="20"/>
              </w:rPr>
              <w:t xml:space="preserve">11</w:t>
            </w:r>
          </w:p>
        </w:tc>
        <w:tc>
          <w:tcPr>
            <w:tcW w:w="4025" w:type="dxa"/>
            <w:vAlign w:val="center"/>
          </w:tcPr>
          <w:p>
            <w:pPr>
              <w:pStyle w:val="0"/>
              <w:jc w:val="both"/>
            </w:pPr>
            <w:r>
              <w:rPr>
                <w:sz w:val="20"/>
              </w:rPr>
              <w:t xml:space="preserve">Затраты на исследования и разработки, в % к ВРП</w:t>
            </w:r>
          </w:p>
        </w:tc>
        <w:tc>
          <w:tcPr>
            <w:tcW w:w="1051" w:type="dxa"/>
            <w:vAlign w:val="center"/>
          </w:tcPr>
          <w:p>
            <w:pPr>
              <w:pStyle w:val="0"/>
              <w:jc w:val="center"/>
            </w:pPr>
            <w:r>
              <w:rPr>
                <w:sz w:val="20"/>
              </w:rPr>
              <w:t xml:space="preserve">1,53</w:t>
            </w:r>
          </w:p>
        </w:tc>
        <w:tc>
          <w:tcPr>
            <w:tcW w:w="1033" w:type="dxa"/>
            <w:vAlign w:val="center"/>
          </w:tcPr>
          <w:p>
            <w:pPr>
              <w:pStyle w:val="0"/>
              <w:jc w:val="center"/>
            </w:pPr>
            <w:r>
              <w:rPr>
                <w:sz w:val="20"/>
              </w:rPr>
              <w:t xml:space="preserve">1,58</w:t>
            </w:r>
          </w:p>
        </w:tc>
        <w:tc>
          <w:tcPr>
            <w:tcW w:w="1065" w:type="dxa"/>
            <w:vAlign w:val="center"/>
          </w:tcPr>
          <w:p>
            <w:pPr>
              <w:pStyle w:val="0"/>
              <w:jc w:val="center"/>
            </w:pPr>
            <w:r>
              <w:rPr>
                <w:sz w:val="20"/>
              </w:rPr>
              <w:t xml:space="preserve">1,78</w:t>
            </w:r>
          </w:p>
        </w:tc>
        <w:tc>
          <w:tcPr>
            <w:tcW w:w="1049" w:type="dxa"/>
            <w:vAlign w:val="center"/>
          </w:tcPr>
          <w:p>
            <w:pPr>
              <w:pStyle w:val="0"/>
              <w:jc w:val="center"/>
            </w:pPr>
            <w:r>
              <w:rPr>
                <w:sz w:val="20"/>
              </w:rPr>
              <w:t xml:space="preserve">2,00</w:t>
            </w:r>
          </w:p>
        </w:tc>
      </w:tr>
      <w:tr>
        <w:tc>
          <w:tcPr>
            <w:tcW w:w="680" w:type="dxa"/>
            <w:vAlign w:val="center"/>
          </w:tcPr>
          <w:p>
            <w:pPr>
              <w:pStyle w:val="0"/>
              <w:jc w:val="center"/>
            </w:pPr>
            <w:r>
              <w:rPr>
                <w:sz w:val="20"/>
              </w:rPr>
              <w:t xml:space="preserve">12</w:t>
            </w:r>
          </w:p>
        </w:tc>
        <w:tc>
          <w:tcPr>
            <w:tcW w:w="4025" w:type="dxa"/>
            <w:vAlign w:val="center"/>
          </w:tcPr>
          <w:p>
            <w:pPr>
              <w:pStyle w:val="0"/>
              <w:jc w:val="both"/>
            </w:pPr>
            <w:r>
              <w:rPr>
                <w:sz w:val="20"/>
              </w:rPr>
              <w:t xml:space="preserve">Произведено сельскохозяйственной продукции в хозяйствах всех категорий, тыс. тонн:</w:t>
            </w:r>
          </w:p>
        </w:tc>
        <w:tc>
          <w:tcPr>
            <w:tcW w:w="1051" w:type="dxa"/>
            <w:vAlign w:val="center"/>
          </w:tcPr>
          <w:p>
            <w:pPr>
              <w:pStyle w:val="0"/>
            </w:pPr>
            <w:r>
              <w:rPr>
                <w:sz w:val="20"/>
              </w:rPr>
            </w:r>
          </w:p>
        </w:tc>
        <w:tc>
          <w:tcPr>
            <w:tcW w:w="1033" w:type="dxa"/>
            <w:vAlign w:val="center"/>
          </w:tcPr>
          <w:p>
            <w:pPr>
              <w:pStyle w:val="0"/>
            </w:pPr>
            <w:r>
              <w:rPr>
                <w:sz w:val="20"/>
              </w:rPr>
            </w:r>
          </w:p>
        </w:tc>
        <w:tc>
          <w:tcPr>
            <w:tcW w:w="1065" w:type="dxa"/>
            <w:vAlign w:val="center"/>
          </w:tcPr>
          <w:p>
            <w:pPr>
              <w:pStyle w:val="0"/>
            </w:pPr>
            <w:r>
              <w:rPr>
                <w:sz w:val="20"/>
              </w:rPr>
            </w:r>
          </w:p>
        </w:tc>
        <w:tc>
          <w:tcPr>
            <w:tcW w:w="1049" w:type="dxa"/>
            <w:vAlign w:val="center"/>
          </w:tcPr>
          <w:p>
            <w:pPr>
              <w:pStyle w:val="0"/>
            </w:pPr>
            <w:r>
              <w:rPr>
                <w:sz w:val="20"/>
              </w:rPr>
            </w:r>
          </w:p>
        </w:tc>
      </w:tr>
      <w:tr>
        <w:tc>
          <w:tcPr>
            <w:tcW w:w="680" w:type="dxa"/>
            <w:vAlign w:val="center"/>
          </w:tcPr>
          <w:p>
            <w:pPr>
              <w:pStyle w:val="0"/>
              <w:jc w:val="center"/>
            </w:pPr>
            <w:r>
              <w:rPr>
                <w:sz w:val="20"/>
              </w:rPr>
              <w:t xml:space="preserve">12.1</w:t>
            </w:r>
          </w:p>
        </w:tc>
        <w:tc>
          <w:tcPr>
            <w:tcW w:w="4025" w:type="dxa"/>
            <w:vAlign w:val="center"/>
          </w:tcPr>
          <w:p>
            <w:pPr>
              <w:pStyle w:val="0"/>
              <w:jc w:val="right"/>
            </w:pPr>
            <w:r>
              <w:rPr>
                <w:sz w:val="20"/>
              </w:rPr>
              <w:t xml:space="preserve">зерно (в весе после доработки)</w:t>
            </w:r>
          </w:p>
        </w:tc>
        <w:tc>
          <w:tcPr>
            <w:tcW w:w="1051" w:type="dxa"/>
          </w:tcPr>
          <w:p>
            <w:pPr>
              <w:pStyle w:val="0"/>
              <w:jc w:val="center"/>
            </w:pPr>
            <w:r>
              <w:rPr>
                <w:sz w:val="20"/>
              </w:rPr>
              <w:t xml:space="preserve">5044</w:t>
            </w:r>
          </w:p>
        </w:tc>
        <w:tc>
          <w:tcPr>
            <w:tcW w:w="1033" w:type="dxa"/>
          </w:tcPr>
          <w:p>
            <w:pPr>
              <w:pStyle w:val="0"/>
              <w:jc w:val="center"/>
            </w:pPr>
            <w:r>
              <w:rPr>
                <w:sz w:val="20"/>
              </w:rPr>
              <w:t xml:space="preserve">5090</w:t>
            </w:r>
          </w:p>
        </w:tc>
        <w:tc>
          <w:tcPr>
            <w:tcW w:w="1065" w:type="dxa"/>
          </w:tcPr>
          <w:p>
            <w:pPr>
              <w:pStyle w:val="0"/>
              <w:jc w:val="center"/>
            </w:pPr>
            <w:r>
              <w:rPr>
                <w:sz w:val="20"/>
              </w:rPr>
              <w:t xml:space="preserve">5200</w:t>
            </w:r>
          </w:p>
        </w:tc>
        <w:tc>
          <w:tcPr>
            <w:tcW w:w="1049" w:type="dxa"/>
          </w:tcPr>
          <w:p>
            <w:pPr>
              <w:pStyle w:val="0"/>
              <w:jc w:val="center"/>
            </w:pPr>
            <w:r>
              <w:rPr>
                <w:sz w:val="20"/>
              </w:rPr>
              <w:t xml:space="preserve">5350</w:t>
            </w:r>
          </w:p>
        </w:tc>
      </w:tr>
      <w:tr>
        <w:tc>
          <w:tcPr>
            <w:tcW w:w="680" w:type="dxa"/>
            <w:vAlign w:val="center"/>
          </w:tcPr>
          <w:p>
            <w:pPr>
              <w:pStyle w:val="0"/>
              <w:jc w:val="center"/>
            </w:pPr>
            <w:r>
              <w:rPr>
                <w:sz w:val="20"/>
              </w:rPr>
              <w:t xml:space="preserve">12.2</w:t>
            </w:r>
          </w:p>
        </w:tc>
        <w:tc>
          <w:tcPr>
            <w:tcW w:w="4025" w:type="dxa"/>
            <w:vAlign w:val="center"/>
          </w:tcPr>
          <w:p>
            <w:pPr>
              <w:pStyle w:val="0"/>
              <w:jc w:val="right"/>
            </w:pPr>
            <w:r>
              <w:rPr>
                <w:sz w:val="20"/>
              </w:rPr>
              <w:t xml:space="preserve">сахарная свекла</w:t>
            </w:r>
          </w:p>
        </w:tc>
        <w:tc>
          <w:tcPr>
            <w:tcW w:w="1051" w:type="dxa"/>
          </w:tcPr>
          <w:p>
            <w:pPr>
              <w:pStyle w:val="0"/>
              <w:jc w:val="center"/>
            </w:pPr>
            <w:r>
              <w:rPr>
                <w:sz w:val="20"/>
              </w:rPr>
              <w:t xml:space="preserve">5546</w:t>
            </w:r>
          </w:p>
        </w:tc>
        <w:tc>
          <w:tcPr>
            <w:tcW w:w="1033" w:type="dxa"/>
          </w:tcPr>
          <w:p>
            <w:pPr>
              <w:pStyle w:val="0"/>
              <w:jc w:val="center"/>
            </w:pPr>
            <w:r>
              <w:rPr>
                <w:sz w:val="20"/>
              </w:rPr>
              <w:t xml:space="preserve">3900</w:t>
            </w:r>
          </w:p>
        </w:tc>
        <w:tc>
          <w:tcPr>
            <w:tcW w:w="1065" w:type="dxa"/>
          </w:tcPr>
          <w:p>
            <w:pPr>
              <w:pStyle w:val="0"/>
              <w:jc w:val="center"/>
            </w:pPr>
            <w:r>
              <w:rPr>
                <w:sz w:val="20"/>
              </w:rPr>
              <w:t xml:space="preserve">4350</w:t>
            </w:r>
          </w:p>
        </w:tc>
        <w:tc>
          <w:tcPr>
            <w:tcW w:w="1049" w:type="dxa"/>
          </w:tcPr>
          <w:p>
            <w:pPr>
              <w:pStyle w:val="0"/>
              <w:jc w:val="center"/>
            </w:pPr>
            <w:r>
              <w:rPr>
                <w:sz w:val="20"/>
              </w:rPr>
              <w:t xml:space="preserve">4500</w:t>
            </w:r>
          </w:p>
        </w:tc>
      </w:tr>
      <w:tr>
        <w:tc>
          <w:tcPr>
            <w:tcW w:w="680" w:type="dxa"/>
            <w:vAlign w:val="center"/>
          </w:tcPr>
          <w:p>
            <w:pPr>
              <w:pStyle w:val="0"/>
              <w:jc w:val="center"/>
            </w:pPr>
            <w:r>
              <w:rPr>
                <w:sz w:val="20"/>
              </w:rPr>
              <w:t xml:space="preserve">12.3</w:t>
            </w:r>
          </w:p>
        </w:tc>
        <w:tc>
          <w:tcPr>
            <w:tcW w:w="4025" w:type="dxa"/>
            <w:vAlign w:val="center"/>
          </w:tcPr>
          <w:p>
            <w:pPr>
              <w:pStyle w:val="0"/>
              <w:jc w:val="right"/>
            </w:pPr>
            <w:r>
              <w:rPr>
                <w:sz w:val="20"/>
              </w:rPr>
              <w:t xml:space="preserve">скот и птица на убой в живом весе</w:t>
            </w:r>
          </w:p>
        </w:tc>
        <w:tc>
          <w:tcPr>
            <w:tcW w:w="1051" w:type="dxa"/>
          </w:tcPr>
          <w:p>
            <w:pPr>
              <w:pStyle w:val="0"/>
              <w:jc w:val="center"/>
            </w:pPr>
            <w:r>
              <w:rPr>
                <w:sz w:val="20"/>
              </w:rPr>
              <w:t xml:space="preserve">527,4</w:t>
            </w:r>
          </w:p>
        </w:tc>
        <w:tc>
          <w:tcPr>
            <w:tcW w:w="1033" w:type="dxa"/>
          </w:tcPr>
          <w:p>
            <w:pPr>
              <w:pStyle w:val="0"/>
              <w:jc w:val="center"/>
            </w:pPr>
            <w:r>
              <w:rPr>
                <w:sz w:val="20"/>
              </w:rPr>
              <w:t xml:space="preserve">557</w:t>
            </w:r>
          </w:p>
        </w:tc>
        <w:tc>
          <w:tcPr>
            <w:tcW w:w="1065" w:type="dxa"/>
          </w:tcPr>
          <w:p>
            <w:pPr>
              <w:pStyle w:val="0"/>
              <w:jc w:val="center"/>
            </w:pPr>
            <w:r>
              <w:rPr>
                <w:sz w:val="20"/>
              </w:rPr>
              <w:t xml:space="preserve">605</w:t>
            </w:r>
          </w:p>
        </w:tc>
        <w:tc>
          <w:tcPr>
            <w:tcW w:w="1049" w:type="dxa"/>
          </w:tcPr>
          <w:p>
            <w:pPr>
              <w:pStyle w:val="0"/>
              <w:jc w:val="center"/>
            </w:pPr>
            <w:r>
              <w:rPr>
                <w:sz w:val="20"/>
              </w:rPr>
              <w:t xml:space="preserve">650</w:t>
            </w:r>
          </w:p>
        </w:tc>
      </w:tr>
      <w:tr>
        <w:tc>
          <w:tcPr>
            <w:tcW w:w="680" w:type="dxa"/>
            <w:vAlign w:val="center"/>
          </w:tcPr>
          <w:p>
            <w:pPr>
              <w:pStyle w:val="0"/>
              <w:jc w:val="center"/>
            </w:pPr>
            <w:r>
              <w:rPr>
                <w:sz w:val="20"/>
              </w:rPr>
              <w:t xml:space="preserve">12.4</w:t>
            </w:r>
          </w:p>
        </w:tc>
        <w:tc>
          <w:tcPr>
            <w:tcW w:w="4025" w:type="dxa"/>
            <w:vAlign w:val="center"/>
          </w:tcPr>
          <w:p>
            <w:pPr>
              <w:pStyle w:val="0"/>
              <w:jc w:val="right"/>
            </w:pPr>
            <w:r>
              <w:rPr>
                <w:sz w:val="20"/>
              </w:rPr>
              <w:t xml:space="preserve">молоко</w:t>
            </w:r>
          </w:p>
        </w:tc>
        <w:tc>
          <w:tcPr>
            <w:tcW w:w="1051" w:type="dxa"/>
            <w:vAlign w:val="bottom"/>
          </w:tcPr>
          <w:p>
            <w:pPr>
              <w:pStyle w:val="0"/>
              <w:jc w:val="center"/>
            </w:pPr>
            <w:r>
              <w:rPr>
                <w:sz w:val="20"/>
              </w:rPr>
              <w:t xml:space="preserve">276,5</w:t>
            </w:r>
          </w:p>
        </w:tc>
        <w:tc>
          <w:tcPr>
            <w:tcW w:w="1033" w:type="dxa"/>
            <w:vAlign w:val="bottom"/>
          </w:tcPr>
          <w:p>
            <w:pPr>
              <w:pStyle w:val="0"/>
              <w:jc w:val="center"/>
            </w:pPr>
            <w:r>
              <w:rPr>
                <w:sz w:val="20"/>
              </w:rPr>
              <w:t xml:space="preserve">318,4</w:t>
            </w:r>
          </w:p>
        </w:tc>
        <w:tc>
          <w:tcPr>
            <w:tcW w:w="1065" w:type="dxa"/>
            <w:vAlign w:val="bottom"/>
          </w:tcPr>
          <w:p>
            <w:pPr>
              <w:pStyle w:val="0"/>
              <w:jc w:val="center"/>
            </w:pPr>
            <w:r>
              <w:rPr>
                <w:sz w:val="20"/>
              </w:rPr>
              <w:t xml:space="preserve">352,0</w:t>
            </w:r>
          </w:p>
        </w:tc>
        <w:tc>
          <w:tcPr>
            <w:tcW w:w="1049" w:type="dxa"/>
            <w:vAlign w:val="bottom"/>
          </w:tcPr>
          <w:p>
            <w:pPr>
              <w:pStyle w:val="0"/>
              <w:jc w:val="center"/>
            </w:pPr>
            <w:r>
              <w:rPr>
                <w:sz w:val="20"/>
              </w:rPr>
              <w:t xml:space="preserve">352,0</w:t>
            </w:r>
          </w:p>
        </w:tc>
      </w:tr>
      <w:tr>
        <w:tc>
          <w:tcPr>
            <w:tcW w:w="680" w:type="dxa"/>
            <w:vAlign w:val="center"/>
          </w:tcPr>
          <w:p>
            <w:pPr>
              <w:pStyle w:val="0"/>
              <w:jc w:val="center"/>
            </w:pPr>
            <w:r>
              <w:rPr>
                <w:sz w:val="20"/>
              </w:rPr>
              <w:t xml:space="preserve">13</w:t>
            </w:r>
          </w:p>
        </w:tc>
        <w:tc>
          <w:tcPr>
            <w:tcW w:w="4025" w:type="dxa"/>
            <w:vAlign w:val="center"/>
          </w:tcPr>
          <w:p>
            <w:pPr>
              <w:pStyle w:val="0"/>
              <w:jc w:val="both"/>
            </w:pPr>
            <w:r>
              <w:rPr>
                <w:sz w:val="20"/>
              </w:rPr>
              <w:t xml:space="preserve">Доля сельского населения в общей численности населения Курской области, %</w:t>
            </w:r>
          </w:p>
        </w:tc>
        <w:tc>
          <w:tcPr>
            <w:tcW w:w="1051" w:type="dxa"/>
          </w:tcPr>
          <w:p>
            <w:pPr>
              <w:pStyle w:val="0"/>
              <w:jc w:val="center"/>
            </w:pPr>
            <w:r>
              <w:rPr>
                <w:sz w:val="20"/>
              </w:rPr>
              <w:t xml:space="preserve">32,1</w:t>
            </w:r>
          </w:p>
        </w:tc>
        <w:tc>
          <w:tcPr>
            <w:tcW w:w="1033" w:type="dxa"/>
          </w:tcPr>
          <w:p>
            <w:pPr>
              <w:pStyle w:val="0"/>
              <w:jc w:val="center"/>
            </w:pPr>
            <w:r>
              <w:rPr>
                <w:sz w:val="20"/>
              </w:rPr>
              <w:t xml:space="preserve">31,8</w:t>
            </w:r>
          </w:p>
        </w:tc>
        <w:tc>
          <w:tcPr>
            <w:tcW w:w="1065" w:type="dxa"/>
          </w:tcPr>
          <w:p>
            <w:pPr>
              <w:pStyle w:val="0"/>
              <w:jc w:val="center"/>
            </w:pPr>
            <w:r>
              <w:rPr>
                <w:sz w:val="20"/>
              </w:rPr>
              <w:t xml:space="preserve">32,1</w:t>
            </w:r>
          </w:p>
        </w:tc>
        <w:tc>
          <w:tcPr>
            <w:tcW w:w="1049" w:type="dxa"/>
          </w:tcPr>
          <w:p>
            <w:pPr>
              <w:pStyle w:val="0"/>
              <w:jc w:val="center"/>
            </w:pPr>
            <w:r>
              <w:rPr>
                <w:sz w:val="20"/>
              </w:rPr>
              <w:t xml:space="preserve">32,1</w:t>
            </w:r>
          </w:p>
        </w:tc>
      </w:tr>
      <w:tr>
        <w:tc>
          <w:tcPr>
            <w:tcW w:w="680" w:type="dxa"/>
            <w:vAlign w:val="center"/>
          </w:tcPr>
          <w:p>
            <w:pPr>
              <w:pStyle w:val="0"/>
              <w:jc w:val="center"/>
            </w:pPr>
            <w:r>
              <w:rPr>
                <w:sz w:val="20"/>
              </w:rPr>
              <w:t xml:space="preserve">14</w:t>
            </w:r>
          </w:p>
        </w:tc>
        <w:tc>
          <w:tcPr>
            <w:tcW w:w="4025" w:type="dxa"/>
            <w:vAlign w:val="center"/>
          </w:tcPr>
          <w:p>
            <w:pPr>
              <w:pStyle w:val="0"/>
              <w:jc w:val="both"/>
            </w:pPr>
            <w:r>
              <w:rPr>
                <w:sz w:val="20"/>
              </w:rPr>
              <w:t xml:space="preserve">Доля общей площади благоустроенных жилых помещений в сельских населенных пунктах, %</w:t>
            </w:r>
          </w:p>
        </w:tc>
        <w:tc>
          <w:tcPr>
            <w:tcW w:w="1051" w:type="dxa"/>
          </w:tcPr>
          <w:p>
            <w:pPr>
              <w:pStyle w:val="0"/>
              <w:jc w:val="center"/>
            </w:pPr>
            <w:r>
              <w:rPr>
                <w:sz w:val="20"/>
              </w:rPr>
              <w:t xml:space="preserve">38,5</w:t>
            </w:r>
          </w:p>
        </w:tc>
        <w:tc>
          <w:tcPr>
            <w:tcW w:w="1033" w:type="dxa"/>
          </w:tcPr>
          <w:p>
            <w:pPr>
              <w:pStyle w:val="0"/>
              <w:jc w:val="center"/>
            </w:pPr>
            <w:r>
              <w:rPr>
                <w:sz w:val="20"/>
              </w:rPr>
              <w:t xml:space="preserve">39,3</w:t>
            </w:r>
          </w:p>
        </w:tc>
        <w:tc>
          <w:tcPr>
            <w:tcW w:w="1065" w:type="dxa"/>
          </w:tcPr>
          <w:p>
            <w:pPr>
              <w:pStyle w:val="0"/>
              <w:jc w:val="center"/>
            </w:pPr>
            <w:r>
              <w:rPr>
                <w:sz w:val="20"/>
              </w:rPr>
              <w:t xml:space="preserve">41,3</w:t>
            </w:r>
          </w:p>
        </w:tc>
        <w:tc>
          <w:tcPr>
            <w:tcW w:w="1049" w:type="dxa"/>
          </w:tcPr>
          <w:p>
            <w:pPr>
              <w:pStyle w:val="0"/>
              <w:jc w:val="center"/>
            </w:pPr>
            <w:r>
              <w:rPr>
                <w:sz w:val="20"/>
              </w:rPr>
              <w:t xml:space="preserve">41,3</w:t>
            </w:r>
          </w:p>
        </w:tc>
      </w:tr>
      <w:tr>
        <w:tc>
          <w:tcPr>
            <w:tcW w:w="680" w:type="dxa"/>
            <w:vAlign w:val="center"/>
          </w:tcPr>
          <w:p>
            <w:pPr>
              <w:pStyle w:val="0"/>
              <w:jc w:val="center"/>
            </w:pPr>
            <w:r>
              <w:rPr>
                <w:sz w:val="20"/>
              </w:rPr>
              <w:t xml:space="preserve">15</w:t>
            </w:r>
          </w:p>
        </w:tc>
        <w:tc>
          <w:tcPr>
            <w:tcW w:w="4025" w:type="dxa"/>
            <w:vAlign w:val="center"/>
          </w:tcPr>
          <w:p>
            <w:pPr>
              <w:pStyle w:val="0"/>
              <w:jc w:val="both"/>
            </w:pPr>
            <w:r>
              <w:rPr>
                <w:sz w:val="20"/>
              </w:rPr>
              <w:t xml:space="preserve">Выброшено в атмосферу загрязняющих веществ, отходящих от стационарных источников, тыс. тонн</w:t>
            </w:r>
          </w:p>
        </w:tc>
        <w:tc>
          <w:tcPr>
            <w:tcW w:w="1051" w:type="dxa"/>
            <w:vAlign w:val="center"/>
          </w:tcPr>
          <w:p>
            <w:pPr>
              <w:pStyle w:val="0"/>
              <w:jc w:val="center"/>
            </w:pPr>
            <w:r>
              <w:rPr>
                <w:sz w:val="20"/>
              </w:rPr>
              <w:t xml:space="preserve">39,8</w:t>
            </w:r>
          </w:p>
        </w:tc>
        <w:tc>
          <w:tcPr>
            <w:tcW w:w="1033" w:type="dxa"/>
            <w:vAlign w:val="center"/>
          </w:tcPr>
          <w:p>
            <w:pPr>
              <w:pStyle w:val="0"/>
              <w:jc w:val="center"/>
            </w:pPr>
            <w:r>
              <w:rPr>
                <w:sz w:val="20"/>
              </w:rPr>
              <w:t xml:space="preserve">35,8</w:t>
            </w:r>
          </w:p>
        </w:tc>
        <w:tc>
          <w:tcPr>
            <w:tcW w:w="1065" w:type="dxa"/>
            <w:vAlign w:val="center"/>
          </w:tcPr>
          <w:p>
            <w:pPr>
              <w:pStyle w:val="0"/>
              <w:jc w:val="center"/>
            </w:pPr>
            <w:r>
              <w:rPr>
                <w:sz w:val="20"/>
              </w:rPr>
              <w:t xml:space="preserve">29,9</w:t>
            </w:r>
          </w:p>
        </w:tc>
        <w:tc>
          <w:tcPr>
            <w:tcW w:w="1049" w:type="dxa"/>
            <w:vAlign w:val="center"/>
          </w:tcPr>
          <w:p>
            <w:pPr>
              <w:pStyle w:val="0"/>
              <w:jc w:val="center"/>
            </w:pPr>
            <w:r>
              <w:rPr>
                <w:sz w:val="20"/>
              </w:rPr>
              <w:t xml:space="preserve">25,0</w:t>
            </w:r>
          </w:p>
        </w:tc>
      </w:tr>
      <w:tr>
        <w:tc>
          <w:tcPr>
            <w:tcW w:w="680" w:type="dxa"/>
            <w:vAlign w:val="center"/>
          </w:tcPr>
          <w:p>
            <w:pPr>
              <w:pStyle w:val="0"/>
              <w:jc w:val="center"/>
            </w:pPr>
            <w:r>
              <w:rPr>
                <w:sz w:val="20"/>
              </w:rPr>
              <w:t xml:space="preserve">16</w:t>
            </w:r>
          </w:p>
        </w:tc>
        <w:tc>
          <w:tcPr>
            <w:tcW w:w="4025" w:type="dxa"/>
            <w:vAlign w:val="center"/>
          </w:tcPr>
          <w:p>
            <w:pPr>
              <w:pStyle w:val="0"/>
              <w:jc w:val="both"/>
            </w:pPr>
            <w:r>
              <w:rPr>
                <w:sz w:val="20"/>
              </w:rPr>
              <w:t xml:space="preserve">Уровень преступности (преступлений на 100 тыс. человек населения)</w:t>
            </w:r>
          </w:p>
        </w:tc>
        <w:tc>
          <w:tcPr>
            <w:tcW w:w="1051" w:type="dxa"/>
            <w:vAlign w:val="center"/>
          </w:tcPr>
          <w:p>
            <w:pPr>
              <w:pStyle w:val="0"/>
              <w:jc w:val="center"/>
            </w:pPr>
            <w:r>
              <w:rPr>
                <w:sz w:val="20"/>
              </w:rPr>
              <w:t xml:space="preserve">1331</w:t>
            </w:r>
          </w:p>
        </w:tc>
        <w:tc>
          <w:tcPr>
            <w:tcW w:w="1033" w:type="dxa"/>
            <w:vAlign w:val="center"/>
          </w:tcPr>
          <w:p>
            <w:pPr>
              <w:pStyle w:val="0"/>
              <w:jc w:val="center"/>
            </w:pPr>
            <w:r>
              <w:rPr>
                <w:sz w:val="20"/>
              </w:rPr>
              <w:t xml:space="preserve">1328</w:t>
            </w:r>
          </w:p>
        </w:tc>
        <w:tc>
          <w:tcPr>
            <w:tcW w:w="1065" w:type="dxa"/>
            <w:vAlign w:val="center"/>
          </w:tcPr>
          <w:p>
            <w:pPr>
              <w:pStyle w:val="0"/>
              <w:jc w:val="center"/>
            </w:pPr>
            <w:r>
              <w:rPr>
                <w:sz w:val="20"/>
              </w:rPr>
              <w:t xml:space="preserve">1324</w:t>
            </w:r>
          </w:p>
        </w:tc>
        <w:tc>
          <w:tcPr>
            <w:tcW w:w="1049" w:type="dxa"/>
            <w:vAlign w:val="center"/>
          </w:tcPr>
          <w:p>
            <w:pPr>
              <w:pStyle w:val="0"/>
              <w:jc w:val="center"/>
            </w:pPr>
            <w:r>
              <w:rPr>
                <w:sz w:val="20"/>
              </w:rPr>
              <w:t xml:space="preserve">1319</w:t>
            </w:r>
          </w:p>
        </w:tc>
      </w:tr>
      <w:tr>
        <w:tc>
          <w:tcPr>
            <w:tcW w:w="680" w:type="dxa"/>
            <w:vAlign w:val="center"/>
          </w:tcPr>
          <w:p>
            <w:pPr>
              <w:pStyle w:val="0"/>
              <w:jc w:val="center"/>
            </w:pPr>
            <w:r>
              <w:rPr>
                <w:sz w:val="20"/>
              </w:rPr>
              <w:t xml:space="preserve">17</w:t>
            </w:r>
          </w:p>
        </w:tc>
        <w:tc>
          <w:tcPr>
            <w:tcW w:w="4025" w:type="dxa"/>
            <w:vAlign w:val="center"/>
          </w:tcPr>
          <w:p>
            <w:pPr>
              <w:pStyle w:val="0"/>
              <w:jc w:val="both"/>
            </w:pPr>
            <w:r>
              <w:rPr>
                <w:sz w:val="20"/>
              </w:rPr>
              <w:t xml:space="preserve">Количество погибших в дорожно-транспортных происшествиях, человек на 100 тысяч населения</w:t>
            </w:r>
          </w:p>
        </w:tc>
        <w:tc>
          <w:tcPr>
            <w:tcW w:w="1051" w:type="dxa"/>
            <w:vAlign w:val="center"/>
          </w:tcPr>
          <w:p>
            <w:pPr>
              <w:pStyle w:val="0"/>
              <w:jc w:val="center"/>
            </w:pPr>
            <w:r>
              <w:rPr>
                <w:sz w:val="20"/>
              </w:rPr>
              <w:t xml:space="preserve">18,0</w:t>
            </w:r>
          </w:p>
        </w:tc>
        <w:tc>
          <w:tcPr>
            <w:tcW w:w="1033" w:type="dxa"/>
            <w:vAlign w:val="center"/>
          </w:tcPr>
          <w:p>
            <w:pPr>
              <w:pStyle w:val="0"/>
              <w:jc w:val="center"/>
            </w:pPr>
            <w:r>
              <w:rPr>
                <w:sz w:val="20"/>
              </w:rPr>
              <w:t xml:space="preserve">15,13</w:t>
            </w:r>
          </w:p>
        </w:tc>
        <w:tc>
          <w:tcPr>
            <w:tcW w:w="1065" w:type="dxa"/>
            <w:vAlign w:val="center"/>
          </w:tcPr>
          <w:p>
            <w:pPr>
              <w:pStyle w:val="0"/>
              <w:jc w:val="center"/>
            </w:pPr>
            <w:r>
              <w:rPr>
                <w:sz w:val="20"/>
              </w:rPr>
              <w:t xml:space="preserve">5,0</w:t>
            </w:r>
          </w:p>
        </w:tc>
        <w:tc>
          <w:tcPr>
            <w:tcW w:w="1049" w:type="dxa"/>
            <w:vAlign w:val="center"/>
          </w:tcPr>
          <w:p>
            <w:pPr>
              <w:pStyle w:val="0"/>
              <w:jc w:val="center"/>
            </w:pPr>
            <w:r>
              <w:rPr>
                <w:sz w:val="20"/>
              </w:rPr>
              <w:t xml:space="preserve">4,3</w:t>
            </w:r>
          </w:p>
        </w:tc>
      </w:tr>
      <w:tr>
        <w:tc>
          <w:tcPr>
            <w:tcW w:w="680" w:type="dxa"/>
            <w:vAlign w:val="center"/>
          </w:tcPr>
          <w:p>
            <w:pPr>
              <w:pStyle w:val="0"/>
              <w:jc w:val="center"/>
            </w:pPr>
            <w:r>
              <w:rPr>
                <w:sz w:val="20"/>
              </w:rPr>
              <w:t xml:space="preserve">18</w:t>
            </w:r>
          </w:p>
        </w:tc>
        <w:tc>
          <w:tcPr>
            <w:tcW w:w="4025" w:type="dxa"/>
            <w:vAlign w:val="center"/>
          </w:tcPr>
          <w:p>
            <w:pPr>
              <w:pStyle w:val="0"/>
              <w:jc w:val="both"/>
            </w:pPr>
            <w:r>
              <w:rPr>
                <w:sz w:val="20"/>
              </w:rPr>
              <w:t xml:space="preserve">Снижение количества пожаров, случаев</w:t>
            </w:r>
          </w:p>
        </w:tc>
        <w:tc>
          <w:tcPr>
            <w:tcW w:w="1051" w:type="dxa"/>
            <w:vAlign w:val="center"/>
          </w:tcPr>
          <w:p>
            <w:pPr>
              <w:pStyle w:val="0"/>
              <w:jc w:val="center"/>
            </w:pPr>
            <w:r>
              <w:rPr>
                <w:sz w:val="20"/>
              </w:rPr>
              <w:t xml:space="preserve">560</w:t>
            </w:r>
          </w:p>
        </w:tc>
        <w:tc>
          <w:tcPr>
            <w:tcW w:w="1033" w:type="dxa"/>
            <w:vAlign w:val="center"/>
          </w:tcPr>
          <w:p>
            <w:pPr>
              <w:pStyle w:val="0"/>
              <w:jc w:val="center"/>
            </w:pPr>
            <w:r>
              <w:rPr>
                <w:sz w:val="20"/>
              </w:rPr>
              <w:t xml:space="preserve">6800</w:t>
            </w:r>
          </w:p>
        </w:tc>
        <w:tc>
          <w:tcPr>
            <w:tcW w:w="1065" w:type="dxa"/>
            <w:vAlign w:val="center"/>
          </w:tcPr>
          <w:p>
            <w:pPr>
              <w:pStyle w:val="0"/>
              <w:jc w:val="center"/>
            </w:pPr>
            <w:r>
              <w:rPr>
                <w:sz w:val="20"/>
              </w:rPr>
              <w:t xml:space="preserve">6460</w:t>
            </w:r>
          </w:p>
        </w:tc>
        <w:tc>
          <w:tcPr>
            <w:tcW w:w="1049" w:type="dxa"/>
            <w:vAlign w:val="center"/>
          </w:tcPr>
          <w:p>
            <w:pPr>
              <w:pStyle w:val="0"/>
              <w:jc w:val="center"/>
            </w:pPr>
            <w:r>
              <w:rPr>
                <w:sz w:val="20"/>
              </w:rPr>
              <w:t xml:space="preserve">6320</w:t>
            </w:r>
          </w:p>
        </w:tc>
      </w:tr>
      <w:tr>
        <w:tc>
          <w:tcPr>
            <w:tcW w:w="680" w:type="dxa"/>
            <w:vAlign w:val="center"/>
          </w:tcPr>
          <w:p>
            <w:pPr>
              <w:pStyle w:val="0"/>
              <w:jc w:val="center"/>
            </w:pPr>
            <w:r>
              <w:rPr>
                <w:sz w:val="20"/>
              </w:rPr>
              <w:t xml:space="preserve">19</w:t>
            </w:r>
          </w:p>
        </w:tc>
        <w:tc>
          <w:tcPr>
            <w:tcW w:w="4025" w:type="dxa"/>
            <w:vAlign w:val="center"/>
          </w:tcPr>
          <w:p>
            <w:pPr>
              <w:pStyle w:val="0"/>
              <w:jc w:val="both"/>
            </w:pPr>
            <w:r>
              <w:rPr>
                <w:sz w:val="20"/>
              </w:rPr>
              <w:t xml:space="preserve">Снижение количества гибели людей при ЧС и на воде, %</w:t>
            </w:r>
          </w:p>
        </w:tc>
        <w:tc>
          <w:tcPr>
            <w:tcW w:w="1051" w:type="dxa"/>
            <w:vAlign w:val="center"/>
          </w:tcPr>
          <w:p>
            <w:pPr>
              <w:pStyle w:val="0"/>
              <w:jc w:val="center"/>
            </w:pPr>
            <w:r>
              <w:rPr>
                <w:sz w:val="20"/>
              </w:rPr>
              <w:t xml:space="preserve">14</w:t>
            </w:r>
          </w:p>
        </w:tc>
        <w:tc>
          <w:tcPr>
            <w:tcW w:w="1033" w:type="dxa"/>
            <w:vAlign w:val="center"/>
          </w:tcPr>
          <w:p>
            <w:pPr>
              <w:pStyle w:val="0"/>
              <w:jc w:val="center"/>
            </w:pPr>
            <w:r>
              <w:rPr>
                <w:sz w:val="20"/>
              </w:rPr>
              <w:t xml:space="preserve">17</w:t>
            </w:r>
          </w:p>
        </w:tc>
        <w:tc>
          <w:tcPr>
            <w:tcW w:w="1065" w:type="dxa"/>
            <w:vAlign w:val="center"/>
          </w:tcPr>
          <w:p>
            <w:pPr>
              <w:pStyle w:val="0"/>
              <w:jc w:val="center"/>
            </w:pPr>
            <w:r>
              <w:rPr>
                <w:sz w:val="20"/>
              </w:rPr>
              <w:t xml:space="preserve">21</w:t>
            </w:r>
          </w:p>
        </w:tc>
        <w:tc>
          <w:tcPr>
            <w:tcW w:w="1049" w:type="dxa"/>
            <w:vAlign w:val="center"/>
          </w:tcPr>
          <w:p>
            <w:pPr>
              <w:pStyle w:val="0"/>
              <w:jc w:val="center"/>
            </w:pPr>
            <w:r>
              <w:rPr>
                <w:sz w:val="20"/>
              </w:rPr>
              <w:t xml:space="preserve">26</w:t>
            </w:r>
          </w:p>
        </w:tc>
      </w:tr>
      <w:tr>
        <w:tc>
          <w:tcPr>
            <w:tcW w:w="680" w:type="dxa"/>
            <w:vAlign w:val="center"/>
          </w:tcPr>
          <w:p>
            <w:pPr>
              <w:pStyle w:val="0"/>
              <w:jc w:val="center"/>
            </w:pPr>
            <w:r>
              <w:rPr>
                <w:sz w:val="20"/>
              </w:rPr>
              <w:t xml:space="preserve">20</w:t>
            </w:r>
          </w:p>
        </w:tc>
        <w:tc>
          <w:tcPr>
            <w:tcW w:w="4025" w:type="dxa"/>
          </w:tcPr>
          <w:p>
            <w:pPr>
              <w:pStyle w:val="0"/>
              <w:jc w:val="both"/>
            </w:pPr>
            <w:r>
              <w:rPr>
                <w:sz w:val="20"/>
              </w:rPr>
              <w:t xml:space="preserve">Число технологических сбоев (аварий) в системах водоснабжения, единиц</w:t>
            </w:r>
          </w:p>
        </w:tc>
        <w:tc>
          <w:tcPr>
            <w:tcW w:w="1051" w:type="dxa"/>
          </w:tcPr>
          <w:p>
            <w:pPr>
              <w:pStyle w:val="0"/>
              <w:jc w:val="center"/>
            </w:pPr>
            <w:r>
              <w:rPr>
                <w:sz w:val="20"/>
              </w:rPr>
              <w:t xml:space="preserve">62</w:t>
            </w:r>
          </w:p>
        </w:tc>
        <w:tc>
          <w:tcPr>
            <w:tcW w:w="1033" w:type="dxa"/>
          </w:tcPr>
          <w:p>
            <w:pPr>
              <w:pStyle w:val="0"/>
              <w:jc w:val="center"/>
            </w:pPr>
            <w:r>
              <w:rPr>
                <w:sz w:val="20"/>
              </w:rPr>
              <w:t xml:space="preserve">60</w:t>
            </w:r>
          </w:p>
        </w:tc>
        <w:tc>
          <w:tcPr>
            <w:tcW w:w="1065" w:type="dxa"/>
          </w:tcPr>
          <w:p>
            <w:pPr>
              <w:pStyle w:val="0"/>
              <w:jc w:val="center"/>
            </w:pPr>
            <w:r>
              <w:rPr>
                <w:sz w:val="20"/>
              </w:rPr>
              <w:t xml:space="preserve">58</w:t>
            </w:r>
          </w:p>
        </w:tc>
        <w:tc>
          <w:tcPr>
            <w:tcW w:w="1049" w:type="dxa"/>
          </w:tcPr>
          <w:p>
            <w:pPr>
              <w:pStyle w:val="0"/>
              <w:jc w:val="center"/>
            </w:pPr>
            <w:r>
              <w:rPr>
                <w:sz w:val="20"/>
              </w:rPr>
              <w:t xml:space="preserve">56</w:t>
            </w:r>
          </w:p>
        </w:tc>
      </w:tr>
      <w:tr>
        <w:tc>
          <w:tcPr>
            <w:tcW w:w="680" w:type="dxa"/>
            <w:vAlign w:val="center"/>
          </w:tcPr>
          <w:p>
            <w:pPr>
              <w:pStyle w:val="0"/>
              <w:jc w:val="center"/>
            </w:pPr>
            <w:r>
              <w:rPr>
                <w:sz w:val="20"/>
              </w:rPr>
              <w:t xml:space="preserve">21</w:t>
            </w:r>
          </w:p>
        </w:tc>
        <w:tc>
          <w:tcPr>
            <w:tcW w:w="4025" w:type="dxa"/>
          </w:tcPr>
          <w:p>
            <w:pPr>
              <w:pStyle w:val="0"/>
              <w:jc w:val="both"/>
            </w:pPr>
            <w:r>
              <w:rPr>
                <w:sz w:val="20"/>
              </w:rPr>
              <w:t xml:space="preserve">Степень износа коммунальной инфраструктуры, %</w:t>
            </w:r>
          </w:p>
        </w:tc>
        <w:tc>
          <w:tcPr>
            <w:tcW w:w="1051" w:type="dxa"/>
          </w:tcPr>
          <w:p>
            <w:pPr>
              <w:pStyle w:val="0"/>
              <w:jc w:val="center"/>
            </w:pPr>
            <w:r>
              <w:rPr>
                <w:sz w:val="20"/>
              </w:rPr>
              <w:t xml:space="preserve">69,84</w:t>
            </w:r>
          </w:p>
        </w:tc>
        <w:tc>
          <w:tcPr>
            <w:tcW w:w="1033" w:type="dxa"/>
          </w:tcPr>
          <w:p>
            <w:pPr>
              <w:pStyle w:val="0"/>
              <w:jc w:val="center"/>
            </w:pPr>
            <w:r>
              <w:rPr>
                <w:sz w:val="20"/>
              </w:rPr>
              <w:t xml:space="preserve">61,2</w:t>
            </w:r>
          </w:p>
        </w:tc>
        <w:tc>
          <w:tcPr>
            <w:tcW w:w="1065" w:type="dxa"/>
          </w:tcPr>
          <w:p>
            <w:pPr>
              <w:pStyle w:val="0"/>
              <w:jc w:val="center"/>
            </w:pPr>
            <w:r>
              <w:rPr>
                <w:sz w:val="20"/>
              </w:rPr>
              <w:t xml:space="preserve">60,0</w:t>
            </w:r>
          </w:p>
        </w:tc>
        <w:tc>
          <w:tcPr>
            <w:tcW w:w="1049" w:type="dxa"/>
          </w:tcPr>
          <w:p>
            <w:pPr>
              <w:pStyle w:val="0"/>
              <w:jc w:val="center"/>
            </w:pPr>
            <w:r>
              <w:rPr>
                <w:sz w:val="20"/>
              </w:rPr>
              <w:t xml:space="preserve">58,0</w:t>
            </w:r>
          </w:p>
        </w:tc>
      </w:tr>
      <w:tr>
        <w:tc>
          <w:tcPr>
            <w:tcW w:w="680" w:type="dxa"/>
            <w:vAlign w:val="center"/>
          </w:tcPr>
          <w:p>
            <w:pPr>
              <w:pStyle w:val="0"/>
              <w:jc w:val="center"/>
            </w:pPr>
            <w:r>
              <w:rPr>
                <w:sz w:val="20"/>
              </w:rPr>
              <w:t xml:space="preserve">22</w:t>
            </w:r>
          </w:p>
        </w:tc>
        <w:tc>
          <w:tcPr>
            <w:tcW w:w="4025" w:type="dxa"/>
            <w:vAlign w:val="center"/>
          </w:tcPr>
          <w:p>
            <w:pPr>
              <w:pStyle w:val="0"/>
              <w:jc w:val="both"/>
            </w:pPr>
            <w:r>
              <w:rPr>
                <w:sz w:val="20"/>
              </w:rPr>
              <w:t xml:space="preserve">Объем перевозок пассажиров транспортом общего пользования, млн. чел.</w:t>
            </w:r>
          </w:p>
        </w:tc>
        <w:tc>
          <w:tcPr>
            <w:tcW w:w="1051" w:type="dxa"/>
            <w:vAlign w:val="center"/>
          </w:tcPr>
          <w:p>
            <w:pPr>
              <w:pStyle w:val="0"/>
              <w:jc w:val="center"/>
            </w:pPr>
            <w:r>
              <w:rPr>
                <w:sz w:val="20"/>
              </w:rPr>
              <w:t xml:space="preserve">143,3</w:t>
            </w:r>
          </w:p>
        </w:tc>
        <w:tc>
          <w:tcPr>
            <w:tcW w:w="1033" w:type="dxa"/>
            <w:vAlign w:val="center"/>
          </w:tcPr>
          <w:p>
            <w:pPr>
              <w:pStyle w:val="0"/>
              <w:jc w:val="center"/>
            </w:pPr>
            <w:r>
              <w:rPr>
                <w:sz w:val="20"/>
              </w:rPr>
              <w:t xml:space="preserve">185</w:t>
            </w:r>
          </w:p>
        </w:tc>
        <w:tc>
          <w:tcPr>
            <w:tcW w:w="1065" w:type="dxa"/>
            <w:vAlign w:val="center"/>
          </w:tcPr>
          <w:p>
            <w:pPr>
              <w:pStyle w:val="0"/>
              <w:jc w:val="center"/>
            </w:pPr>
            <w:r>
              <w:rPr>
                <w:sz w:val="20"/>
              </w:rPr>
              <w:t xml:space="preserve">255</w:t>
            </w:r>
          </w:p>
        </w:tc>
        <w:tc>
          <w:tcPr>
            <w:tcW w:w="1049" w:type="dxa"/>
            <w:vAlign w:val="center"/>
          </w:tcPr>
          <w:p>
            <w:pPr>
              <w:pStyle w:val="0"/>
              <w:jc w:val="center"/>
            </w:pPr>
            <w:r>
              <w:rPr>
                <w:sz w:val="20"/>
              </w:rPr>
              <w:t xml:space="preserve">350</w:t>
            </w:r>
          </w:p>
        </w:tc>
      </w:tr>
      <w:tr>
        <w:tc>
          <w:tcPr>
            <w:tcW w:w="680" w:type="dxa"/>
            <w:vAlign w:val="center"/>
          </w:tcPr>
          <w:p>
            <w:pPr>
              <w:pStyle w:val="0"/>
              <w:jc w:val="center"/>
            </w:pPr>
            <w:r>
              <w:rPr>
                <w:sz w:val="20"/>
              </w:rPr>
              <w:t xml:space="preserve">23</w:t>
            </w:r>
          </w:p>
        </w:tc>
        <w:tc>
          <w:tcPr>
            <w:tcW w:w="4025" w:type="dxa"/>
            <w:vAlign w:val="center"/>
          </w:tcPr>
          <w:p>
            <w:pPr>
              <w:pStyle w:val="0"/>
              <w:jc w:val="both"/>
            </w:pPr>
            <w:r>
              <w:rPr>
                <w:sz w:val="20"/>
              </w:rPr>
              <w:t xml:space="preserve">Общее количество посетителей Курской области, размещенных в коллективных средствах размещения, тыс. чел.</w:t>
            </w:r>
          </w:p>
        </w:tc>
        <w:tc>
          <w:tcPr>
            <w:tcW w:w="1051" w:type="dxa"/>
            <w:vAlign w:val="center"/>
          </w:tcPr>
          <w:p>
            <w:pPr>
              <w:pStyle w:val="0"/>
              <w:jc w:val="center"/>
            </w:pPr>
            <w:r>
              <w:rPr>
                <w:sz w:val="20"/>
              </w:rPr>
              <w:t xml:space="preserve">199,8</w:t>
            </w:r>
          </w:p>
        </w:tc>
        <w:tc>
          <w:tcPr>
            <w:tcW w:w="1033" w:type="dxa"/>
            <w:vAlign w:val="center"/>
          </w:tcPr>
          <w:p>
            <w:pPr>
              <w:pStyle w:val="0"/>
              <w:jc w:val="center"/>
            </w:pPr>
            <w:r>
              <w:rPr>
                <w:sz w:val="20"/>
              </w:rPr>
              <w:t xml:space="preserve">209,8</w:t>
            </w:r>
          </w:p>
        </w:tc>
        <w:tc>
          <w:tcPr>
            <w:tcW w:w="1065" w:type="dxa"/>
            <w:vAlign w:val="center"/>
          </w:tcPr>
          <w:p>
            <w:pPr>
              <w:pStyle w:val="0"/>
              <w:jc w:val="center"/>
            </w:pPr>
            <w:r>
              <w:rPr>
                <w:sz w:val="20"/>
              </w:rPr>
              <w:t xml:space="preserve">253,7</w:t>
            </w:r>
          </w:p>
        </w:tc>
        <w:tc>
          <w:tcPr>
            <w:tcW w:w="1049" w:type="dxa"/>
            <w:vAlign w:val="center"/>
          </w:tcPr>
          <w:p>
            <w:pPr>
              <w:pStyle w:val="0"/>
              <w:jc w:val="center"/>
            </w:pPr>
            <w:r>
              <w:rPr>
                <w:sz w:val="20"/>
              </w:rPr>
              <w:t xml:space="preserve">301,7</w:t>
            </w:r>
          </w:p>
        </w:tc>
      </w:tr>
      <w:tr>
        <w:tc>
          <w:tcPr>
            <w:tcW w:w="680" w:type="dxa"/>
            <w:vAlign w:val="center"/>
          </w:tcPr>
          <w:p>
            <w:pPr>
              <w:pStyle w:val="0"/>
              <w:jc w:val="center"/>
            </w:pPr>
            <w:r>
              <w:rPr>
                <w:sz w:val="20"/>
              </w:rPr>
              <w:t xml:space="preserve">24</w:t>
            </w:r>
          </w:p>
        </w:tc>
        <w:tc>
          <w:tcPr>
            <w:tcW w:w="4025" w:type="dxa"/>
            <w:vAlign w:val="center"/>
          </w:tcPr>
          <w:p>
            <w:pPr>
              <w:pStyle w:val="0"/>
              <w:jc w:val="both"/>
            </w:pPr>
            <w:r>
              <w:rPr>
                <w:sz w:val="20"/>
              </w:rPr>
              <w:t xml:space="preserve">Государственный долг по отношению к налоговым и неналоговым доходам областного бюджета, %</w:t>
            </w:r>
          </w:p>
        </w:tc>
        <w:tc>
          <w:tcPr>
            <w:tcW w:w="1051" w:type="dxa"/>
            <w:vAlign w:val="center"/>
          </w:tcPr>
          <w:p>
            <w:pPr>
              <w:pStyle w:val="0"/>
              <w:jc w:val="center"/>
            </w:pPr>
            <w:r>
              <w:rPr>
                <w:sz w:val="20"/>
              </w:rPr>
              <w:t xml:space="preserve">25,8</w:t>
            </w:r>
          </w:p>
        </w:tc>
        <w:tc>
          <w:tcPr>
            <w:tcW w:w="1033" w:type="dxa"/>
            <w:vAlign w:val="center"/>
          </w:tcPr>
          <w:p>
            <w:pPr>
              <w:pStyle w:val="0"/>
              <w:jc w:val="center"/>
            </w:pPr>
            <w:r>
              <w:rPr>
                <w:sz w:val="20"/>
              </w:rPr>
              <w:t xml:space="preserve">23,8</w:t>
            </w:r>
          </w:p>
        </w:tc>
        <w:tc>
          <w:tcPr>
            <w:tcW w:w="1065" w:type="dxa"/>
            <w:vAlign w:val="center"/>
          </w:tcPr>
          <w:p>
            <w:pPr>
              <w:pStyle w:val="0"/>
              <w:jc w:val="center"/>
            </w:pPr>
            <w:r>
              <w:rPr>
                <w:sz w:val="20"/>
              </w:rPr>
              <w:t xml:space="preserve">17,5</w:t>
            </w:r>
          </w:p>
        </w:tc>
        <w:tc>
          <w:tcPr>
            <w:tcW w:w="1049" w:type="dxa"/>
            <w:vAlign w:val="center"/>
          </w:tcPr>
          <w:p>
            <w:pPr>
              <w:pStyle w:val="0"/>
              <w:jc w:val="center"/>
            </w:pPr>
            <w:r>
              <w:rPr>
                <w:sz w:val="20"/>
              </w:rPr>
              <w:t xml:space="preserve">14,9</w:t>
            </w:r>
          </w:p>
        </w:tc>
      </w:tr>
      <w:tr>
        <w:tc>
          <w:tcPr>
            <w:tcW w:w="680" w:type="dxa"/>
            <w:vAlign w:val="center"/>
          </w:tcPr>
          <w:p>
            <w:pPr>
              <w:pStyle w:val="0"/>
              <w:jc w:val="center"/>
            </w:pPr>
            <w:r>
              <w:rPr>
                <w:sz w:val="20"/>
              </w:rPr>
              <w:t xml:space="preserve">25</w:t>
            </w:r>
          </w:p>
        </w:tc>
        <w:tc>
          <w:tcPr>
            <w:tcW w:w="4025" w:type="dxa"/>
            <w:vAlign w:val="center"/>
          </w:tcPr>
          <w:p>
            <w:pPr>
              <w:pStyle w:val="0"/>
              <w:jc w:val="both"/>
            </w:pPr>
            <w:r>
              <w:rPr>
                <w:sz w:val="20"/>
              </w:rPr>
              <w:t xml:space="preserve">Естественный прирост населения, на 1000 чел. населения</w:t>
            </w:r>
          </w:p>
        </w:tc>
        <w:tc>
          <w:tcPr>
            <w:tcW w:w="1051" w:type="dxa"/>
            <w:vAlign w:val="center"/>
          </w:tcPr>
          <w:p>
            <w:pPr>
              <w:pStyle w:val="0"/>
              <w:jc w:val="center"/>
            </w:pPr>
            <w:r>
              <w:rPr>
                <w:sz w:val="20"/>
              </w:rPr>
              <w:t xml:space="preserve">- 5,93</w:t>
            </w:r>
          </w:p>
        </w:tc>
        <w:tc>
          <w:tcPr>
            <w:tcW w:w="1033" w:type="dxa"/>
            <w:vAlign w:val="center"/>
          </w:tcPr>
          <w:p>
            <w:pPr>
              <w:pStyle w:val="0"/>
              <w:jc w:val="center"/>
            </w:pPr>
            <w:r>
              <w:rPr>
                <w:sz w:val="20"/>
              </w:rPr>
              <w:t xml:space="preserve">- 8,1</w:t>
            </w:r>
          </w:p>
        </w:tc>
        <w:tc>
          <w:tcPr>
            <w:tcW w:w="1065" w:type="dxa"/>
            <w:vAlign w:val="center"/>
          </w:tcPr>
          <w:p>
            <w:pPr>
              <w:pStyle w:val="0"/>
              <w:jc w:val="center"/>
            </w:pPr>
            <w:r>
              <w:rPr>
                <w:sz w:val="20"/>
              </w:rPr>
              <w:t xml:space="preserve">- 7,4</w:t>
            </w:r>
          </w:p>
        </w:tc>
        <w:tc>
          <w:tcPr>
            <w:tcW w:w="1049" w:type="dxa"/>
            <w:vAlign w:val="center"/>
          </w:tcPr>
          <w:p>
            <w:pPr>
              <w:pStyle w:val="0"/>
              <w:jc w:val="center"/>
            </w:pPr>
            <w:r>
              <w:rPr>
                <w:sz w:val="20"/>
              </w:rPr>
              <w:t xml:space="preserve">- 6,6</w:t>
            </w:r>
          </w:p>
        </w:tc>
      </w:tr>
      <w:tr>
        <w:tc>
          <w:tcPr>
            <w:tcW w:w="680" w:type="dxa"/>
            <w:vAlign w:val="center"/>
          </w:tcPr>
          <w:p>
            <w:pPr>
              <w:pStyle w:val="0"/>
              <w:jc w:val="center"/>
            </w:pPr>
            <w:r>
              <w:rPr>
                <w:sz w:val="20"/>
              </w:rPr>
              <w:t xml:space="preserve">26</w:t>
            </w:r>
          </w:p>
        </w:tc>
        <w:tc>
          <w:tcPr>
            <w:tcW w:w="4025" w:type="dxa"/>
            <w:vAlign w:val="center"/>
          </w:tcPr>
          <w:p>
            <w:pPr>
              <w:pStyle w:val="0"/>
              <w:jc w:val="both"/>
            </w:pPr>
            <w:r>
              <w:rPr>
                <w:sz w:val="20"/>
              </w:rPr>
              <w:t xml:space="preserve">Суммарный коэффициент рождаемости</w:t>
            </w:r>
          </w:p>
          <w:p>
            <w:pPr>
              <w:pStyle w:val="0"/>
              <w:jc w:val="both"/>
            </w:pPr>
            <w:r>
              <w:rPr>
                <w:sz w:val="20"/>
              </w:rPr>
              <w:t xml:space="preserve">(число родившихся детей на 1 женщину)</w:t>
            </w:r>
          </w:p>
        </w:tc>
        <w:tc>
          <w:tcPr>
            <w:tcW w:w="1051" w:type="dxa"/>
            <w:vAlign w:val="center"/>
          </w:tcPr>
          <w:p>
            <w:pPr>
              <w:pStyle w:val="0"/>
              <w:jc w:val="center"/>
            </w:pPr>
            <w:r>
              <w:rPr>
                <w:sz w:val="20"/>
              </w:rPr>
              <w:t xml:space="preserve">1,46</w:t>
            </w:r>
          </w:p>
        </w:tc>
        <w:tc>
          <w:tcPr>
            <w:tcW w:w="1033" w:type="dxa"/>
            <w:vAlign w:val="center"/>
          </w:tcPr>
          <w:p>
            <w:pPr>
              <w:pStyle w:val="0"/>
              <w:jc w:val="center"/>
            </w:pPr>
            <w:r>
              <w:rPr>
                <w:sz w:val="20"/>
              </w:rPr>
              <w:t xml:space="preserve">1,349</w:t>
            </w:r>
          </w:p>
        </w:tc>
        <w:tc>
          <w:tcPr>
            <w:tcW w:w="1065" w:type="dxa"/>
            <w:vAlign w:val="center"/>
          </w:tcPr>
          <w:p>
            <w:pPr>
              <w:pStyle w:val="0"/>
              <w:jc w:val="center"/>
            </w:pPr>
            <w:r>
              <w:rPr>
                <w:sz w:val="20"/>
              </w:rPr>
              <w:t xml:space="preserve">1,436</w:t>
            </w:r>
          </w:p>
        </w:tc>
        <w:tc>
          <w:tcPr>
            <w:tcW w:w="1049" w:type="dxa"/>
            <w:vAlign w:val="center"/>
          </w:tcPr>
          <w:p>
            <w:pPr>
              <w:pStyle w:val="0"/>
              <w:jc w:val="center"/>
            </w:pPr>
            <w:r>
              <w:rPr>
                <w:sz w:val="20"/>
              </w:rPr>
              <w:t xml:space="preserve">1,511</w:t>
            </w:r>
          </w:p>
        </w:tc>
      </w:tr>
      <w:tr>
        <w:tc>
          <w:tcPr>
            <w:tcW w:w="680" w:type="dxa"/>
            <w:vAlign w:val="center"/>
          </w:tcPr>
          <w:p>
            <w:pPr>
              <w:pStyle w:val="0"/>
              <w:jc w:val="center"/>
            </w:pPr>
            <w:r>
              <w:rPr>
                <w:sz w:val="20"/>
              </w:rPr>
              <w:t xml:space="preserve">27</w:t>
            </w:r>
          </w:p>
        </w:tc>
        <w:tc>
          <w:tcPr>
            <w:tcW w:w="4025" w:type="dxa"/>
            <w:vAlign w:val="center"/>
          </w:tcPr>
          <w:p>
            <w:pPr>
              <w:pStyle w:val="0"/>
              <w:jc w:val="both"/>
            </w:pPr>
            <w:r>
              <w:rPr>
                <w:sz w:val="20"/>
              </w:rPr>
              <w:t xml:space="preserve">Младенческая смертность (умершие в возрасте до 1 года на 1000 родившихся живыми)</w:t>
            </w:r>
          </w:p>
        </w:tc>
        <w:tc>
          <w:tcPr>
            <w:tcW w:w="1051" w:type="dxa"/>
            <w:vAlign w:val="center"/>
          </w:tcPr>
          <w:p>
            <w:pPr>
              <w:pStyle w:val="0"/>
              <w:jc w:val="center"/>
            </w:pPr>
            <w:r>
              <w:rPr>
                <w:sz w:val="20"/>
              </w:rPr>
              <w:t xml:space="preserve">5,6</w:t>
            </w:r>
          </w:p>
        </w:tc>
        <w:tc>
          <w:tcPr>
            <w:tcW w:w="1033" w:type="dxa"/>
            <w:vAlign w:val="center"/>
          </w:tcPr>
          <w:p>
            <w:pPr>
              <w:pStyle w:val="0"/>
              <w:jc w:val="center"/>
            </w:pPr>
            <w:r>
              <w:rPr>
                <w:sz w:val="20"/>
              </w:rPr>
              <w:t xml:space="preserve">5,5</w:t>
            </w:r>
          </w:p>
        </w:tc>
        <w:tc>
          <w:tcPr>
            <w:tcW w:w="1065" w:type="dxa"/>
            <w:vAlign w:val="center"/>
          </w:tcPr>
          <w:p>
            <w:pPr>
              <w:pStyle w:val="0"/>
              <w:jc w:val="center"/>
            </w:pPr>
            <w:r>
              <w:rPr>
                <w:sz w:val="20"/>
              </w:rPr>
              <w:t xml:space="preserve">4,7</w:t>
            </w:r>
          </w:p>
        </w:tc>
        <w:tc>
          <w:tcPr>
            <w:tcW w:w="1049" w:type="dxa"/>
            <w:vAlign w:val="center"/>
          </w:tcPr>
          <w:p>
            <w:pPr>
              <w:pStyle w:val="0"/>
              <w:jc w:val="center"/>
            </w:pPr>
            <w:r>
              <w:rPr>
                <w:sz w:val="20"/>
              </w:rPr>
              <w:t xml:space="preserve">4,5</w:t>
            </w:r>
          </w:p>
        </w:tc>
      </w:tr>
      <w:tr>
        <w:tc>
          <w:tcPr>
            <w:tcW w:w="680" w:type="dxa"/>
            <w:vAlign w:val="center"/>
          </w:tcPr>
          <w:p>
            <w:pPr>
              <w:pStyle w:val="0"/>
              <w:jc w:val="center"/>
            </w:pPr>
            <w:r>
              <w:rPr>
                <w:sz w:val="20"/>
              </w:rPr>
              <w:t xml:space="preserve">28</w:t>
            </w:r>
          </w:p>
        </w:tc>
        <w:tc>
          <w:tcPr>
            <w:tcW w:w="4025" w:type="dxa"/>
            <w:vAlign w:val="center"/>
          </w:tcPr>
          <w:p>
            <w:pPr>
              <w:pStyle w:val="0"/>
              <w:jc w:val="both"/>
            </w:pPr>
            <w:r>
              <w:rPr>
                <w:sz w:val="20"/>
              </w:rPr>
              <w:t xml:space="preserve">Смертность лиц трудоспособного возраста (человек на 100 тыс. населения)</w:t>
            </w:r>
          </w:p>
        </w:tc>
        <w:tc>
          <w:tcPr>
            <w:tcW w:w="1051" w:type="dxa"/>
            <w:vAlign w:val="center"/>
          </w:tcPr>
          <w:p>
            <w:pPr>
              <w:pStyle w:val="0"/>
              <w:jc w:val="center"/>
            </w:pPr>
            <w:r>
              <w:rPr>
                <w:sz w:val="20"/>
              </w:rPr>
              <w:t xml:space="preserve">540,0</w:t>
            </w:r>
          </w:p>
        </w:tc>
        <w:tc>
          <w:tcPr>
            <w:tcW w:w="1033" w:type="dxa"/>
            <w:vAlign w:val="center"/>
          </w:tcPr>
          <w:p>
            <w:pPr>
              <w:pStyle w:val="0"/>
              <w:jc w:val="center"/>
            </w:pPr>
            <w:r>
              <w:rPr>
                <w:sz w:val="20"/>
              </w:rPr>
              <w:t xml:space="preserve">535,6</w:t>
            </w:r>
          </w:p>
        </w:tc>
        <w:tc>
          <w:tcPr>
            <w:tcW w:w="1065" w:type="dxa"/>
            <w:vAlign w:val="center"/>
          </w:tcPr>
          <w:p>
            <w:pPr>
              <w:pStyle w:val="0"/>
              <w:jc w:val="center"/>
            </w:pPr>
            <w:r>
              <w:rPr>
                <w:sz w:val="20"/>
              </w:rPr>
              <w:t xml:space="preserve">390,5</w:t>
            </w:r>
          </w:p>
        </w:tc>
        <w:tc>
          <w:tcPr>
            <w:tcW w:w="1049" w:type="dxa"/>
            <w:vAlign w:val="center"/>
          </w:tcPr>
          <w:p>
            <w:pPr>
              <w:pStyle w:val="0"/>
              <w:jc w:val="center"/>
            </w:pPr>
            <w:r>
              <w:rPr>
                <w:sz w:val="20"/>
              </w:rPr>
              <w:t xml:space="preserve">35,0</w:t>
            </w:r>
          </w:p>
        </w:tc>
      </w:tr>
      <w:tr>
        <w:tc>
          <w:tcPr>
            <w:tcW w:w="680" w:type="dxa"/>
            <w:vAlign w:val="center"/>
          </w:tcPr>
          <w:p>
            <w:pPr>
              <w:pStyle w:val="0"/>
              <w:jc w:val="center"/>
            </w:pPr>
            <w:r>
              <w:rPr>
                <w:sz w:val="20"/>
              </w:rPr>
              <w:t xml:space="preserve">29</w:t>
            </w:r>
          </w:p>
        </w:tc>
        <w:tc>
          <w:tcPr>
            <w:tcW w:w="4025" w:type="dxa"/>
            <w:vAlign w:val="center"/>
          </w:tcPr>
          <w:p>
            <w:pPr>
              <w:pStyle w:val="0"/>
              <w:jc w:val="both"/>
            </w:pPr>
            <w:r>
              <w:rPr>
                <w:sz w:val="20"/>
              </w:rPr>
              <w:t xml:space="preserve">Уровень реальной среднемесячной заработной платы, % (2017 год - базовое значение)</w:t>
            </w:r>
          </w:p>
        </w:tc>
        <w:tc>
          <w:tcPr>
            <w:tcW w:w="1051" w:type="dxa"/>
            <w:vAlign w:val="center"/>
          </w:tcPr>
          <w:p>
            <w:pPr>
              <w:pStyle w:val="0"/>
              <w:jc w:val="center"/>
            </w:pPr>
            <w:r>
              <w:rPr>
                <w:sz w:val="20"/>
              </w:rPr>
              <w:t xml:space="preserve">100</w:t>
            </w:r>
          </w:p>
        </w:tc>
        <w:tc>
          <w:tcPr>
            <w:tcW w:w="1033" w:type="dxa"/>
            <w:vAlign w:val="center"/>
          </w:tcPr>
          <w:p>
            <w:pPr>
              <w:pStyle w:val="0"/>
              <w:jc w:val="center"/>
            </w:pPr>
            <w:r>
              <w:rPr>
                <w:sz w:val="20"/>
              </w:rPr>
              <w:t xml:space="preserve">114,2</w:t>
            </w:r>
          </w:p>
        </w:tc>
        <w:tc>
          <w:tcPr>
            <w:tcW w:w="1065" w:type="dxa"/>
            <w:vAlign w:val="center"/>
          </w:tcPr>
          <w:p>
            <w:pPr>
              <w:pStyle w:val="0"/>
              <w:jc w:val="center"/>
            </w:pPr>
            <w:r>
              <w:rPr>
                <w:sz w:val="20"/>
              </w:rPr>
              <w:t xml:space="preserve">124,6</w:t>
            </w:r>
          </w:p>
        </w:tc>
        <w:tc>
          <w:tcPr>
            <w:tcW w:w="1049" w:type="dxa"/>
            <w:vAlign w:val="center"/>
          </w:tcPr>
          <w:p>
            <w:pPr>
              <w:pStyle w:val="0"/>
              <w:jc w:val="center"/>
            </w:pPr>
            <w:r>
              <w:rPr>
                <w:sz w:val="20"/>
              </w:rPr>
              <w:t xml:space="preserve">142,1</w:t>
            </w:r>
          </w:p>
        </w:tc>
      </w:tr>
      <w:tr>
        <w:tc>
          <w:tcPr>
            <w:tcW w:w="680" w:type="dxa"/>
            <w:vAlign w:val="center"/>
          </w:tcPr>
          <w:p>
            <w:pPr>
              <w:pStyle w:val="0"/>
              <w:jc w:val="center"/>
            </w:pPr>
            <w:r>
              <w:rPr>
                <w:sz w:val="20"/>
              </w:rPr>
              <w:t xml:space="preserve">30</w:t>
            </w:r>
          </w:p>
        </w:tc>
        <w:tc>
          <w:tcPr>
            <w:tcW w:w="4025" w:type="dxa"/>
            <w:vAlign w:val="center"/>
          </w:tcPr>
          <w:p>
            <w:pPr>
              <w:pStyle w:val="0"/>
              <w:jc w:val="both"/>
            </w:pPr>
            <w:r>
              <w:rPr>
                <w:sz w:val="20"/>
              </w:rPr>
              <w:t xml:space="preserve">Уровень бедности, %</w:t>
            </w:r>
          </w:p>
        </w:tc>
        <w:tc>
          <w:tcPr>
            <w:tcW w:w="1051" w:type="dxa"/>
            <w:vAlign w:val="center"/>
          </w:tcPr>
          <w:p>
            <w:pPr>
              <w:pStyle w:val="0"/>
              <w:jc w:val="center"/>
            </w:pPr>
            <w:r>
              <w:rPr>
                <w:sz w:val="20"/>
              </w:rPr>
              <w:t xml:space="preserve">10,3</w:t>
            </w:r>
          </w:p>
        </w:tc>
        <w:tc>
          <w:tcPr>
            <w:tcW w:w="1033" w:type="dxa"/>
            <w:vAlign w:val="center"/>
          </w:tcPr>
          <w:p>
            <w:pPr>
              <w:pStyle w:val="0"/>
              <w:jc w:val="center"/>
            </w:pPr>
            <w:r>
              <w:rPr>
                <w:sz w:val="20"/>
              </w:rPr>
              <w:t xml:space="preserve">10,7</w:t>
            </w:r>
          </w:p>
        </w:tc>
        <w:tc>
          <w:tcPr>
            <w:tcW w:w="1065" w:type="dxa"/>
            <w:vAlign w:val="center"/>
          </w:tcPr>
          <w:p>
            <w:pPr>
              <w:pStyle w:val="0"/>
              <w:jc w:val="center"/>
            </w:pPr>
            <w:r>
              <w:rPr>
                <w:sz w:val="20"/>
              </w:rPr>
              <w:t xml:space="preserve">8,3</w:t>
            </w:r>
          </w:p>
        </w:tc>
        <w:tc>
          <w:tcPr>
            <w:tcW w:w="1049" w:type="dxa"/>
            <w:vAlign w:val="center"/>
          </w:tcPr>
          <w:p>
            <w:pPr>
              <w:pStyle w:val="0"/>
              <w:jc w:val="center"/>
            </w:pPr>
            <w:r>
              <w:rPr>
                <w:sz w:val="20"/>
              </w:rPr>
              <w:t xml:space="preserve">5,9</w:t>
            </w:r>
          </w:p>
        </w:tc>
      </w:tr>
      <w:tr>
        <w:tc>
          <w:tcPr>
            <w:tcW w:w="680" w:type="dxa"/>
            <w:vAlign w:val="center"/>
          </w:tcPr>
          <w:p>
            <w:pPr>
              <w:pStyle w:val="0"/>
              <w:jc w:val="center"/>
            </w:pPr>
            <w:r>
              <w:rPr>
                <w:sz w:val="20"/>
              </w:rPr>
              <w:t xml:space="preserve">31</w:t>
            </w:r>
          </w:p>
        </w:tc>
        <w:tc>
          <w:tcPr>
            <w:tcW w:w="4025" w:type="dxa"/>
            <w:vAlign w:val="center"/>
          </w:tcPr>
          <w:p>
            <w:pPr>
              <w:pStyle w:val="0"/>
              <w:jc w:val="both"/>
            </w:pPr>
            <w:r>
              <w:rPr>
                <w:sz w:val="20"/>
              </w:rPr>
              <w:t xml:space="preserve">Обеспеченность учреждениями культуры (учреждений на 100 тыс. человек населения)</w:t>
            </w:r>
          </w:p>
        </w:tc>
        <w:tc>
          <w:tcPr>
            <w:tcW w:w="1051" w:type="dxa"/>
            <w:vAlign w:val="center"/>
          </w:tcPr>
          <w:p>
            <w:pPr>
              <w:pStyle w:val="0"/>
              <w:jc w:val="center"/>
            </w:pPr>
            <w:r>
              <w:rPr>
                <w:sz w:val="20"/>
              </w:rPr>
              <w:t xml:space="preserve">129,05</w:t>
            </w:r>
          </w:p>
          <w:p>
            <w:pPr>
              <w:pStyle w:val="0"/>
              <w:jc w:val="center"/>
            </w:pPr>
            <w:r>
              <w:rPr>
                <w:sz w:val="20"/>
              </w:rPr>
              <w:t xml:space="preserve">(за 2019 год)</w:t>
            </w:r>
          </w:p>
        </w:tc>
        <w:tc>
          <w:tcPr>
            <w:tcW w:w="1033" w:type="dxa"/>
            <w:vAlign w:val="center"/>
          </w:tcPr>
          <w:p>
            <w:pPr>
              <w:pStyle w:val="0"/>
              <w:jc w:val="center"/>
            </w:pPr>
            <w:r>
              <w:rPr>
                <w:sz w:val="20"/>
              </w:rPr>
              <w:t xml:space="preserve">129,05</w:t>
            </w:r>
          </w:p>
        </w:tc>
        <w:tc>
          <w:tcPr>
            <w:tcW w:w="1065" w:type="dxa"/>
            <w:vAlign w:val="center"/>
          </w:tcPr>
          <w:p>
            <w:pPr>
              <w:pStyle w:val="0"/>
              <w:jc w:val="center"/>
            </w:pPr>
            <w:r>
              <w:rPr>
                <w:sz w:val="20"/>
              </w:rPr>
              <w:t xml:space="preserve">130,0</w:t>
            </w:r>
          </w:p>
        </w:tc>
        <w:tc>
          <w:tcPr>
            <w:tcW w:w="1049" w:type="dxa"/>
            <w:vAlign w:val="center"/>
          </w:tcPr>
          <w:p>
            <w:pPr>
              <w:pStyle w:val="0"/>
              <w:jc w:val="center"/>
            </w:pPr>
            <w:r>
              <w:rPr>
                <w:sz w:val="20"/>
              </w:rPr>
              <w:t xml:space="preserve">133,0</w:t>
            </w:r>
          </w:p>
        </w:tc>
      </w:tr>
      <w:tr>
        <w:tc>
          <w:tcPr>
            <w:tcW w:w="680" w:type="dxa"/>
            <w:vAlign w:val="center"/>
          </w:tcPr>
          <w:p>
            <w:pPr>
              <w:pStyle w:val="0"/>
              <w:jc w:val="center"/>
            </w:pPr>
            <w:r>
              <w:rPr>
                <w:sz w:val="20"/>
              </w:rPr>
              <w:t xml:space="preserve">32</w:t>
            </w:r>
          </w:p>
        </w:tc>
        <w:tc>
          <w:tcPr>
            <w:tcW w:w="4025" w:type="dxa"/>
            <w:vAlign w:val="center"/>
          </w:tcPr>
          <w:p>
            <w:pPr>
              <w:pStyle w:val="0"/>
              <w:jc w:val="both"/>
            </w:pPr>
            <w:r>
              <w:rPr>
                <w:sz w:val="20"/>
              </w:rPr>
              <w:t xml:space="preserve">Уровень удовлетворенности граждан Российской Федерации качеством предоставления государственных и муниципальных услуг в сфере культуры, %</w:t>
            </w:r>
          </w:p>
        </w:tc>
        <w:tc>
          <w:tcPr>
            <w:tcW w:w="1051" w:type="dxa"/>
            <w:vAlign w:val="center"/>
          </w:tcPr>
          <w:p>
            <w:pPr>
              <w:pStyle w:val="0"/>
              <w:jc w:val="center"/>
            </w:pPr>
            <w:r>
              <w:rPr>
                <w:sz w:val="20"/>
              </w:rPr>
              <w:t xml:space="preserve">90</w:t>
            </w:r>
          </w:p>
          <w:p>
            <w:pPr>
              <w:pStyle w:val="0"/>
              <w:jc w:val="center"/>
            </w:pPr>
            <w:r>
              <w:rPr>
                <w:sz w:val="20"/>
              </w:rPr>
              <w:t xml:space="preserve">(за 2019 год)</w:t>
            </w:r>
          </w:p>
        </w:tc>
        <w:tc>
          <w:tcPr>
            <w:tcW w:w="1033" w:type="dxa"/>
            <w:vAlign w:val="center"/>
          </w:tcPr>
          <w:p>
            <w:pPr>
              <w:pStyle w:val="0"/>
              <w:jc w:val="center"/>
            </w:pPr>
            <w:r>
              <w:rPr>
                <w:sz w:val="20"/>
              </w:rPr>
              <w:t xml:space="preserve">92</w:t>
            </w:r>
          </w:p>
        </w:tc>
        <w:tc>
          <w:tcPr>
            <w:tcW w:w="1065" w:type="dxa"/>
            <w:vAlign w:val="center"/>
          </w:tcPr>
          <w:p>
            <w:pPr>
              <w:pStyle w:val="0"/>
              <w:jc w:val="center"/>
            </w:pPr>
            <w:r>
              <w:rPr>
                <w:sz w:val="20"/>
              </w:rPr>
              <w:t xml:space="preserve">95</w:t>
            </w:r>
          </w:p>
        </w:tc>
        <w:tc>
          <w:tcPr>
            <w:tcW w:w="1049" w:type="dxa"/>
            <w:vAlign w:val="center"/>
          </w:tcPr>
          <w:p>
            <w:pPr>
              <w:pStyle w:val="0"/>
              <w:jc w:val="center"/>
            </w:pPr>
            <w:r>
              <w:rPr>
                <w:sz w:val="20"/>
              </w:rPr>
              <w:t xml:space="preserve">100</w:t>
            </w:r>
          </w:p>
        </w:tc>
      </w:tr>
      <w:tr>
        <w:tc>
          <w:tcPr>
            <w:tcW w:w="680" w:type="dxa"/>
            <w:vAlign w:val="center"/>
          </w:tcPr>
          <w:p>
            <w:pPr>
              <w:pStyle w:val="0"/>
              <w:jc w:val="center"/>
            </w:pPr>
            <w:r>
              <w:rPr>
                <w:sz w:val="20"/>
              </w:rPr>
              <w:t xml:space="preserve">33</w:t>
            </w:r>
          </w:p>
        </w:tc>
        <w:tc>
          <w:tcPr>
            <w:tcW w:w="4025" w:type="dxa"/>
            <w:vAlign w:val="center"/>
          </w:tcPr>
          <w:p>
            <w:pPr>
              <w:pStyle w:val="0"/>
              <w:jc w:val="both"/>
            </w:pPr>
            <w:r>
              <w:rPr>
                <w:sz w:val="20"/>
              </w:rPr>
              <w:t xml:space="preserve">Доля автомобильных дорог регионального значения, соответствующих нормативным требованиям, %</w:t>
            </w:r>
          </w:p>
        </w:tc>
        <w:tc>
          <w:tcPr>
            <w:tcW w:w="1051" w:type="dxa"/>
            <w:vAlign w:val="center"/>
          </w:tcPr>
          <w:p>
            <w:pPr>
              <w:pStyle w:val="0"/>
              <w:jc w:val="center"/>
            </w:pPr>
            <w:r>
              <w:rPr>
                <w:sz w:val="20"/>
              </w:rPr>
              <w:t xml:space="preserve">49,4</w:t>
            </w:r>
          </w:p>
        </w:tc>
        <w:tc>
          <w:tcPr>
            <w:tcW w:w="1033" w:type="dxa"/>
            <w:vAlign w:val="center"/>
          </w:tcPr>
          <w:p>
            <w:pPr>
              <w:pStyle w:val="0"/>
              <w:jc w:val="center"/>
            </w:pPr>
            <w:r>
              <w:rPr>
                <w:sz w:val="20"/>
              </w:rPr>
              <w:t xml:space="preserve">49,9</w:t>
            </w:r>
          </w:p>
        </w:tc>
        <w:tc>
          <w:tcPr>
            <w:tcW w:w="1065" w:type="dxa"/>
            <w:vAlign w:val="center"/>
          </w:tcPr>
          <w:p>
            <w:pPr>
              <w:pStyle w:val="0"/>
              <w:jc w:val="center"/>
            </w:pPr>
            <w:r>
              <w:rPr>
                <w:sz w:val="20"/>
              </w:rPr>
              <w:t xml:space="preserve">54,0</w:t>
            </w:r>
          </w:p>
        </w:tc>
        <w:tc>
          <w:tcPr>
            <w:tcW w:w="1049" w:type="dxa"/>
            <w:vAlign w:val="center"/>
          </w:tcPr>
          <w:p>
            <w:pPr>
              <w:pStyle w:val="0"/>
              <w:jc w:val="center"/>
            </w:pPr>
            <w:r>
              <w:rPr>
                <w:sz w:val="20"/>
              </w:rPr>
              <w:t xml:space="preserve">69,0</w:t>
            </w:r>
          </w:p>
        </w:tc>
      </w:tr>
      <w:tr>
        <w:tc>
          <w:tcPr>
            <w:tcW w:w="680" w:type="dxa"/>
            <w:vAlign w:val="center"/>
          </w:tcPr>
          <w:p>
            <w:pPr>
              <w:pStyle w:val="0"/>
              <w:jc w:val="center"/>
            </w:pPr>
            <w:r>
              <w:rPr>
                <w:sz w:val="20"/>
              </w:rPr>
              <w:t xml:space="preserve">34</w:t>
            </w:r>
          </w:p>
        </w:tc>
        <w:tc>
          <w:tcPr>
            <w:tcW w:w="4025" w:type="dxa"/>
            <w:vAlign w:val="center"/>
          </w:tcPr>
          <w:p>
            <w:pPr>
              <w:pStyle w:val="0"/>
              <w:jc w:val="both"/>
            </w:pPr>
            <w:r>
              <w:rPr>
                <w:sz w:val="20"/>
              </w:rPr>
              <w:t xml:space="preserve">Валовое потребление природного газа в качестве моторного топлива, млн. куб. м</w:t>
            </w:r>
          </w:p>
        </w:tc>
        <w:tc>
          <w:tcPr>
            <w:tcW w:w="1051" w:type="dxa"/>
            <w:vAlign w:val="center"/>
          </w:tcPr>
          <w:p>
            <w:pPr>
              <w:pStyle w:val="0"/>
              <w:jc w:val="center"/>
            </w:pPr>
            <w:r>
              <w:rPr>
                <w:sz w:val="20"/>
              </w:rPr>
              <w:t xml:space="preserve">12,03</w:t>
            </w:r>
          </w:p>
        </w:tc>
        <w:tc>
          <w:tcPr>
            <w:tcW w:w="1033" w:type="dxa"/>
            <w:vAlign w:val="center"/>
          </w:tcPr>
          <w:p>
            <w:pPr>
              <w:pStyle w:val="0"/>
              <w:jc w:val="center"/>
            </w:pPr>
            <w:r>
              <w:rPr>
                <w:sz w:val="20"/>
              </w:rPr>
              <w:t xml:space="preserve">14,48</w:t>
            </w:r>
          </w:p>
        </w:tc>
        <w:tc>
          <w:tcPr>
            <w:tcW w:w="1065" w:type="dxa"/>
            <w:vAlign w:val="center"/>
          </w:tcPr>
          <w:p>
            <w:pPr>
              <w:pStyle w:val="0"/>
              <w:jc w:val="center"/>
            </w:pPr>
            <w:r>
              <w:rPr>
                <w:sz w:val="20"/>
              </w:rPr>
              <w:t xml:space="preserve">21,0</w:t>
            </w:r>
          </w:p>
        </w:tc>
        <w:tc>
          <w:tcPr>
            <w:tcW w:w="1049" w:type="dxa"/>
            <w:vAlign w:val="center"/>
          </w:tcPr>
          <w:p>
            <w:pPr>
              <w:pStyle w:val="0"/>
              <w:jc w:val="center"/>
            </w:pPr>
            <w:r>
              <w:rPr>
                <w:sz w:val="20"/>
              </w:rPr>
              <w:t xml:space="preserve">22,0</w:t>
            </w:r>
          </w:p>
        </w:tc>
      </w:tr>
      <w:tr>
        <w:tc>
          <w:tcPr>
            <w:tcW w:w="680" w:type="dxa"/>
            <w:vAlign w:val="center"/>
          </w:tcPr>
          <w:p>
            <w:pPr>
              <w:pStyle w:val="0"/>
              <w:jc w:val="center"/>
            </w:pPr>
            <w:r>
              <w:rPr>
                <w:sz w:val="20"/>
              </w:rPr>
              <w:t xml:space="preserve">35</w:t>
            </w:r>
          </w:p>
        </w:tc>
        <w:tc>
          <w:tcPr>
            <w:tcW w:w="4025" w:type="dxa"/>
            <w:vAlign w:val="center"/>
          </w:tcPr>
          <w:p>
            <w:pPr>
              <w:pStyle w:val="0"/>
              <w:jc w:val="both"/>
            </w:pPr>
            <w:r>
              <w:rPr>
                <w:sz w:val="20"/>
              </w:rPr>
              <w:t xml:space="preserve">Количество объектов газозаправочной инфраструктуры, ед.</w:t>
            </w:r>
          </w:p>
        </w:tc>
        <w:tc>
          <w:tcPr>
            <w:tcW w:w="1051" w:type="dxa"/>
            <w:vAlign w:val="center"/>
          </w:tcPr>
          <w:p>
            <w:pPr>
              <w:pStyle w:val="0"/>
              <w:jc w:val="center"/>
            </w:pPr>
            <w:r>
              <w:rPr>
                <w:sz w:val="20"/>
              </w:rPr>
              <w:t xml:space="preserve">4</w:t>
            </w:r>
          </w:p>
        </w:tc>
        <w:tc>
          <w:tcPr>
            <w:tcW w:w="1033" w:type="dxa"/>
            <w:vAlign w:val="center"/>
          </w:tcPr>
          <w:p>
            <w:pPr>
              <w:pStyle w:val="0"/>
              <w:jc w:val="center"/>
            </w:pPr>
            <w:r>
              <w:rPr>
                <w:sz w:val="20"/>
              </w:rPr>
              <w:t xml:space="preserve">6</w:t>
            </w:r>
          </w:p>
        </w:tc>
        <w:tc>
          <w:tcPr>
            <w:tcW w:w="1065" w:type="dxa"/>
            <w:vAlign w:val="center"/>
          </w:tcPr>
          <w:p>
            <w:pPr>
              <w:pStyle w:val="0"/>
              <w:jc w:val="center"/>
            </w:pPr>
            <w:r>
              <w:rPr>
                <w:sz w:val="20"/>
              </w:rPr>
              <w:t xml:space="preserve">24</w:t>
            </w:r>
          </w:p>
        </w:tc>
        <w:tc>
          <w:tcPr>
            <w:tcW w:w="1049" w:type="dxa"/>
            <w:vAlign w:val="center"/>
          </w:tcPr>
          <w:p>
            <w:pPr>
              <w:pStyle w:val="0"/>
              <w:jc w:val="center"/>
            </w:pPr>
            <w:r>
              <w:rPr>
                <w:sz w:val="20"/>
              </w:rPr>
              <w:t xml:space="preserve">28</w:t>
            </w:r>
          </w:p>
        </w:tc>
      </w:tr>
      <w:tr>
        <w:tc>
          <w:tcPr>
            <w:tcW w:w="680" w:type="dxa"/>
            <w:vAlign w:val="center"/>
          </w:tcPr>
          <w:p>
            <w:pPr>
              <w:pStyle w:val="0"/>
              <w:jc w:val="center"/>
            </w:pPr>
            <w:r>
              <w:rPr>
                <w:sz w:val="20"/>
              </w:rPr>
              <w:t xml:space="preserve">36</w:t>
            </w:r>
          </w:p>
        </w:tc>
        <w:tc>
          <w:tcPr>
            <w:tcW w:w="4025" w:type="dxa"/>
            <w:vAlign w:val="center"/>
          </w:tcPr>
          <w:p>
            <w:pPr>
              <w:pStyle w:val="0"/>
              <w:jc w:val="both"/>
            </w:pPr>
            <w:r>
              <w:rPr>
                <w:sz w:val="20"/>
              </w:rPr>
              <w:t xml:space="preserve">Удельный расход условного топлива на отпуск электрической и тепловой энергии для генерирующих источников, работающих на органическом топливе (т.у.т/1000 кВт.ч)</w:t>
            </w:r>
          </w:p>
        </w:tc>
        <w:tc>
          <w:tcPr>
            <w:tcW w:w="1051" w:type="dxa"/>
            <w:vAlign w:val="center"/>
          </w:tcPr>
          <w:p>
            <w:pPr>
              <w:pStyle w:val="0"/>
              <w:jc w:val="center"/>
            </w:pPr>
            <w:r>
              <w:rPr>
                <w:sz w:val="20"/>
              </w:rPr>
              <w:t xml:space="preserve">0</w:t>
            </w:r>
          </w:p>
        </w:tc>
        <w:tc>
          <w:tcPr>
            <w:tcW w:w="1033" w:type="dxa"/>
            <w:vAlign w:val="center"/>
          </w:tcPr>
          <w:p>
            <w:pPr>
              <w:pStyle w:val="0"/>
              <w:jc w:val="center"/>
            </w:pPr>
            <w:r>
              <w:rPr>
                <w:sz w:val="20"/>
              </w:rPr>
              <w:t xml:space="preserve">0</w:t>
            </w:r>
          </w:p>
        </w:tc>
        <w:tc>
          <w:tcPr>
            <w:tcW w:w="1065" w:type="dxa"/>
            <w:vAlign w:val="center"/>
          </w:tcPr>
          <w:p>
            <w:pPr>
              <w:pStyle w:val="0"/>
              <w:jc w:val="center"/>
            </w:pPr>
            <w:r>
              <w:rPr>
                <w:sz w:val="20"/>
              </w:rPr>
              <w:t xml:space="preserve">1,04</w:t>
            </w:r>
          </w:p>
        </w:tc>
        <w:tc>
          <w:tcPr>
            <w:tcW w:w="1049" w:type="dxa"/>
            <w:vAlign w:val="center"/>
          </w:tcPr>
          <w:p>
            <w:pPr>
              <w:pStyle w:val="0"/>
              <w:jc w:val="center"/>
            </w:pPr>
            <w:r>
              <w:rPr>
                <w:sz w:val="20"/>
              </w:rPr>
              <w:t xml:space="preserve">1,02</w:t>
            </w:r>
          </w:p>
        </w:tc>
      </w:tr>
    </w:tbl>
    <w:p>
      <w:pPr>
        <w:pStyle w:val="0"/>
        <w:jc w:val="both"/>
      </w:pPr>
      <w:r>
        <w:rPr>
          <w:sz w:val="20"/>
        </w:rPr>
      </w:r>
    </w:p>
    <w:p>
      <w:pPr>
        <w:pStyle w:val="0"/>
        <w:ind w:firstLine="540"/>
        <w:jc w:val="both"/>
      </w:pPr>
      <w:r>
        <w:rPr>
          <w:sz w:val="20"/>
        </w:rPr>
        <w:t xml:space="preserve">Источник: Центр стратегий регионального развития ИПЭИ РАНХиГС.</w:t>
      </w:r>
    </w:p>
    <w:p>
      <w:pPr>
        <w:pStyle w:val="0"/>
      </w:pPr>
      <w:r>
        <w:rPr>
          <w:sz w:val="20"/>
        </w:rPr>
      </w:r>
    </w:p>
    <w:p>
      <w:pPr>
        <w:pStyle w:val="0"/>
        <w:ind w:firstLine="540"/>
        <w:jc w:val="both"/>
      </w:pPr>
      <w:r>
        <w:rPr>
          <w:sz w:val="20"/>
        </w:rPr>
        <w:t xml:space="preserve">Ключевые индикаторы реализации целевого сценария развития представлены в таблице ниже.</w:t>
      </w:r>
    </w:p>
    <w:p>
      <w:pPr>
        <w:pStyle w:val="0"/>
        <w:jc w:val="both"/>
      </w:pPr>
      <w:r>
        <w:rPr>
          <w:sz w:val="20"/>
        </w:rPr>
      </w:r>
    </w:p>
    <w:p>
      <w:pPr>
        <w:pStyle w:val="0"/>
        <w:outlineLvl w:val="2"/>
        <w:jc w:val="right"/>
      </w:pPr>
      <w:r>
        <w:rPr>
          <w:sz w:val="20"/>
        </w:rPr>
        <w:t xml:space="preserve">Таблица N 3</w:t>
      </w:r>
    </w:p>
    <w:p>
      <w:pPr>
        <w:pStyle w:val="0"/>
        <w:jc w:val="both"/>
      </w:pPr>
      <w:r>
        <w:rPr>
          <w:sz w:val="20"/>
        </w:rPr>
      </w:r>
    </w:p>
    <w:p>
      <w:pPr>
        <w:pStyle w:val="2"/>
        <w:jc w:val="center"/>
      </w:pPr>
      <w:r>
        <w:rPr>
          <w:sz w:val="20"/>
        </w:rPr>
        <w:t xml:space="preserve">Основные целевые индикаторы целевого сценария развития</w:t>
      </w:r>
    </w:p>
    <w:p>
      <w:pPr>
        <w:pStyle w:val="2"/>
        <w:jc w:val="center"/>
      </w:pPr>
      <w:r>
        <w:rPr>
          <w:sz w:val="20"/>
        </w:rPr>
        <w:t xml:space="preserve">Курской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4025"/>
        <w:gridCol w:w="1051"/>
        <w:gridCol w:w="1033"/>
        <w:gridCol w:w="1065"/>
        <w:gridCol w:w="1049"/>
      </w:tblGrid>
      <w:tr>
        <w:tc>
          <w:tcPr>
            <w:tcW w:w="680" w:type="dxa"/>
            <w:vAlign w:val="center"/>
          </w:tcPr>
          <w:p>
            <w:pPr>
              <w:pStyle w:val="0"/>
              <w:jc w:val="center"/>
            </w:pPr>
            <w:r>
              <w:rPr>
                <w:sz w:val="20"/>
              </w:rPr>
              <w:t xml:space="preserve">N</w:t>
            </w:r>
          </w:p>
        </w:tc>
        <w:tc>
          <w:tcPr>
            <w:tcW w:w="4025" w:type="dxa"/>
            <w:vAlign w:val="center"/>
          </w:tcPr>
          <w:p>
            <w:pPr>
              <w:pStyle w:val="0"/>
              <w:jc w:val="center"/>
            </w:pPr>
            <w:r>
              <w:rPr>
                <w:sz w:val="20"/>
              </w:rPr>
              <w:t xml:space="preserve">Наименование показателя</w:t>
            </w:r>
          </w:p>
        </w:tc>
        <w:tc>
          <w:tcPr>
            <w:tcW w:w="1051" w:type="dxa"/>
            <w:vAlign w:val="center"/>
          </w:tcPr>
          <w:p>
            <w:pPr>
              <w:pStyle w:val="0"/>
              <w:jc w:val="center"/>
            </w:pPr>
            <w:r>
              <w:rPr>
                <w:sz w:val="20"/>
              </w:rPr>
              <w:t xml:space="preserve">2017</w:t>
            </w:r>
          </w:p>
        </w:tc>
        <w:tc>
          <w:tcPr>
            <w:tcW w:w="1033" w:type="dxa"/>
            <w:vAlign w:val="center"/>
          </w:tcPr>
          <w:p>
            <w:pPr>
              <w:pStyle w:val="0"/>
              <w:jc w:val="center"/>
            </w:pPr>
            <w:r>
              <w:rPr>
                <w:sz w:val="20"/>
              </w:rPr>
              <w:t xml:space="preserve">2020</w:t>
            </w:r>
          </w:p>
        </w:tc>
        <w:tc>
          <w:tcPr>
            <w:tcW w:w="1065" w:type="dxa"/>
            <w:vAlign w:val="center"/>
          </w:tcPr>
          <w:p>
            <w:pPr>
              <w:pStyle w:val="0"/>
              <w:jc w:val="center"/>
            </w:pPr>
            <w:r>
              <w:rPr>
                <w:sz w:val="20"/>
              </w:rPr>
              <w:t xml:space="preserve">2025</w:t>
            </w:r>
          </w:p>
        </w:tc>
        <w:tc>
          <w:tcPr>
            <w:tcW w:w="1049" w:type="dxa"/>
            <w:vAlign w:val="center"/>
          </w:tcPr>
          <w:p>
            <w:pPr>
              <w:pStyle w:val="0"/>
              <w:jc w:val="center"/>
            </w:pPr>
            <w:r>
              <w:rPr>
                <w:sz w:val="20"/>
              </w:rPr>
              <w:t xml:space="preserve">2030</w:t>
            </w:r>
          </w:p>
        </w:tc>
      </w:tr>
      <w:tr>
        <w:tc>
          <w:tcPr>
            <w:tcW w:w="680" w:type="dxa"/>
            <w:vAlign w:val="center"/>
          </w:tcPr>
          <w:p>
            <w:pPr>
              <w:pStyle w:val="0"/>
              <w:jc w:val="center"/>
            </w:pPr>
            <w:r>
              <w:rPr>
                <w:sz w:val="20"/>
              </w:rPr>
              <w:t xml:space="preserve">1</w:t>
            </w:r>
          </w:p>
        </w:tc>
        <w:tc>
          <w:tcPr>
            <w:tcW w:w="4025" w:type="dxa"/>
            <w:vAlign w:val="center"/>
          </w:tcPr>
          <w:p>
            <w:pPr>
              <w:pStyle w:val="0"/>
              <w:jc w:val="both"/>
            </w:pPr>
            <w:r>
              <w:rPr>
                <w:sz w:val="20"/>
              </w:rPr>
              <w:t xml:space="preserve">Среднегодовая численность населения, тыс. чел.</w:t>
            </w:r>
          </w:p>
        </w:tc>
        <w:tc>
          <w:tcPr>
            <w:tcW w:w="1051" w:type="dxa"/>
            <w:vAlign w:val="center"/>
          </w:tcPr>
          <w:p>
            <w:pPr>
              <w:pStyle w:val="0"/>
              <w:jc w:val="center"/>
            </w:pPr>
            <w:r>
              <w:rPr>
                <w:sz w:val="20"/>
              </w:rPr>
              <w:t xml:space="preserve">1119,1</w:t>
            </w:r>
          </w:p>
        </w:tc>
        <w:tc>
          <w:tcPr>
            <w:tcW w:w="1033" w:type="dxa"/>
            <w:vAlign w:val="center"/>
          </w:tcPr>
          <w:p>
            <w:pPr>
              <w:pStyle w:val="0"/>
              <w:jc w:val="center"/>
            </w:pPr>
            <w:r>
              <w:rPr>
                <w:sz w:val="20"/>
              </w:rPr>
              <w:t xml:space="preserve">1101,1</w:t>
            </w:r>
          </w:p>
        </w:tc>
        <w:tc>
          <w:tcPr>
            <w:tcW w:w="1065" w:type="dxa"/>
            <w:vAlign w:val="center"/>
          </w:tcPr>
          <w:p>
            <w:pPr>
              <w:pStyle w:val="0"/>
              <w:jc w:val="center"/>
            </w:pPr>
            <w:r>
              <w:rPr>
                <w:sz w:val="20"/>
              </w:rPr>
              <w:t xml:space="preserve">1095,5</w:t>
            </w:r>
          </w:p>
        </w:tc>
        <w:tc>
          <w:tcPr>
            <w:tcW w:w="1049" w:type="dxa"/>
            <w:vAlign w:val="center"/>
          </w:tcPr>
          <w:p>
            <w:pPr>
              <w:pStyle w:val="0"/>
              <w:jc w:val="center"/>
            </w:pPr>
            <w:r>
              <w:rPr>
                <w:sz w:val="20"/>
              </w:rPr>
              <w:t xml:space="preserve">1108,0</w:t>
            </w:r>
          </w:p>
        </w:tc>
      </w:tr>
      <w:tr>
        <w:tc>
          <w:tcPr>
            <w:tcW w:w="680" w:type="dxa"/>
            <w:vAlign w:val="center"/>
          </w:tcPr>
          <w:p>
            <w:pPr>
              <w:pStyle w:val="0"/>
              <w:jc w:val="center"/>
            </w:pPr>
            <w:r>
              <w:rPr>
                <w:sz w:val="20"/>
              </w:rPr>
              <w:t xml:space="preserve">2</w:t>
            </w:r>
          </w:p>
        </w:tc>
        <w:tc>
          <w:tcPr>
            <w:tcW w:w="4025" w:type="dxa"/>
            <w:vAlign w:val="center"/>
          </w:tcPr>
          <w:p>
            <w:pPr>
              <w:pStyle w:val="0"/>
              <w:jc w:val="both"/>
            </w:pPr>
            <w:r>
              <w:rPr>
                <w:sz w:val="20"/>
              </w:rPr>
              <w:t xml:space="preserve">Ожидаемая продолжительность жизни при рождении, лет</w:t>
            </w:r>
          </w:p>
        </w:tc>
        <w:tc>
          <w:tcPr>
            <w:tcW w:w="1051" w:type="dxa"/>
            <w:vAlign w:val="center"/>
          </w:tcPr>
          <w:p>
            <w:pPr>
              <w:pStyle w:val="0"/>
              <w:jc w:val="center"/>
            </w:pPr>
            <w:r>
              <w:rPr>
                <w:sz w:val="20"/>
              </w:rPr>
              <w:t xml:space="preserve">71,74</w:t>
            </w:r>
          </w:p>
        </w:tc>
        <w:tc>
          <w:tcPr>
            <w:tcW w:w="1033" w:type="dxa"/>
            <w:vAlign w:val="center"/>
          </w:tcPr>
          <w:p>
            <w:pPr>
              <w:pStyle w:val="0"/>
              <w:jc w:val="center"/>
            </w:pPr>
            <w:r>
              <w:rPr>
                <w:sz w:val="20"/>
              </w:rPr>
              <w:t xml:space="preserve">73,77</w:t>
            </w:r>
          </w:p>
        </w:tc>
        <w:tc>
          <w:tcPr>
            <w:tcW w:w="1065" w:type="dxa"/>
            <w:vAlign w:val="center"/>
          </w:tcPr>
          <w:p>
            <w:pPr>
              <w:pStyle w:val="0"/>
              <w:jc w:val="center"/>
            </w:pPr>
            <w:r>
              <w:rPr>
                <w:sz w:val="20"/>
              </w:rPr>
              <w:t xml:space="preserve">76,6</w:t>
            </w:r>
          </w:p>
        </w:tc>
        <w:tc>
          <w:tcPr>
            <w:tcW w:w="1049" w:type="dxa"/>
            <w:vAlign w:val="center"/>
          </w:tcPr>
          <w:p>
            <w:pPr>
              <w:pStyle w:val="0"/>
              <w:jc w:val="center"/>
            </w:pPr>
            <w:r>
              <w:rPr>
                <w:sz w:val="20"/>
              </w:rPr>
              <w:t xml:space="preserve">78,0</w:t>
            </w:r>
          </w:p>
        </w:tc>
      </w:tr>
      <w:tr>
        <w:tc>
          <w:tcPr>
            <w:tcW w:w="680" w:type="dxa"/>
            <w:vAlign w:val="center"/>
          </w:tcPr>
          <w:p>
            <w:pPr>
              <w:pStyle w:val="0"/>
              <w:jc w:val="center"/>
            </w:pPr>
            <w:r>
              <w:rPr>
                <w:sz w:val="20"/>
              </w:rPr>
              <w:t xml:space="preserve">3</w:t>
            </w:r>
          </w:p>
        </w:tc>
        <w:tc>
          <w:tcPr>
            <w:tcW w:w="4025" w:type="dxa"/>
            <w:vAlign w:val="center"/>
          </w:tcPr>
          <w:p>
            <w:pPr>
              <w:pStyle w:val="0"/>
              <w:jc w:val="both"/>
            </w:pPr>
            <w:r>
              <w:rPr>
                <w:sz w:val="20"/>
              </w:rPr>
              <w:t xml:space="preserve">Обеспеченность населения врачами, на 10 тыс. чел.</w:t>
            </w:r>
          </w:p>
        </w:tc>
        <w:tc>
          <w:tcPr>
            <w:tcW w:w="1051" w:type="dxa"/>
            <w:vAlign w:val="center"/>
          </w:tcPr>
          <w:p>
            <w:pPr>
              <w:pStyle w:val="0"/>
              <w:jc w:val="center"/>
            </w:pPr>
            <w:r>
              <w:rPr>
                <w:sz w:val="20"/>
              </w:rPr>
              <w:t xml:space="preserve">49,9</w:t>
            </w:r>
          </w:p>
        </w:tc>
        <w:tc>
          <w:tcPr>
            <w:tcW w:w="1033" w:type="dxa"/>
            <w:vAlign w:val="center"/>
          </w:tcPr>
          <w:p>
            <w:pPr>
              <w:pStyle w:val="0"/>
              <w:jc w:val="center"/>
            </w:pPr>
            <w:r>
              <w:rPr>
                <w:sz w:val="20"/>
              </w:rPr>
              <w:t xml:space="preserve">51,4</w:t>
            </w:r>
          </w:p>
        </w:tc>
        <w:tc>
          <w:tcPr>
            <w:tcW w:w="1065" w:type="dxa"/>
            <w:vAlign w:val="center"/>
          </w:tcPr>
          <w:p>
            <w:pPr>
              <w:pStyle w:val="0"/>
              <w:jc w:val="center"/>
            </w:pPr>
            <w:r>
              <w:rPr>
                <w:sz w:val="20"/>
              </w:rPr>
              <w:t xml:space="preserve">54,6</w:t>
            </w:r>
          </w:p>
        </w:tc>
        <w:tc>
          <w:tcPr>
            <w:tcW w:w="1049" w:type="dxa"/>
            <w:vAlign w:val="center"/>
          </w:tcPr>
          <w:p>
            <w:pPr>
              <w:pStyle w:val="0"/>
              <w:jc w:val="center"/>
            </w:pPr>
            <w:r>
              <w:rPr>
                <w:sz w:val="20"/>
              </w:rPr>
              <w:t xml:space="preserve">58,0</w:t>
            </w:r>
          </w:p>
        </w:tc>
      </w:tr>
      <w:tr>
        <w:tc>
          <w:tcPr>
            <w:tcW w:w="680" w:type="dxa"/>
            <w:vAlign w:val="center"/>
          </w:tcPr>
          <w:p>
            <w:pPr>
              <w:pStyle w:val="0"/>
              <w:jc w:val="center"/>
            </w:pPr>
            <w:r>
              <w:rPr>
                <w:sz w:val="20"/>
              </w:rPr>
              <w:t xml:space="preserve">4</w:t>
            </w:r>
          </w:p>
        </w:tc>
        <w:tc>
          <w:tcPr>
            <w:tcW w:w="4025" w:type="dxa"/>
            <w:vAlign w:val="center"/>
          </w:tcPr>
          <w:p>
            <w:pPr>
              <w:pStyle w:val="0"/>
              <w:jc w:val="both"/>
            </w:pPr>
            <w:r>
              <w:rPr>
                <w:sz w:val="20"/>
              </w:rPr>
              <w:t xml:space="preserve">ВРП, млрд. рублей в текущих ценах</w:t>
            </w:r>
          </w:p>
        </w:tc>
        <w:tc>
          <w:tcPr>
            <w:tcW w:w="1051" w:type="dxa"/>
            <w:vAlign w:val="center"/>
          </w:tcPr>
          <w:p>
            <w:pPr>
              <w:pStyle w:val="0"/>
              <w:jc w:val="center"/>
            </w:pPr>
            <w:r>
              <w:rPr>
                <w:sz w:val="20"/>
              </w:rPr>
              <w:t xml:space="preserve">387,3</w:t>
            </w:r>
          </w:p>
        </w:tc>
        <w:tc>
          <w:tcPr>
            <w:tcW w:w="1033" w:type="dxa"/>
            <w:vAlign w:val="center"/>
          </w:tcPr>
          <w:p>
            <w:pPr>
              <w:pStyle w:val="0"/>
              <w:jc w:val="center"/>
            </w:pPr>
            <w:r>
              <w:rPr>
                <w:sz w:val="20"/>
              </w:rPr>
              <w:t xml:space="preserve">455,4</w:t>
            </w:r>
          </w:p>
        </w:tc>
        <w:tc>
          <w:tcPr>
            <w:tcW w:w="1065" w:type="dxa"/>
            <w:vAlign w:val="center"/>
          </w:tcPr>
          <w:p>
            <w:pPr>
              <w:pStyle w:val="0"/>
              <w:jc w:val="center"/>
            </w:pPr>
            <w:r>
              <w:rPr>
                <w:sz w:val="20"/>
              </w:rPr>
              <w:t xml:space="preserve">589,9</w:t>
            </w:r>
          </w:p>
        </w:tc>
        <w:tc>
          <w:tcPr>
            <w:tcW w:w="1049" w:type="dxa"/>
            <w:vAlign w:val="center"/>
          </w:tcPr>
          <w:p>
            <w:pPr>
              <w:pStyle w:val="0"/>
              <w:jc w:val="center"/>
            </w:pPr>
            <w:r>
              <w:rPr>
                <w:sz w:val="20"/>
              </w:rPr>
              <w:t xml:space="preserve">770,0</w:t>
            </w:r>
          </w:p>
        </w:tc>
      </w:tr>
      <w:tr>
        <w:tc>
          <w:tcPr>
            <w:tcW w:w="680" w:type="dxa"/>
            <w:vAlign w:val="center"/>
          </w:tcPr>
          <w:p>
            <w:pPr>
              <w:pStyle w:val="0"/>
              <w:jc w:val="center"/>
            </w:pPr>
            <w:r>
              <w:rPr>
                <w:sz w:val="20"/>
              </w:rPr>
              <w:t xml:space="preserve">5</w:t>
            </w:r>
          </w:p>
        </w:tc>
        <w:tc>
          <w:tcPr>
            <w:tcW w:w="4025" w:type="dxa"/>
            <w:vAlign w:val="center"/>
          </w:tcPr>
          <w:p>
            <w:pPr>
              <w:pStyle w:val="0"/>
              <w:jc w:val="both"/>
            </w:pPr>
            <w:r>
              <w:rPr>
                <w:sz w:val="20"/>
              </w:rPr>
              <w:t xml:space="preserve">Индекс промышленного производства, в % к 2017 году</w:t>
            </w:r>
          </w:p>
        </w:tc>
        <w:tc>
          <w:tcPr>
            <w:tcW w:w="1051" w:type="dxa"/>
            <w:vAlign w:val="center"/>
          </w:tcPr>
          <w:p>
            <w:pPr>
              <w:pStyle w:val="0"/>
              <w:jc w:val="center"/>
            </w:pPr>
            <w:r>
              <w:rPr>
                <w:sz w:val="20"/>
              </w:rPr>
              <w:t xml:space="preserve">100</w:t>
            </w:r>
          </w:p>
        </w:tc>
        <w:tc>
          <w:tcPr>
            <w:tcW w:w="1033" w:type="dxa"/>
            <w:vAlign w:val="center"/>
          </w:tcPr>
          <w:p>
            <w:pPr>
              <w:pStyle w:val="0"/>
              <w:jc w:val="center"/>
            </w:pPr>
            <w:r>
              <w:rPr>
                <w:sz w:val="20"/>
              </w:rPr>
              <w:t xml:space="preserve">100,4</w:t>
            </w:r>
          </w:p>
        </w:tc>
        <w:tc>
          <w:tcPr>
            <w:tcW w:w="1065" w:type="dxa"/>
            <w:vAlign w:val="center"/>
          </w:tcPr>
          <w:p>
            <w:pPr>
              <w:pStyle w:val="0"/>
              <w:jc w:val="center"/>
            </w:pPr>
            <w:r>
              <w:rPr>
                <w:sz w:val="20"/>
              </w:rPr>
              <w:t xml:space="preserve">111,1</w:t>
            </w:r>
          </w:p>
        </w:tc>
        <w:tc>
          <w:tcPr>
            <w:tcW w:w="1049" w:type="dxa"/>
            <w:vAlign w:val="center"/>
          </w:tcPr>
          <w:p>
            <w:pPr>
              <w:pStyle w:val="0"/>
              <w:jc w:val="center"/>
            </w:pPr>
            <w:r>
              <w:rPr>
                <w:sz w:val="20"/>
              </w:rPr>
              <w:t xml:space="preserve">125,1</w:t>
            </w:r>
          </w:p>
        </w:tc>
      </w:tr>
      <w:tr>
        <w:tc>
          <w:tcPr>
            <w:tcW w:w="680" w:type="dxa"/>
            <w:vAlign w:val="center"/>
          </w:tcPr>
          <w:p>
            <w:pPr>
              <w:pStyle w:val="0"/>
              <w:jc w:val="center"/>
            </w:pPr>
            <w:r>
              <w:rPr>
                <w:sz w:val="20"/>
              </w:rPr>
              <w:t xml:space="preserve">6</w:t>
            </w:r>
          </w:p>
        </w:tc>
        <w:tc>
          <w:tcPr>
            <w:tcW w:w="4025" w:type="dxa"/>
            <w:vAlign w:val="center"/>
          </w:tcPr>
          <w:p>
            <w:pPr>
              <w:pStyle w:val="0"/>
              <w:jc w:val="both"/>
            </w:pPr>
            <w:r>
              <w:rPr>
                <w:sz w:val="20"/>
              </w:rPr>
              <w:t xml:space="preserve">Индекс производительности труда, % к 2017 году</w:t>
            </w:r>
          </w:p>
        </w:tc>
        <w:tc>
          <w:tcPr>
            <w:tcW w:w="1051" w:type="dxa"/>
            <w:vAlign w:val="center"/>
          </w:tcPr>
          <w:p>
            <w:pPr>
              <w:pStyle w:val="0"/>
              <w:jc w:val="center"/>
            </w:pPr>
            <w:r>
              <w:rPr>
                <w:sz w:val="20"/>
              </w:rPr>
              <w:t xml:space="preserve">100</w:t>
            </w:r>
          </w:p>
        </w:tc>
        <w:tc>
          <w:tcPr>
            <w:tcW w:w="1033" w:type="dxa"/>
            <w:vAlign w:val="center"/>
          </w:tcPr>
          <w:p>
            <w:pPr>
              <w:pStyle w:val="0"/>
              <w:jc w:val="center"/>
            </w:pPr>
            <w:r>
              <w:rPr>
                <w:sz w:val="20"/>
              </w:rPr>
              <w:t xml:space="preserve">105,5</w:t>
            </w:r>
          </w:p>
        </w:tc>
        <w:tc>
          <w:tcPr>
            <w:tcW w:w="1065" w:type="dxa"/>
            <w:vAlign w:val="center"/>
          </w:tcPr>
          <w:p>
            <w:pPr>
              <w:pStyle w:val="0"/>
              <w:jc w:val="center"/>
            </w:pPr>
            <w:r>
              <w:rPr>
                <w:sz w:val="20"/>
              </w:rPr>
              <w:t xml:space="preserve">112,0</w:t>
            </w:r>
          </w:p>
        </w:tc>
        <w:tc>
          <w:tcPr>
            <w:tcW w:w="1049" w:type="dxa"/>
            <w:vAlign w:val="center"/>
          </w:tcPr>
          <w:p>
            <w:pPr>
              <w:pStyle w:val="0"/>
              <w:jc w:val="center"/>
            </w:pPr>
            <w:r>
              <w:rPr>
                <w:sz w:val="20"/>
              </w:rPr>
              <w:t xml:space="preserve">125,0</w:t>
            </w:r>
          </w:p>
        </w:tc>
      </w:tr>
      <w:tr>
        <w:tc>
          <w:tcPr>
            <w:tcW w:w="680" w:type="dxa"/>
            <w:vAlign w:val="center"/>
          </w:tcPr>
          <w:p>
            <w:pPr>
              <w:pStyle w:val="0"/>
              <w:jc w:val="center"/>
            </w:pPr>
            <w:r>
              <w:rPr>
                <w:sz w:val="20"/>
              </w:rPr>
              <w:t xml:space="preserve">7</w:t>
            </w:r>
          </w:p>
        </w:tc>
        <w:tc>
          <w:tcPr>
            <w:tcW w:w="4025" w:type="dxa"/>
            <w:vAlign w:val="center"/>
          </w:tcPr>
          <w:p>
            <w:pPr>
              <w:pStyle w:val="0"/>
              <w:jc w:val="both"/>
            </w:pPr>
            <w:r>
              <w:rPr>
                <w:sz w:val="20"/>
              </w:rPr>
              <w:t xml:space="preserve">Ввод в действие жилых домов, тыс. кв. м общей площади</w:t>
            </w:r>
          </w:p>
        </w:tc>
        <w:tc>
          <w:tcPr>
            <w:tcW w:w="1051" w:type="dxa"/>
            <w:vAlign w:val="center"/>
          </w:tcPr>
          <w:p>
            <w:pPr>
              <w:pStyle w:val="0"/>
              <w:jc w:val="center"/>
            </w:pPr>
            <w:r>
              <w:rPr>
                <w:sz w:val="20"/>
              </w:rPr>
              <w:t xml:space="preserve">590,5</w:t>
            </w:r>
          </w:p>
        </w:tc>
        <w:tc>
          <w:tcPr>
            <w:tcW w:w="1033" w:type="dxa"/>
            <w:vAlign w:val="center"/>
          </w:tcPr>
          <w:p>
            <w:pPr>
              <w:pStyle w:val="0"/>
              <w:jc w:val="center"/>
            </w:pPr>
            <w:r>
              <w:rPr>
                <w:sz w:val="20"/>
              </w:rPr>
              <w:t xml:space="preserve">597,0</w:t>
            </w:r>
          </w:p>
        </w:tc>
        <w:tc>
          <w:tcPr>
            <w:tcW w:w="1065" w:type="dxa"/>
            <w:vAlign w:val="center"/>
          </w:tcPr>
          <w:p>
            <w:pPr>
              <w:pStyle w:val="0"/>
              <w:jc w:val="center"/>
            </w:pPr>
            <w:r>
              <w:rPr>
                <w:sz w:val="20"/>
              </w:rPr>
              <w:t xml:space="preserve">683,0</w:t>
            </w:r>
          </w:p>
        </w:tc>
        <w:tc>
          <w:tcPr>
            <w:tcW w:w="1049" w:type="dxa"/>
            <w:vAlign w:val="center"/>
          </w:tcPr>
          <w:p>
            <w:pPr>
              <w:pStyle w:val="0"/>
              <w:jc w:val="center"/>
            </w:pPr>
            <w:r>
              <w:rPr>
                <w:sz w:val="20"/>
              </w:rPr>
              <w:t xml:space="preserve">1038,0</w:t>
            </w:r>
          </w:p>
        </w:tc>
      </w:tr>
      <w:tr>
        <w:tblPrEx>
          <w:tblBorders>
            <w:insideH w:val="nil"/>
          </w:tblBorders>
        </w:tblPrEx>
        <w:tc>
          <w:tcPr>
            <w:tcW w:w="680" w:type="dxa"/>
            <w:tcBorders>
              <w:bottom w:val="nil"/>
            </w:tcBorders>
          </w:tcPr>
          <w:p>
            <w:pPr>
              <w:pStyle w:val="0"/>
              <w:jc w:val="center"/>
            </w:pPr>
            <w:r>
              <w:rPr>
                <w:sz w:val="20"/>
              </w:rPr>
              <w:t xml:space="preserve">8</w:t>
            </w:r>
          </w:p>
        </w:tc>
        <w:tc>
          <w:tcPr>
            <w:tcW w:w="4025" w:type="dxa"/>
            <w:tcBorders>
              <w:bottom w:val="nil"/>
            </w:tcBorders>
          </w:tcPr>
          <w:p>
            <w:pPr>
              <w:pStyle w:val="0"/>
              <w:jc w:val="both"/>
            </w:pPr>
            <w:r>
              <w:rPr>
                <w:sz w:val="20"/>
              </w:rPr>
              <w:t xml:space="preserve">Экспорт - всего, млн. долл. США</w:t>
            </w:r>
          </w:p>
        </w:tc>
        <w:tc>
          <w:tcPr>
            <w:tcW w:w="1051" w:type="dxa"/>
            <w:tcBorders>
              <w:bottom w:val="nil"/>
            </w:tcBorders>
          </w:tcPr>
          <w:p>
            <w:pPr>
              <w:pStyle w:val="0"/>
              <w:jc w:val="center"/>
            </w:pPr>
            <w:r>
              <w:rPr>
                <w:sz w:val="20"/>
              </w:rPr>
              <w:t xml:space="preserve">622,2</w:t>
            </w:r>
          </w:p>
        </w:tc>
        <w:tc>
          <w:tcPr>
            <w:tcW w:w="1033" w:type="dxa"/>
            <w:tcBorders>
              <w:bottom w:val="nil"/>
            </w:tcBorders>
          </w:tcPr>
          <w:p>
            <w:pPr>
              <w:pStyle w:val="0"/>
              <w:jc w:val="center"/>
            </w:pPr>
            <w:r>
              <w:rPr>
                <w:sz w:val="20"/>
              </w:rPr>
              <w:t xml:space="preserve">730</w:t>
            </w:r>
          </w:p>
        </w:tc>
        <w:tc>
          <w:tcPr>
            <w:tcW w:w="1065" w:type="dxa"/>
            <w:tcBorders>
              <w:bottom w:val="nil"/>
            </w:tcBorders>
          </w:tcPr>
          <w:p>
            <w:pPr>
              <w:pStyle w:val="0"/>
              <w:jc w:val="center"/>
            </w:pPr>
            <w:r>
              <w:rPr>
                <w:sz w:val="20"/>
              </w:rPr>
              <w:t xml:space="preserve">1162,0</w:t>
            </w:r>
          </w:p>
        </w:tc>
        <w:tc>
          <w:tcPr>
            <w:tcW w:w="1049" w:type="dxa"/>
            <w:tcBorders>
              <w:bottom w:val="nil"/>
            </w:tcBorders>
          </w:tcPr>
          <w:p>
            <w:pPr>
              <w:pStyle w:val="0"/>
              <w:jc w:val="center"/>
            </w:pPr>
            <w:r>
              <w:rPr>
                <w:sz w:val="20"/>
              </w:rPr>
              <w:t xml:space="preserve">1408,0</w:t>
            </w:r>
          </w:p>
        </w:tc>
      </w:tr>
      <w:tr>
        <w:tblPrEx>
          <w:tblBorders>
            <w:insideH w:val="nil"/>
          </w:tblBorders>
        </w:tblPrEx>
        <w:tc>
          <w:tcPr>
            <w:gridSpan w:val="6"/>
            <w:tcW w:w="8903" w:type="dxa"/>
            <w:tcBorders>
              <w:top w:val="nil"/>
            </w:tcBorders>
          </w:tcPr>
          <w:p>
            <w:pPr>
              <w:pStyle w:val="0"/>
              <w:jc w:val="both"/>
            </w:pPr>
            <w:r>
              <w:rPr>
                <w:sz w:val="20"/>
              </w:rPr>
              <w:t xml:space="preserve">(п. 8 в ред. </w:t>
            </w:r>
            <w:hyperlink w:history="0" r:id="rId114"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tc>
      </w:tr>
      <w:tr>
        <w:tblPrEx>
          <w:tblBorders>
            <w:insideH w:val="nil"/>
          </w:tblBorders>
        </w:tblPrEx>
        <w:tc>
          <w:tcPr>
            <w:tcW w:w="680" w:type="dxa"/>
            <w:tcBorders>
              <w:bottom w:val="nil"/>
            </w:tcBorders>
          </w:tcPr>
          <w:p>
            <w:pPr>
              <w:pStyle w:val="0"/>
              <w:jc w:val="center"/>
            </w:pPr>
            <w:r>
              <w:rPr>
                <w:sz w:val="20"/>
              </w:rPr>
              <w:t xml:space="preserve">8.1</w:t>
            </w:r>
          </w:p>
        </w:tc>
        <w:tc>
          <w:tcPr>
            <w:tcW w:w="4025" w:type="dxa"/>
            <w:tcBorders>
              <w:bottom w:val="nil"/>
            </w:tcBorders>
          </w:tcPr>
          <w:p>
            <w:pPr>
              <w:pStyle w:val="0"/>
              <w:jc w:val="both"/>
            </w:pPr>
            <w:r>
              <w:rPr>
                <w:sz w:val="20"/>
              </w:rPr>
              <w:t xml:space="preserve">Объем несырьевого неэнергетического экспорта, млн. долл. США</w:t>
            </w:r>
          </w:p>
        </w:tc>
        <w:tc>
          <w:tcPr>
            <w:tcW w:w="1051" w:type="dxa"/>
            <w:tcBorders>
              <w:bottom w:val="nil"/>
            </w:tcBorders>
          </w:tcPr>
          <w:p>
            <w:pPr>
              <w:pStyle w:val="0"/>
              <w:jc w:val="center"/>
            </w:pPr>
            <w:r>
              <w:rPr>
                <w:sz w:val="20"/>
              </w:rPr>
              <w:t xml:space="preserve">334,9</w:t>
            </w:r>
          </w:p>
        </w:tc>
        <w:tc>
          <w:tcPr>
            <w:tcW w:w="1033" w:type="dxa"/>
            <w:tcBorders>
              <w:bottom w:val="nil"/>
            </w:tcBorders>
          </w:tcPr>
          <w:p>
            <w:pPr>
              <w:pStyle w:val="0"/>
              <w:jc w:val="center"/>
            </w:pPr>
            <w:r>
              <w:rPr>
                <w:sz w:val="20"/>
              </w:rPr>
              <w:t xml:space="preserve">442,0</w:t>
            </w:r>
          </w:p>
        </w:tc>
        <w:tc>
          <w:tcPr>
            <w:tcW w:w="1065" w:type="dxa"/>
            <w:tcBorders>
              <w:bottom w:val="nil"/>
            </w:tcBorders>
          </w:tcPr>
          <w:p>
            <w:pPr>
              <w:pStyle w:val="0"/>
              <w:jc w:val="center"/>
            </w:pPr>
            <w:r>
              <w:rPr>
                <w:sz w:val="20"/>
              </w:rPr>
              <w:t xml:space="preserve">587,0</w:t>
            </w:r>
          </w:p>
        </w:tc>
        <w:tc>
          <w:tcPr>
            <w:tcW w:w="1049" w:type="dxa"/>
            <w:tcBorders>
              <w:bottom w:val="nil"/>
            </w:tcBorders>
          </w:tcPr>
          <w:p>
            <w:pPr>
              <w:pStyle w:val="0"/>
              <w:jc w:val="center"/>
            </w:pPr>
            <w:r>
              <w:rPr>
                <w:sz w:val="20"/>
              </w:rPr>
              <w:t xml:space="preserve">732,0</w:t>
            </w:r>
          </w:p>
        </w:tc>
      </w:tr>
      <w:tr>
        <w:tblPrEx>
          <w:tblBorders>
            <w:insideH w:val="nil"/>
          </w:tblBorders>
        </w:tblPrEx>
        <w:tc>
          <w:tcPr>
            <w:gridSpan w:val="6"/>
            <w:tcW w:w="8903" w:type="dxa"/>
            <w:tcBorders>
              <w:top w:val="nil"/>
            </w:tcBorders>
          </w:tcPr>
          <w:p>
            <w:pPr>
              <w:pStyle w:val="0"/>
              <w:jc w:val="both"/>
            </w:pPr>
            <w:r>
              <w:rPr>
                <w:sz w:val="20"/>
              </w:rPr>
              <w:t xml:space="preserve">(п. 8.1 в ред. </w:t>
            </w:r>
            <w:hyperlink w:history="0" r:id="rId115"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tc>
      </w:tr>
      <w:tr>
        <w:tc>
          <w:tcPr>
            <w:tcW w:w="680" w:type="dxa"/>
            <w:vAlign w:val="center"/>
          </w:tcPr>
          <w:p>
            <w:pPr>
              <w:pStyle w:val="0"/>
              <w:jc w:val="center"/>
            </w:pPr>
            <w:r>
              <w:rPr>
                <w:sz w:val="20"/>
              </w:rPr>
              <w:t xml:space="preserve">9</w:t>
            </w:r>
          </w:p>
        </w:tc>
        <w:tc>
          <w:tcPr>
            <w:tcW w:w="4025" w:type="dxa"/>
            <w:vAlign w:val="center"/>
          </w:tcPr>
          <w:p>
            <w:pPr>
              <w:pStyle w:val="0"/>
              <w:jc w:val="both"/>
            </w:pPr>
            <w:r>
              <w:rPr>
                <w:sz w:val="20"/>
              </w:rPr>
              <w:t xml:space="preserve">Общий объем инвестиций в основной капитал в расчете на душу населения, тыс. рублей в текущих ценах</w:t>
            </w:r>
          </w:p>
        </w:tc>
        <w:tc>
          <w:tcPr>
            <w:tcW w:w="1051" w:type="dxa"/>
            <w:vAlign w:val="center"/>
          </w:tcPr>
          <w:p>
            <w:pPr>
              <w:pStyle w:val="0"/>
              <w:jc w:val="center"/>
            </w:pPr>
            <w:r>
              <w:rPr>
                <w:sz w:val="20"/>
              </w:rPr>
              <w:t xml:space="preserve">90,2</w:t>
            </w:r>
          </w:p>
        </w:tc>
        <w:tc>
          <w:tcPr>
            <w:tcW w:w="1033" w:type="dxa"/>
            <w:vAlign w:val="center"/>
          </w:tcPr>
          <w:p>
            <w:pPr>
              <w:pStyle w:val="0"/>
              <w:jc w:val="center"/>
            </w:pPr>
            <w:r>
              <w:rPr>
                <w:sz w:val="20"/>
              </w:rPr>
              <w:t xml:space="preserve">139,1</w:t>
            </w:r>
          </w:p>
        </w:tc>
        <w:tc>
          <w:tcPr>
            <w:tcW w:w="1065" w:type="dxa"/>
            <w:vAlign w:val="center"/>
          </w:tcPr>
          <w:p>
            <w:pPr>
              <w:pStyle w:val="0"/>
              <w:jc w:val="center"/>
            </w:pPr>
            <w:r>
              <w:rPr>
                <w:sz w:val="20"/>
              </w:rPr>
              <w:t xml:space="preserve">221,1</w:t>
            </w:r>
          </w:p>
        </w:tc>
        <w:tc>
          <w:tcPr>
            <w:tcW w:w="1049" w:type="dxa"/>
            <w:vAlign w:val="center"/>
          </w:tcPr>
          <w:p>
            <w:pPr>
              <w:pStyle w:val="0"/>
              <w:jc w:val="center"/>
            </w:pPr>
            <w:r>
              <w:rPr>
                <w:sz w:val="20"/>
              </w:rPr>
              <w:t xml:space="preserve">336,2</w:t>
            </w:r>
          </w:p>
        </w:tc>
      </w:tr>
      <w:tr>
        <w:tc>
          <w:tcPr>
            <w:tcW w:w="680" w:type="dxa"/>
            <w:vAlign w:val="center"/>
          </w:tcPr>
          <w:p>
            <w:pPr>
              <w:pStyle w:val="0"/>
              <w:jc w:val="center"/>
            </w:pPr>
            <w:r>
              <w:rPr>
                <w:sz w:val="20"/>
              </w:rPr>
              <w:t xml:space="preserve">10</w:t>
            </w:r>
          </w:p>
        </w:tc>
        <w:tc>
          <w:tcPr>
            <w:tcW w:w="4025" w:type="dxa"/>
            <w:vAlign w:val="center"/>
          </w:tcPr>
          <w:p>
            <w:pPr>
              <w:pStyle w:val="0"/>
              <w:jc w:val="both"/>
            </w:pPr>
            <w:r>
              <w:rPr>
                <w:sz w:val="20"/>
              </w:rPr>
              <w:t xml:space="preserve">Доля продукции высокотехнологичных и наукоемких отраслей в валовом региональном продукте, %</w:t>
            </w:r>
          </w:p>
        </w:tc>
        <w:tc>
          <w:tcPr>
            <w:tcW w:w="1051" w:type="dxa"/>
            <w:vAlign w:val="center"/>
          </w:tcPr>
          <w:p>
            <w:pPr>
              <w:pStyle w:val="0"/>
              <w:jc w:val="center"/>
            </w:pPr>
            <w:r>
              <w:rPr>
                <w:sz w:val="20"/>
              </w:rPr>
              <w:t xml:space="preserve">17,4</w:t>
            </w:r>
          </w:p>
        </w:tc>
        <w:tc>
          <w:tcPr>
            <w:tcW w:w="1033" w:type="dxa"/>
            <w:vAlign w:val="center"/>
          </w:tcPr>
          <w:p>
            <w:pPr>
              <w:pStyle w:val="0"/>
              <w:jc w:val="center"/>
            </w:pPr>
            <w:r>
              <w:rPr>
                <w:sz w:val="20"/>
              </w:rPr>
              <w:t xml:space="preserve">19,0</w:t>
            </w:r>
          </w:p>
        </w:tc>
        <w:tc>
          <w:tcPr>
            <w:tcW w:w="1065" w:type="dxa"/>
            <w:vAlign w:val="center"/>
          </w:tcPr>
          <w:p>
            <w:pPr>
              <w:pStyle w:val="0"/>
              <w:jc w:val="center"/>
            </w:pPr>
            <w:r>
              <w:rPr>
                <w:sz w:val="20"/>
              </w:rPr>
              <w:t xml:space="preserve">25,1</w:t>
            </w:r>
          </w:p>
        </w:tc>
        <w:tc>
          <w:tcPr>
            <w:tcW w:w="1049" w:type="dxa"/>
            <w:vAlign w:val="center"/>
          </w:tcPr>
          <w:p>
            <w:pPr>
              <w:pStyle w:val="0"/>
              <w:jc w:val="center"/>
            </w:pPr>
            <w:r>
              <w:rPr>
                <w:sz w:val="20"/>
              </w:rPr>
              <w:t xml:space="preserve">30,0</w:t>
            </w:r>
          </w:p>
        </w:tc>
      </w:tr>
      <w:tr>
        <w:tc>
          <w:tcPr>
            <w:tcW w:w="680" w:type="dxa"/>
            <w:vAlign w:val="center"/>
          </w:tcPr>
          <w:p>
            <w:pPr>
              <w:pStyle w:val="0"/>
              <w:jc w:val="center"/>
            </w:pPr>
            <w:r>
              <w:rPr>
                <w:sz w:val="20"/>
              </w:rPr>
              <w:t xml:space="preserve">11</w:t>
            </w:r>
          </w:p>
        </w:tc>
        <w:tc>
          <w:tcPr>
            <w:tcW w:w="4025" w:type="dxa"/>
            <w:vAlign w:val="center"/>
          </w:tcPr>
          <w:p>
            <w:pPr>
              <w:pStyle w:val="0"/>
              <w:jc w:val="both"/>
            </w:pPr>
            <w:r>
              <w:rPr>
                <w:sz w:val="20"/>
              </w:rPr>
              <w:t xml:space="preserve">Затраты на исследования и разработки, в % к ВРП</w:t>
            </w:r>
          </w:p>
        </w:tc>
        <w:tc>
          <w:tcPr>
            <w:tcW w:w="1051" w:type="dxa"/>
            <w:vAlign w:val="center"/>
          </w:tcPr>
          <w:p>
            <w:pPr>
              <w:pStyle w:val="0"/>
              <w:jc w:val="center"/>
            </w:pPr>
            <w:r>
              <w:rPr>
                <w:sz w:val="20"/>
              </w:rPr>
              <w:t xml:space="preserve">1,53</w:t>
            </w:r>
          </w:p>
        </w:tc>
        <w:tc>
          <w:tcPr>
            <w:tcW w:w="1033" w:type="dxa"/>
            <w:vAlign w:val="center"/>
          </w:tcPr>
          <w:p>
            <w:pPr>
              <w:pStyle w:val="0"/>
              <w:jc w:val="center"/>
            </w:pPr>
            <w:r>
              <w:rPr>
                <w:sz w:val="20"/>
              </w:rPr>
              <w:t xml:space="preserve">1,66</w:t>
            </w:r>
          </w:p>
        </w:tc>
        <w:tc>
          <w:tcPr>
            <w:tcW w:w="1065" w:type="dxa"/>
            <w:vAlign w:val="center"/>
          </w:tcPr>
          <w:p>
            <w:pPr>
              <w:pStyle w:val="0"/>
              <w:jc w:val="center"/>
            </w:pPr>
            <w:r>
              <w:rPr>
                <w:sz w:val="20"/>
              </w:rPr>
              <w:t xml:space="preserve">2,04</w:t>
            </w:r>
          </w:p>
        </w:tc>
        <w:tc>
          <w:tcPr>
            <w:tcW w:w="1049" w:type="dxa"/>
            <w:vAlign w:val="center"/>
          </w:tcPr>
          <w:p>
            <w:pPr>
              <w:pStyle w:val="0"/>
              <w:jc w:val="center"/>
            </w:pPr>
            <w:r>
              <w:rPr>
                <w:sz w:val="20"/>
              </w:rPr>
              <w:t xml:space="preserve">2,50</w:t>
            </w:r>
          </w:p>
        </w:tc>
      </w:tr>
      <w:tr>
        <w:tc>
          <w:tcPr>
            <w:tcW w:w="680" w:type="dxa"/>
            <w:vAlign w:val="center"/>
          </w:tcPr>
          <w:p>
            <w:pPr>
              <w:pStyle w:val="0"/>
              <w:jc w:val="center"/>
            </w:pPr>
            <w:r>
              <w:rPr>
                <w:sz w:val="20"/>
              </w:rPr>
              <w:t xml:space="preserve">12</w:t>
            </w:r>
          </w:p>
        </w:tc>
        <w:tc>
          <w:tcPr>
            <w:tcW w:w="4025" w:type="dxa"/>
            <w:vAlign w:val="center"/>
          </w:tcPr>
          <w:p>
            <w:pPr>
              <w:pStyle w:val="0"/>
              <w:jc w:val="both"/>
            </w:pPr>
            <w:r>
              <w:rPr>
                <w:sz w:val="20"/>
              </w:rPr>
              <w:t xml:space="preserve">Произведено сельскохозяйственной продукции в хозяйствах всех категорий, тыс. тонн:</w:t>
            </w:r>
          </w:p>
        </w:tc>
        <w:tc>
          <w:tcPr>
            <w:tcW w:w="1051" w:type="dxa"/>
            <w:vAlign w:val="center"/>
          </w:tcPr>
          <w:p>
            <w:pPr>
              <w:pStyle w:val="0"/>
            </w:pPr>
            <w:r>
              <w:rPr>
                <w:sz w:val="20"/>
              </w:rPr>
            </w:r>
          </w:p>
        </w:tc>
        <w:tc>
          <w:tcPr>
            <w:tcW w:w="1033" w:type="dxa"/>
            <w:vAlign w:val="center"/>
          </w:tcPr>
          <w:p>
            <w:pPr>
              <w:pStyle w:val="0"/>
            </w:pPr>
            <w:r>
              <w:rPr>
                <w:sz w:val="20"/>
              </w:rPr>
            </w:r>
          </w:p>
        </w:tc>
        <w:tc>
          <w:tcPr>
            <w:tcW w:w="1065" w:type="dxa"/>
            <w:vAlign w:val="center"/>
          </w:tcPr>
          <w:p>
            <w:pPr>
              <w:pStyle w:val="0"/>
            </w:pPr>
            <w:r>
              <w:rPr>
                <w:sz w:val="20"/>
              </w:rPr>
            </w:r>
          </w:p>
        </w:tc>
        <w:tc>
          <w:tcPr>
            <w:tcW w:w="1049" w:type="dxa"/>
            <w:vAlign w:val="center"/>
          </w:tcPr>
          <w:p>
            <w:pPr>
              <w:pStyle w:val="0"/>
            </w:pPr>
            <w:r>
              <w:rPr>
                <w:sz w:val="20"/>
              </w:rPr>
            </w:r>
          </w:p>
        </w:tc>
      </w:tr>
      <w:tr>
        <w:tc>
          <w:tcPr>
            <w:tcW w:w="680" w:type="dxa"/>
            <w:vAlign w:val="center"/>
          </w:tcPr>
          <w:p>
            <w:pPr>
              <w:pStyle w:val="0"/>
              <w:jc w:val="center"/>
            </w:pPr>
            <w:r>
              <w:rPr>
                <w:sz w:val="20"/>
              </w:rPr>
              <w:t xml:space="preserve">12.1</w:t>
            </w:r>
          </w:p>
        </w:tc>
        <w:tc>
          <w:tcPr>
            <w:tcW w:w="4025" w:type="dxa"/>
            <w:vAlign w:val="center"/>
          </w:tcPr>
          <w:p>
            <w:pPr>
              <w:pStyle w:val="0"/>
              <w:jc w:val="right"/>
            </w:pPr>
            <w:r>
              <w:rPr>
                <w:sz w:val="20"/>
              </w:rPr>
              <w:t xml:space="preserve">зерно (в весе после доработки)</w:t>
            </w:r>
          </w:p>
        </w:tc>
        <w:tc>
          <w:tcPr>
            <w:tcW w:w="1051" w:type="dxa"/>
          </w:tcPr>
          <w:p>
            <w:pPr>
              <w:pStyle w:val="0"/>
              <w:jc w:val="center"/>
            </w:pPr>
            <w:r>
              <w:rPr>
                <w:sz w:val="20"/>
              </w:rPr>
              <w:t xml:space="preserve">5044</w:t>
            </w:r>
          </w:p>
        </w:tc>
        <w:tc>
          <w:tcPr>
            <w:tcW w:w="1033" w:type="dxa"/>
          </w:tcPr>
          <w:p>
            <w:pPr>
              <w:pStyle w:val="0"/>
              <w:jc w:val="center"/>
            </w:pPr>
            <w:r>
              <w:rPr>
                <w:sz w:val="20"/>
              </w:rPr>
              <w:t xml:space="preserve">5090</w:t>
            </w:r>
          </w:p>
        </w:tc>
        <w:tc>
          <w:tcPr>
            <w:tcW w:w="1065" w:type="dxa"/>
          </w:tcPr>
          <w:p>
            <w:pPr>
              <w:pStyle w:val="0"/>
              <w:jc w:val="center"/>
            </w:pPr>
            <w:r>
              <w:rPr>
                <w:sz w:val="20"/>
              </w:rPr>
              <w:t xml:space="preserve">6007</w:t>
            </w:r>
          </w:p>
        </w:tc>
        <w:tc>
          <w:tcPr>
            <w:tcW w:w="1049" w:type="dxa"/>
          </w:tcPr>
          <w:p>
            <w:pPr>
              <w:pStyle w:val="0"/>
              <w:jc w:val="center"/>
            </w:pPr>
            <w:r>
              <w:rPr>
                <w:sz w:val="20"/>
              </w:rPr>
              <w:t xml:space="preserve">6010</w:t>
            </w:r>
          </w:p>
        </w:tc>
      </w:tr>
      <w:tr>
        <w:tc>
          <w:tcPr>
            <w:tcW w:w="680" w:type="dxa"/>
            <w:vAlign w:val="center"/>
          </w:tcPr>
          <w:p>
            <w:pPr>
              <w:pStyle w:val="0"/>
              <w:jc w:val="center"/>
            </w:pPr>
            <w:r>
              <w:rPr>
                <w:sz w:val="20"/>
              </w:rPr>
              <w:t xml:space="preserve">12.2</w:t>
            </w:r>
          </w:p>
        </w:tc>
        <w:tc>
          <w:tcPr>
            <w:tcW w:w="4025" w:type="dxa"/>
            <w:vAlign w:val="center"/>
          </w:tcPr>
          <w:p>
            <w:pPr>
              <w:pStyle w:val="0"/>
              <w:jc w:val="right"/>
            </w:pPr>
            <w:r>
              <w:rPr>
                <w:sz w:val="20"/>
              </w:rPr>
              <w:t xml:space="preserve">сахарная свекла</w:t>
            </w:r>
          </w:p>
        </w:tc>
        <w:tc>
          <w:tcPr>
            <w:tcW w:w="1051" w:type="dxa"/>
          </w:tcPr>
          <w:p>
            <w:pPr>
              <w:pStyle w:val="0"/>
              <w:jc w:val="center"/>
            </w:pPr>
            <w:r>
              <w:rPr>
                <w:sz w:val="20"/>
              </w:rPr>
              <w:t xml:space="preserve">5546</w:t>
            </w:r>
          </w:p>
        </w:tc>
        <w:tc>
          <w:tcPr>
            <w:tcW w:w="1033" w:type="dxa"/>
          </w:tcPr>
          <w:p>
            <w:pPr>
              <w:pStyle w:val="0"/>
              <w:jc w:val="center"/>
            </w:pPr>
            <w:r>
              <w:rPr>
                <w:sz w:val="20"/>
              </w:rPr>
              <w:t xml:space="preserve">3900</w:t>
            </w:r>
          </w:p>
        </w:tc>
        <w:tc>
          <w:tcPr>
            <w:tcW w:w="1065" w:type="dxa"/>
          </w:tcPr>
          <w:p>
            <w:pPr>
              <w:pStyle w:val="0"/>
              <w:jc w:val="center"/>
            </w:pPr>
            <w:r>
              <w:rPr>
                <w:sz w:val="20"/>
              </w:rPr>
              <w:t xml:space="preserve">4550</w:t>
            </w:r>
          </w:p>
        </w:tc>
        <w:tc>
          <w:tcPr>
            <w:tcW w:w="1049" w:type="dxa"/>
          </w:tcPr>
          <w:p>
            <w:pPr>
              <w:pStyle w:val="0"/>
              <w:jc w:val="center"/>
            </w:pPr>
            <w:r>
              <w:rPr>
                <w:sz w:val="20"/>
              </w:rPr>
              <w:t xml:space="preserve">4700</w:t>
            </w:r>
          </w:p>
        </w:tc>
      </w:tr>
      <w:tr>
        <w:tc>
          <w:tcPr>
            <w:tcW w:w="680" w:type="dxa"/>
            <w:vAlign w:val="center"/>
          </w:tcPr>
          <w:p>
            <w:pPr>
              <w:pStyle w:val="0"/>
              <w:jc w:val="center"/>
            </w:pPr>
            <w:r>
              <w:rPr>
                <w:sz w:val="20"/>
              </w:rPr>
              <w:t xml:space="preserve">12.3</w:t>
            </w:r>
          </w:p>
        </w:tc>
        <w:tc>
          <w:tcPr>
            <w:tcW w:w="4025" w:type="dxa"/>
            <w:vAlign w:val="center"/>
          </w:tcPr>
          <w:p>
            <w:pPr>
              <w:pStyle w:val="0"/>
              <w:jc w:val="right"/>
            </w:pPr>
            <w:r>
              <w:rPr>
                <w:sz w:val="20"/>
              </w:rPr>
              <w:t xml:space="preserve">скот и птица на убой в живом весе</w:t>
            </w:r>
          </w:p>
        </w:tc>
        <w:tc>
          <w:tcPr>
            <w:tcW w:w="1051" w:type="dxa"/>
          </w:tcPr>
          <w:p>
            <w:pPr>
              <w:pStyle w:val="0"/>
              <w:jc w:val="center"/>
            </w:pPr>
            <w:r>
              <w:rPr>
                <w:sz w:val="20"/>
              </w:rPr>
              <w:t xml:space="preserve">527,4</w:t>
            </w:r>
          </w:p>
        </w:tc>
        <w:tc>
          <w:tcPr>
            <w:tcW w:w="1033" w:type="dxa"/>
          </w:tcPr>
          <w:p>
            <w:pPr>
              <w:pStyle w:val="0"/>
              <w:jc w:val="center"/>
            </w:pPr>
            <w:r>
              <w:rPr>
                <w:sz w:val="20"/>
              </w:rPr>
              <w:t xml:space="preserve">557</w:t>
            </w:r>
          </w:p>
        </w:tc>
        <w:tc>
          <w:tcPr>
            <w:tcW w:w="1065" w:type="dxa"/>
          </w:tcPr>
          <w:p>
            <w:pPr>
              <w:pStyle w:val="0"/>
              <w:jc w:val="center"/>
            </w:pPr>
            <w:r>
              <w:rPr>
                <w:sz w:val="20"/>
              </w:rPr>
              <w:t xml:space="preserve">605</w:t>
            </w:r>
          </w:p>
        </w:tc>
        <w:tc>
          <w:tcPr>
            <w:tcW w:w="1049" w:type="dxa"/>
          </w:tcPr>
          <w:p>
            <w:pPr>
              <w:pStyle w:val="0"/>
              <w:jc w:val="center"/>
            </w:pPr>
            <w:r>
              <w:rPr>
                <w:sz w:val="20"/>
              </w:rPr>
              <w:t xml:space="preserve">650</w:t>
            </w:r>
          </w:p>
        </w:tc>
      </w:tr>
      <w:tr>
        <w:tc>
          <w:tcPr>
            <w:tcW w:w="680" w:type="dxa"/>
            <w:vAlign w:val="center"/>
          </w:tcPr>
          <w:p>
            <w:pPr>
              <w:pStyle w:val="0"/>
              <w:jc w:val="center"/>
            </w:pPr>
            <w:r>
              <w:rPr>
                <w:sz w:val="20"/>
              </w:rPr>
              <w:t xml:space="preserve">12.4</w:t>
            </w:r>
          </w:p>
        </w:tc>
        <w:tc>
          <w:tcPr>
            <w:tcW w:w="4025" w:type="dxa"/>
            <w:vAlign w:val="center"/>
          </w:tcPr>
          <w:p>
            <w:pPr>
              <w:pStyle w:val="0"/>
              <w:jc w:val="right"/>
            </w:pPr>
            <w:r>
              <w:rPr>
                <w:sz w:val="20"/>
              </w:rPr>
              <w:t xml:space="preserve">молоко</w:t>
            </w:r>
          </w:p>
        </w:tc>
        <w:tc>
          <w:tcPr>
            <w:tcW w:w="1051" w:type="dxa"/>
          </w:tcPr>
          <w:p>
            <w:pPr>
              <w:pStyle w:val="0"/>
              <w:jc w:val="center"/>
            </w:pPr>
            <w:r>
              <w:rPr>
                <w:sz w:val="20"/>
              </w:rPr>
              <w:t xml:space="preserve">276,5</w:t>
            </w:r>
          </w:p>
        </w:tc>
        <w:tc>
          <w:tcPr>
            <w:tcW w:w="1033" w:type="dxa"/>
          </w:tcPr>
          <w:p>
            <w:pPr>
              <w:pStyle w:val="0"/>
              <w:jc w:val="center"/>
            </w:pPr>
            <w:r>
              <w:rPr>
                <w:sz w:val="20"/>
              </w:rPr>
              <w:t xml:space="preserve">318,4</w:t>
            </w:r>
          </w:p>
        </w:tc>
        <w:tc>
          <w:tcPr>
            <w:tcW w:w="1065" w:type="dxa"/>
          </w:tcPr>
          <w:p>
            <w:pPr>
              <w:pStyle w:val="0"/>
              <w:jc w:val="center"/>
            </w:pPr>
            <w:r>
              <w:rPr>
                <w:sz w:val="20"/>
              </w:rPr>
              <w:t xml:space="preserve">352,0</w:t>
            </w:r>
          </w:p>
        </w:tc>
        <w:tc>
          <w:tcPr>
            <w:tcW w:w="1049" w:type="dxa"/>
          </w:tcPr>
          <w:p>
            <w:pPr>
              <w:pStyle w:val="0"/>
              <w:jc w:val="center"/>
            </w:pPr>
            <w:r>
              <w:rPr>
                <w:sz w:val="20"/>
              </w:rPr>
              <w:t xml:space="preserve">352,0</w:t>
            </w:r>
          </w:p>
        </w:tc>
      </w:tr>
      <w:tr>
        <w:tc>
          <w:tcPr>
            <w:tcW w:w="680" w:type="dxa"/>
            <w:vAlign w:val="center"/>
          </w:tcPr>
          <w:p>
            <w:pPr>
              <w:pStyle w:val="0"/>
              <w:jc w:val="center"/>
            </w:pPr>
            <w:r>
              <w:rPr>
                <w:sz w:val="20"/>
              </w:rPr>
              <w:t xml:space="preserve">13</w:t>
            </w:r>
          </w:p>
        </w:tc>
        <w:tc>
          <w:tcPr>
            <w:tcW w:w="4025" w:type="dxa"/>
            <w:vAlign w:val="center"/>
          </w:tcPr>
          <w:p>
            <w:pPr>
              <w:pStyle w:val="0"/>
              <w:jc w:val="both"/>
            </w:pPr>
            <w:r>
              <w:rPr>
                <w:sz w:val="20"/>
              </w:rPr>
              <w:t xml:space="preserve">Доля сельского населения в общей численности населения Курской области, %</w:t>
            </w:r>
          </w:p>
        </w:tc>
        <w:tc>
          <w:tcPr>
            <w:tcW w:w="1051" w:type="dxa"/>
          </w:tcPr>
          <w:p>
            <w:pPr>
              <w:pStyle w:val="0"/>
              <w:jc w:val="center"/>
            </w:pPr>
            <w:r>
              <w:rPr>
                <w:sz w:val="20"/>
              </w:rPr>
              <w:t xml:space="preserve">32,1</w:t>
            </w:r>
          </w:p>
        </w:tc>
        <w:tc>
          <w:tcPr>
            <w:tcW w:w="1033" w:type="dxa"/>
          </w:tcPr>
          <w:p>
            <w:pPr>
              <w:pStyle w:val="0"/>
              <w:jc w:val="center"/>
            </w:pPr>
            <w:r>
              <w:rPr>
                <w:sz w:val="20"/>
              </w:rPr>
              <w:t xml:space="preserve">31,8</w:t>
            </w:r>
          </w:p>
        </w:tc>
        <w:tc>
          <w:tcPr>
            <w:tcW w:w="1065" w:type="dxa"/>
          </w:tcPr>
          <w:p>
            <w:pPr>
              <w:pStyle w:val="0"/>
              <w:jc w:val="center"/>
            </w:pPr>
            <w:r>
              <w:rPr>
                <w:sz w:val="20"/>
              </w:rPr>
              <w:t xml:space="preserve">32,1</w:t>
            </w:r>
          </w:p>
        </w:tc>
        <w:tc>
          <w:tcPr>
            <w:tcW w:w="1049" w:type="dxa"/>
          </w:tcPr>
          <w:p>
            <w:pPr>
              <w:pStyle w:val="0"/>
              <w:jc w:val="center"/>
            </w:pPr>
            <w:r>
              <w:rPr>
                <w:sz w:val="20"/>
              </w:rPr>
              <w:t xml:space="preserve">32,1</w:t>
            </w:r>
          </w:p>
        </w:tc>
      </w:tr>
      <w:tr>
        <w:tc>
          <w:tcPr>
            <w:tcW w:w="680" w:type="dxa"/>
            <w:vAlign w:val="center"/>
          </w:tcPr>
          <w:p>
            <w:pPr>
              <w:pStyle w:val="0"/>
              <w:jc w:val="center"/>
            </w:pPr>
            <w:r>
              <w:rPr>
                <w:sz w:val="20"/>
              </w:rPr>
              <w:t xml:space="preserve">14</w:t>
            </w:r>
          </w:p>
        </w:tc>
        <w:tc>
          <w:tcPr>
            <w:tcW w:w="4025" w:type="dxa"/>
            <w:vAlign w:val="center"/>
          </w:tcPr>
          <w:p>
            <w:pPr>
              <w:pStyle w:val="0"/>
              <w:jc w:val="both"/>
            </w:pPr>
            <w:r>
              <w:rPr>
                <w:sz w:val="20"/>
              </w:rPr>
              <w:t xml:space="preserve">Доля общей площади благоустроенных жилых помещений в сельских населенных пунктах, %</w:t>
            </w:r>
          </w:p>
        </w:tc>
        <w:tc>
          <w:tcPr>
            <w:tcW w:w="1051" w:type="dxa"/>
          </w:tcPr>
          <w:p>
            <w:pPr>
              <w:pStyle w:val="0"/>
              <w:jc w:val="center"/>
            </w:pPr>
            <w:r>
              <w:rPr>
                <w:sz w:val="20"/>
              </w:rPr>
              <w:t xml:space="preserve">38,5</w:t>
            </w:r>
          </w:p>
        </w:tc>
        <w:tc>
          <w:tcPr>
            <w:tcW w:w="1033" w:type="dxa"/>
          </w:tcPr>
          <w:p>
            <w:pPr>
              <w:pStyle w:val="0"/>
              <w:jc w:val="center"/>
            </w:pPr>
            <w:r>
              <w:rPr>
                <w:sz w:val="20"/>
              </w:rPr>
              <w:t xml:space="preserve">39,3</w:t>
            </w:r>
          </w:p>
        </w:tc>
        <w:tc>
          <w:tcPr>
            <w:tcW w:w="1065" w:type="dxa"/>
          </w:tcPr>
          <w:p>
            <w:pPr>
              <w:pStyle w:val="0"/>
              <w:jc w:val="center"/>
            </w:pPr>
            <w:r>
              <w:rPr>
                <w:sz w:val="20"/>
              </w:rPr>
              <w:t xml:space="preserve">41,3</w:t>
            </w:r>
          </w:p>
        </w:tc>
        <w:tc>
          <w:tcPr>
            <w:tcW w:w="1049" w:type="dxa"/>
          </w:tcPr>
          <w:p>
            <w:pPr>
              <w:pStyle w:val="0"/>
              <w:jc w:val="center"/>
            </w:pPr>
            <w:r>
              <w:rPr>
                <w:sz w:val="20"/>
              </w:rPr>
              <w:t xml:space="preserve">41,3</w:t>
            </w:r>
          </w:p>
        </w:tc>
      </w:tr>
      <w:tr>
        <w:tc>
          <w:tcPr>
            <w:tcW w:w="680" w:type="dxa"/>
            <w:vAlign w:val="center"/>
          </w:tcPr>
          <w:p>
            <w:pPr>
              <w:pStyle w:val="0"/>
              <w:jc w:val="center"/>
            </w:pPr>
            <w:r>
              <w:rPr>
                <w:sz w:val="20"/>
              </w:rPr>
              <w:t xml:space="preserve">15</w:t>
            </w:r>
          </w:p>
        </w:tc>
        <w:tc>
          <w:tcPr>
            <w:tcW w:w="4025" w:type="dxa"/>
            <w:vAlign w:val="center"/>
          </w:tcPr>
          <w:p>
            <w:pPr>
              <w:pStyle w:val="0"/>
              <w:jc w:val="both"/>
            </w:pPr>
            <w:r>
              <w:rPr>
                <w:sz w:val="20"/>
              </w:rPr>
              <w:t xml:space="preserve">Выброшено в атмосферу загрязняющих веществ, отходящих от стационарных источников, тыс. тонн</w:t>
            </w:r>
          </w:p>
        </w:tc>
        <w:tc>
          <w:tcPr>
            <w:tcW w:w="1051" w:type="dxa"/>
            <w:vAlign w:val="center"/>
          </w:tcPr>
          <w:p>
            <w:pPr>
              <w:pStyle w:val="0"/>
              <w:jc w:val="center"/>
            </w:pPr>
            <w:r>
              <w:rPr>
                <w:sz w:val="20"/>
              </w:rPr>
              <w:t xml:space="preserve">39,8</w:t>
            </w:r>
          </w:p>
        </w:tc>
        <w:tc>
          <w:tcPr>
            <w:tcW w:w="1033" w:type="dxa"/>
            <w:vAlign w:val="center"/>
          </w:tcPr>
          <w:p>
            <w:pPr>
              <w:pStyle w:val="0"/>
              <w:jc w:val="center"/>
            </w:pPr>
            <w:r>
              <w:rPr>
                <w:sz w:val="20"/>
              </w:rPr>
              <w:t xml:space="preserve">34,0</w:t>
            </w:r>
          </w:p>
        </w:tc>
        <w:tc>
          <w:tcPr>
            <w:tcW w:w="1065" w:type="dxa"/>
            <w:vAlign w:val="center"/>
          </w:tcPr>
          <w:p>
            <w:pPr>
              <w:pStyle w:val="0"/>
              <w:jc w:val="center"/>
            </w:pPr>
            <w:r>
              <w:rPr>
                <w:sz w:val="20"/>
              </w:rPr>
              <w:t xml:space="preserve">26,1</w:t>
            </w:r>
          </w:p>
        </w:tc>
        <w:tc>
          <w:tcPr>
            <w:tcW w:w="1049" w:type="dxa"/>
            <w:vAlign w:val="center"/>
          </w:tcPr>
          <w:p>
            <w:pPr>
              <w:pStyle w:val="0"/>
              <w:jc w:val="center"/>
            </w:pPr>
            <w:r>
              <w:rPr>
                <w:sz w:val="20"/>
              </w:rPr>
              <w:t xml:space="preserve">20,0</w:t>
            </w:r>
          </w:p>
        </w:tc>
      </w:tr>
      <w:tr>
        <w:tc>
          <w:tcPr>
            <w:tcW w:w="680" w:type="dxa"/>
            <w:vAlign w:val="center"/>
          </w:tcPr>
          <w:p>
            <w:pPr>
              <w:pStyle w:val="0"/>
              <w:jc w:val="center"/>
            </w:pPr>
            <w:r>
              <w:rPr>
                <w:sz w:val="20"/>
              </w:rPr>
              <w:t xml:space="preserve">16</w:t>
            </w:r>
          </w:p>
        </w:tc>
        <w:tc>
          <w:tcPr>
            <w:tcW w:w="4025" w:type="dxa"/>
            <w:vAlign w:val="center"/>
          </w:tcPr>
          <w:p>
            <w:pPr>
              <w:pStyle w:val="0"/>
              <w:jc w:val="both"/>
            </w:pPr>
            <w:r>
              <w:rPr>
                <w:sz w:val="20"/>
              </w:rPr>
              <w:t xml:space="preserve">Уровень преступности (преступлений на 100 тыс. человек населения)</w:t>
            </w:r>
          </w:p>
        </w:tc>
        <w:tc>
          <w:tcPr>
            <w:tcW w:w="1051" w:type="dxa"/>
            <w:vAlign w:val="center"/>
          </w:tcPr>
          <w:p>
            <w:pPr>
              <w:pStyle w:val="0"/>
              <w:jc w:val="center"/>
            </w:pPr>
            <w:r>
              <w:rPr>
                <w:sz w:val="20"/>
              </w:rPr>
              <w:t xml:space="preserve">1331</w:t>
            </w:r>
          </w:p>
        </w:tc>
        <w:tc>
          <w:tcPr>
            <w:tcW w:w="1033" w:type="dxa"/>
            <w:vAlign w:val="center"/>
          </w:tcPr>
          <w:p>
            <w:pPr>
              <w:pStyle w:val="0"/>
              <w:jc w:val="center"/>
            </w:pPr>
            <w:r>
              <w:rPr>
                <w:sz w:val="20"/>
              </w:rPr>
              <w:t xml:space="preserve">1328</w:t>
            </w:r>
          </w:p>
        </w:tc>
        <w:tc>
          <w:tcPr>
            <w:tcW w:w="1065" w:type="dxa"/>
            <w:vAlign w:val="center"/>
          </w:tcPr>
          <w:p>
            <w:pPr>
              <w:pStyle w:val="0"/>
              <w:jc w:val="center"/>
            </w:pPr>
            <w:r>
              <w:rPr>
                <w:sz w:val="20"/>
              </w:rPr>
              <w:t xml:space="preserve">1324</w:t>
            </w:r>
          </w:p>
        </w:tc>
        <w:tc>
          <w:tcPr>
            <w:tcW w:w="1049" w:type="dxa"/>
            <w:vAlign w:val="center"/>
          </w:tcPr>
          <w:p>
            <w:pPr>
              <w:pStyle w:val="0"/>
              <w:jc w:val="center"/>
            </w:pPr>
            <w:r>
              <w:rPr>
                <w:sz w:val="20"/>
              </w:rPr>
              <w:t xml:space="preserve">1319</w:t>
            </w:r>
          </w:p>
        </w:tc>
      </w:tr>
      <w:tr>
        <w:tc>
          <w:tcPr>
            <w:tcW w:w="680" w:type="dxa"/>
            <w:vAlign w:val="center"/>
          </w:tcPr>
          <w:p>
            <w:pPr>
              <w:pStyle w:val="0"/>
              <w:jc w:val="center"/>
            </w:pPr>
            <w:r>
              <w:rPr>
                <w:sz w:val="20"/>
              </w:rPr>
              <w:t xml:space="preserve">17</w:t>
            </w:r>
          </w:p>
        </w:tc>
        <w:tc>
          <w:tcPr>
            <w:tcW w:w="4025" w:type="dxa"/>
            <w:vAlign w:val="center"/>
          </w:tcPr>
          <w:p>
            <w:pPr>
              <w:pStyle w:val="0"/>
              <w:jc w:val="both"/>
            </w:pPr>
            <w:r>
              <w:rPr>
                <w:sz w:val="20"/>
              </w:rPr>
              <w:t xml:space="preserve">Количество погибших в дорожно-транспортных происшествиях, человек на 100 тысяч населения</w:t>
            </w:r>
          </w:p>
        </w:tc>
        <w:tc>
          <w:tcPr>
            <w:tcW w:w="1051" w:type="dxa"/>
            <w:vAlign w:val="center"/>
          </w:tcPr>
          <w:p>
            <w:pPr>
              <w:pStyle w:val="0"/>
              <w:jc w:val="center"/>
            </w:pPr>
            <w:r>
              <w:rPr>
                <w:sz w:val="20"/>
              </w:rPr>
              <w:t xml:space="preserve">18,0</w:t>
            </w:r>
          </w:p>
        </w:tc>
        <w:tc>
          <w:tcPr>
            <w:tcW w:w="1033" w:type="dxa"/>
            <w:vAlign w:val="center"/>
          </w:tcPr>
          <w:p>
            <w:pPr>
              <w:pStyle w:val="0"/>
              <w:jc w:val="center"/>
            </w:pPr>
            <w:r>
              <w:rPr>
                <w:sz w:val="20"/>
              </w:rPr>
              <w:t xml:space="preserve">15,13</w:t>
            </w:r>
          </w:p>
        </w:tc>
        <w:tc>
          <w:tcPr>
            <w:tcW w:w="1065" w:type="dxa"/>
            <w:vAlign w:val="center"/>
          </w:tcPr>
          <w:p>
            <w:pPr>
              <w:pStyle w:val="0"/>
              <w:jc w:val="center"/>
            </w:pPr>
            <w:r>
              <w:rPr>
                <w:sz w:val="20"/>
              </w:rPr>
              <w:t xml:space="preserve">4,9</w:t>
            </w:r>
          </w:p>
        </w:tc>
        <w:tc>
          <w:tcPr>
            <w:tcW w:w="1049" w:type="dxa"/>
            <w:vAlign w:val="center"/>
          </w:tcPr>
          <w:p>
            <w:pPr>
              <w:pStyle w:val="0"/>
              <w:jc w:val="center"/>
            </w:pPr>
            <w:r>
              <w:rPr>
                <w:sz w:val="20"/>
              </w:rPr>
              <w:t xml:space="preserve">4,0</w:t>
            </w:r>
          </w:p>
        </w:tc>
      </w:tr>
      <w:tr>
        <w:tc>
          <w:tcPr>
            <w:tcW w:w="680" w:type="dxa"/>
            <w:vAlign w:val="center"/>
          </w:tcPr>
          <w:p>
            <w:pPr>
              <w:pStyle w:val="0"/>
              <w:jc w:val="center"/>
            </w:pPr>
            <w:r>
              <w:rPr>
                <w:sz w:val="20"/>
              </w:rPr>
              <w:t xml:space="preserve">18</w:t>
            </w:r>
          </w:p>
        </w:tc>
        <w:tc>
          <w:tcPr>
            <w:tcW w:w="4025" w:type="dxa"/>
            <w:vAlign w:val="center"/>
          </w:tcPr>
          <w:p>
            <w:pPr>
              <w:pStyle w:val="0"/>
              <w:jc w:val="both"/>
            </w:pPr>
            <w:r>
              <w:rPr>
                <w:sz w:val="20"/>
              </w:rPr>
              <w:t xml:space="preserve">Снижение количества пожаров, случаев</w:t>
            </w:r>
          </w:p>
        </w:tc>
        <w:tc>
          <w:tcPr>
            <w:tcW w:w="1051" w:type="dxa"/>
            <w:vAlign w:val="center"/>
          </w:tcPr>
          <w:p>
            <w:pPr>
              <w:pStyle w:val="0"/>
              <w:jc w:val="center"/>
            </w:pPr>
            <w:r>
              <w:rPr>
                <w:sz w:val="20"/>
              </w:rPr>
              <w:t xml:space="preserve">560</w:t>
            </w:r>
          </w:p>
        </w:tc>
        <w:tc>
          <w:tcPr>
            <w:tcW w:w="1033" w:type="dxa"/>
            <w:vAlign w:val="center"/>
          </w:tcPr>
          <w:p>
            <w:pPr>
              <w:pStyle w:val="0"/>
              <w:jc w:val="center"/>
            </w:pPr>
            <w:r>
              <w:rPr>
                <w:sz w:val="20"/>
              </w:rPr>
              <w:t xml:space="preserve">6800</w:t>
            </w:r>
          </w:p>
        </w:tc>
        <w:tc>
          <w:tcPr>
            <w:tcW w:w="1065" w:type="dxa"/>
            <w:vAlign w:val="center"/>
          </w:tcPr>
          <w:p>
            <w:pPr>
              <w:pStyle w:val="0"/>
              <w:jc w:val="center"/>
            </w:pPr>
            <w:r>
              <w:rPr>
                <w:sz w:val="20"/>
              </w:rPr>
              <w:t xml:space="preserve">6460</w:t>
            </w:r>
          </w:p>
        </w:tc>
        <w:tc>
          <w:tcPr>
            <w:tcW w:w="1049" w:type="dxa"/>
            <w:vAlign w:val="center"/>
          </w:tcPr>
          <w:p>
            <w:pPr>
              <w:pStyle w:val="0"/>
              <w:jc w:val="center"/>
            </w:pPr>
            <w:r>
              <w:rPr>
                <w:sz w:val="20"/>
              </w:rPr>
              <w:t xml:space="preserve">6320</w:t>
            </w:r>
          </w:p>
        </w:tc>
      </w:tr>
      <w:tr>
        <w:tc>
          <w:tcPr>
            <w:tcW w:w="680" w:type="dxa"/>
            <w:vAlign w:val="center"/>
          </w:tcPr>
          <w:p>
            <w:pPr>
              <w:pStyle w:val="0"/>
              <w:jc w:val="center"/>
            </w:pPr>
            <w:r>
              <w:rPr>
                <w:sz w:val="20"/>
              </w:rPr>
              <w:t xml:space="preserve">19</w:t>
            </w:r>
          </w:p>
        </w:tc>
        <w:tc>
          <w:tcPr>
            <w:tcW w:w="4025" w:type="dxa"/>
            <w:vAlign w:val="center"/>
          </w:tcPr>
          <w:p>
            <w:pPr>
              <w:pStyle w:val="0"/>
              <w:jc w:val="both"/>
            </w:pPr>
            <w:r>
              <w:rPr>
                <w:sz w:val="20"/>
              </w:rPr>
              <w:t xml:space="preserve">Снижение количества гибели людей при ЧС и на воде, %</w:t>
            </w:r>
          </w:p>
        </w:tc>
        <w:tc>
          <w:tcPr>
            <w:tcW w:w="1051" w:type="dxa"/>
            <w:vAlign w:val="center"/>
          </w:tcPr>
          <w:p>
            <w:pPr>
              <w:pStyle w:val="0"/>
              <w:jc w:val="center"/>
            </w:pPr>
            <w:r>
              <w:rPr>
                <w:sz w:val="20"/>
              </w:rPr>
              <w:t xml:space="preserve">14</w:t>
            </w:r>
          </w:p>
        </w:tc>
        <w:tc>
          <w:tcPr>
            <w:tcW w:w="1033" w:type="dxa"/>
            <w:vAlign w:val="center"/>
          </w:tcPr>
          <w:p>
            <w:pPr>
              <w:pStyle w:val="0"/>
              <w:jc w:val="center"/>
            </w:pPr>
            <w:r>
              <w:rPr>
                <w:sz w:val="20"/>
              </w:rPr>
              <w:t xml:space="preserve">17</w:t>
            </w:r>
          </w:p>
        </w:tc>
        <w:tc>
          <w:tcPr>
            <w:tcW w:w="1065" w:type="dxa"/>
            <w:vAlign w:val="center"/>
          </w:tcPr>
          <w:p>
            <w:pPr>
              <w:pStyle w:val="0"/>
              <w:jc w:val="center"/>
            </w:pPr>
            <w:r>
              <w:rPr>
                <w:sz w:val="20"/>
              </w:rPr>
              <w:t xml:space="preserve">21</w:t>
            </w:r>
          </w:p>
        </w:tc>
        <w:tc>
          <w:tcPr>
            <w:tcW w:w="1049" w:type="dxa"/>
            <w:vAlign w:val="center"/>
          </w:tcPr>
          <w:p>
            <w:pPr>
              <w:pStyle w:val="0"/>
              <w:jc w:val="center"/>
            </w:pPr>
            <w:r>
              <w:rPr>
                <w:sz w:val="20"/>
              </w:rPr>
              <w:t xml:space="preserve">26</w:t>
            </w:r>
          </w:p>
        </w:tc>
      </w:tr>
      <w:tr>
        <w:tc>
          <w:tcPr>
            <w:tcW w:w="680" w:type="dxa"/>
            <w:vAlign w:val="center"/>
          </w:tcPr>
          <w:p>
            <w:pPr>
              <w:pStyle w:val="0"/>
              <w:jc w:val="center"/>
            </w:pPr>
            <w:r>
              <w:rPr>
                <w:sz w:val="20"/>
              </w:rPr>
              <w:t xml:space="preserve">20</w:t>
            </w:r>
          </w:p>
        </w:tc>
        <w:tc>
          <w:tcPr>
            <w:tcW w:w="4025" w:type="dxa"/>
          </w:tcPr>
          <w:p>
            <w:pPr>
              <w:pStyle w:val="0"/>
              <w:jc w:val="both"/>
            </w:pPr>
            <w:r>
              <w:rPr>
                <w:sz w:val="20"/>
              </w:rPr>
              <w:t xml:space="preserve">Число технологических сбоев (аварий) в системах водоснабжения, единиц</w:t>
            </w:r>
          </w:p>
        </w:tc>
        <w:tc>
          <w:tcPr>
            <w:tcW w:w="1051" w:type="dxa"/>
          </w:tcPr>
          <w:p>
            <w:pPr>
              <w:pStyle w:val="0"/>
              <w:jc w:val="center"/>
            </w:pPr>
            <w:r>
              <w:rPr>
                <w:sz w:val="20"/>
              </w:rPr>
              <w:t xml:space="preserve">62</w:t>
            </w:r>
          </w:p>
        </w:tc>
        <w:tc>
          <w:tcPr>
            <w:tcW w:w="1033" w:type="dxa"/>
          </w:tcPr>
          <w:p>
            <w:pPr>
              <w:pStyle w:val="0"/>
              <w:jc w:val="center"/>
            </w:pPr>
            <w:r>
              <w:rPr>
                <w:sz w:val="20"/>
              </w:rPr>
              <w:t xml:space="preserve">60</w:t>
            </w:r>
          </w:p>
        </w:tc>
        <w:tc>
          <w:tcPr>
            <w:tcW w:w="1065" w:type="dxa"/>
          </w:tcPr>
          <w:p>
            <w:pPr>
              <w:pStyle w:val="0"/>
              <w:jc w:val="center"/>
            </w:pPr>
            <w:r>
              <w:rPr>
                <w:sz w:val="20"/>
              </w:rPr>
              <w:t xml:space="preserve">58</w:t>
            </w:r>
          </w:p>
        </w:tc>
        <w:tc>
          <w:tcPr>
            <w:tcW w:w="1049" w:type="dxa"/>
          </w:tcPr>
          <w:p>
            <w:pPr>
              <w:pStyle w:val="0"/>
              <w:jc w:val="center"/>
            </w:pPr>
            <w:r>
              <w:rPr>
                <w:sz w:val="20"/>
              </w:rPr>
              <w:t xml:space="preserve">56</w:t>
            </w:r>
          </w:p>
        </w:tc>
      </w:tr>
      <w:tr>
        <w:tc>
          <w:tcPr>
            <w:tcW w:w="680" w:type="dxa"/>
            <w:vAlign w:val="center"/>
          </w:tcPr>
          <w:p>
            <w:pPr>
              <w:pStyle w:val="0"/>
              <w:jc w:val="center"/>
            </w:pPr>
            <w:r>
              <w:rPr>
                <w:sz w:val="20"/>
              </w:rPr>
              <w:t xml:space="preserve">21</w:t>
            </w:r>
          </w:p>
        </w:tc>
        <w:tc>
          <w:tcPr>
            <w:tcW w:w="4025" w:type="dxa"/>
          </w:tcPr>
          <w:p>
            <w:pPr>
              <w:pStyle w:val="0"/>
              <w:jc w:val="both"/>
            </w:pPr>
            <w:r>
              <w:rPr>
                <w:sz w:val="20"/>
              </w:rPr>
              <w:t xml:space="preserve">Степень износа коммунальной инфраструктуры, %</w:t>
            </w:r>
          </w:p>
        </w:tc>
        <w:tc>
          <w:tcPr>
            <w:tcW w:w="1051" w:type="dxa"/>
          </w:tcPr>
          <w:p>
            <w:pPr>
              <w:pStyle w:val="0"/>
              <w:jc w:val="center"/>
            </w:pPr>
            <w:r>
              <w:rPr>
                <w:sz w:val="20"/>
              </w:rPr>
              <w:t xml:space="preserve">69,84</w:t>
            </w:r>
          </w:p>
        </w:tc>
        <w:tc>
          <w:tcPr>
            <w:tcW w:w="1033" w:type="dxa"/>
          </w:tcPr>
          <w:p>
            <w:pPr>
              <w:pStyle w:val="0"/>
              <w:jc w:val="center"/>
            </w:pPr>
            <w:r>
              <w:rPr>
                <w:sz w:val="20"/>
              </w:rPr>
              <w:t xml:space="preserve">61,0</w:t>
            </w:r>
          </w:p>
        </w:tc>
        <w:tc>
          <w:tcPr>
            <w:tcW w:w="1065" w:type="dxa"/>
          </w:tcPr>
          <w:p>
            <w:pPr>
              <w:pStyle w:val="0"/>
              <w:jc w:val="center"/>
            </w:pPr>
            <w:r>
              <w:rPr>
                <w:sz w:val="20"/>
              </w:rPr>
              <w:t xml:space="preserve">58,0</w:t>
            </w:r>
          </w:p>
        </w:tc>
        <w:tc>
          <w:tcPr>
            <w:tcW w:w="1049" w:type="dxa"/>
          </w:tcPr>
          <w:p>
            <w:pPr>
              <w:pStyle w:val="0"/>
              <w:jc w:val="center"/>
            </w:pPr>
            <w:r>
              <w:rPr>
                <w:sz w:val="20"/>
              </w:rPr>
              <w:t xml:space="preserve">56,0</w:t>
            </w:r>
          </w:p>
        </w:tc>
      </w:tr>
      <w:tr>
        <w:tc>
          <w:tcPr>
            <w:tcW w:w="680" w:type="dxa"/>
            <w:vAlign w:val="center"/>
          </w:tcPr>
          <w:p>
            <w:pPr>
              <w:pStyle w:val="0"/>
              <w:jc w:val="center"/>
            </w:pPr>
            <w:r>
              <w:rPr>
                <w:sz w:val="20"/>
              </w:rPr>
              <w:t xml:space="preserve">22</w:t>
            </w:r>
          </w:p>
        </w:tc>
        <w:tc>
          <w:tcPr>
            <w:tcW w:w="4025" w:type="dxa"/>
            <w:vAlign w:val="center"/>
          </w:tcPr>
          <w:p>
            <w:pPr>
              <w:pStyle w:val="0"/>
              <w:jc w:val="both"/>
            </w:pPr>
            <w:r>
              <w:rPr>
                <w:sz w:val="20"/>
              </w:rPr>
              <w:t xml:space="preserve">Объем перевозок пассажиров транспортом общего пользования, млн. чел.</w:t>
            </w:r>
          </w:p>
        </w:tc>
        <w:tc>
          <w:tcPr>
            <w:tcW w:w="1051" w:type="dxa"/>
            <w:vAlign w:val="center"/>
          </w:tcPr>
          <w:p>
            <w:pPr>
              <w:pStyle w:val="0"/>
              <w:jc w:val="center"/>
            </w:pPr>
            <w:r>
              <w:rPr>
                <w:sz w:val="20"/>
              </w:rPr>
              <w:t xml:space="preserve">143,3</w:t>
            </w:r>
          </w:p>
        </w:tc>
        <w:tc>
          <w:tcPr>
            <w:tcW w:w="1033" w:type="dxa"/>
            <w:vAlign w:val="center"/>
          </w:tcPr>
          <w:p>
            <w:pPr>
              <w:pStyle w:val="0"/>
              <w:jc w:val="center"/>
            </w:pPr>
            <w:r>
              <w:rPr>
                <w:sz w:val="20"/>
              </w:rPr>
              <w:t xml:space="preserve">191</w:t>
            </w:r>
          </w:p>
        </w:tc>
        <w:tc>
          <w:tcPr>
            <w:tcW w:w="1065" w:type="dxa"/>
            <w:vAlign w:val="center"/>
          </w:tcPr>
          <w:p>
            <w:pPr>
              <w:pStyle w:val="0"/>
              <w:jc w:val="center"/>
            </w:pPr>
            <w:r>
              <w:rPr>
                <w:sz w:val="20"/>
              </w:rPr>
              <w:t xml:space="preserve">276</w:t>
            </w:r>
          </w:p>
        </w:tc>
        <w:tc>
          <w:tcPr>
            <w:tcW w:w="1049" w:type="dxa"/>
            <w:vAlign w:val="center"/>
          </w:tcPr>
          <w:p>
            <w:pPr>
              <w:pStyle w:val="0"/>
              <w:jc w:val="center"/>
            </w:pPr>
            <w:r>
              <w:rPr>
                <w:sz w:val="20"/>
              </w:rPr>
              <w:t xml:space="preserve">400</w:t>
            </w:r>
          </w:p>
        </w:tc>
      </w:tr>
      <w:tr>
        <w:tc>
          <w:tcPr>
            <w:tcW w:w="680" w:type="dxa"/>
            <w:vAlign w:val="center"/>
          </w:tcPr>
          <w:p>
            <w:pPr>
              <w:pStyle w:val="0"/>
              <w:jc w:val="center"/>
            </w:pPr>
            <w:r>
              <w:rPr>
                <w:sz w:val="20"/>
              </w:rPr>
              <w:t xml:space="preserve">23</w:t>
            </w:r>
          </w:p>
        </w:tc>
        <w:tc>
          <w:tcPr>
            <w:tcW w:w="4025" w:type="dxa"/>
            <w:vAlign w:val="center"/>
          </w:tcPr>
          <w:p>
            <w:pPr>
              <w:pStyle w:val="0"/>
              <w:jc w:val="both"/>
            </w:pPr>
            <w:r>
              <w:rPr>
                <w:sz w:val="20"/>
              </w:rPr>
              <w:t xml:space="preserve">Общее количество посетителей Курской области, размещенных в коллективных средствах размещения, тыс. чел.</w:t>
            </w:r>
          </w:p>
        </w:tc>
        <w:tc>
          <w:tcPr>
            <w:tcW w:w="1051" w:type="dxa"/>
            <w:vAlign w:val="center"/>
          </w:tcPr>
          <w:p>
            <w:pPr>
              <w:pStyle w:val="0"/>
              <w:jc w:val="center"/>
            </w:pPr>
            <w:r>
              <w:rPr>
                <w:sz w:val="20"/>
              </w:rPr>
              <w:t xml:space="preserve">199,8</w:t>
            </w:r>
          </w:p>
        </w:tc>
        <w:tc>
          <w:tcPr>
            <w:tcW w:w="1033" w:type="dxa"/>
            <w:vAlign w:val="center"/>
          </w:tcPr>
          <w:p>
            <w:pPr>
              <w:pStyle w:val="0"/>
              <w:jc w:val="center"/>
            </w:pPr>
            <w:r>
              <w:rPr>
                <w:sz w:val="20"/>
              </w:rPr>
              <w:t xml:space="preserve">219,8</w:t>
            </w:r>
          </w:p>
        </w:tc>
        <w:tc>
          <w:tcPr>
            <w:tcW w:w="1065" w:type="dxa"/>
            <w:vAlign w:val="center"/>
          </w:tcPr>
          <w:p>
            <w:pPr>
              <w:pStyle w:val="0"/>
              <w:jc w:val="center"/>
            </w:pPr>
            <w:r>
              <w:rPr>
                <w:sz w:val="20"/>
              </w:rPr>
              <w:t xml:space="preserve">308,2</w:t>
            </w:r>
          </w:p>
        </w:tc>
        <w:tc>
          <w:tcPr>
            <w:tcW w:w="1049" w:type="dxa"/>
            <w:vAlign w:val="center"/>
          </w:tcPr>
          <w:p>
            <w:pPr>
              <w:pStyle w:val="0"/>
              <w:jc w:val="center"/>
            </w:pPr>
            <w:r>
              <w:rPr>
                <w:sz w:val="20"/>
              </w:rPr>
              <w:t xml:space="preserve">432,3</w:t>
            </w:r>
          </w:p>
        </w:tc>
      </w:tr>
      <w:tr>
        <w:tc>
          <w:tcPr>
            <w:tcW w:w="680" w:type="dxa"/>
            <w:vAlign w:val="center"/>
          </w:tcPr>
          <w:p>
            <w:pPr>
              <w:pStyle w:val="0"/>
              <w:jc w:val="center"/>
            </w:pPr>
            <w:r>
              <w:rPr>
                <w:sz w:val="20"/>
              </w:rPr>
              <w:t xml:space="preserve">24</w:t>
            </w:r>
          </w:p>
        </w:tc>
        <w:tc>
          <w:tcPr>
            <w:tcW w:w="4025" w:type="dxa"/>
            <w:vAlign w:val="center"/>
          </w:tcPr>
          <w:p>
            <w:pPr>
              <w:pStyle w:val="0"/>
              <w:jc w:val="both"/>
            </w:pPr>
            <w:r>
              <w:rPr>
                <w:sz w:val="20"/>
              </w:rPr>
              <w:t xml:space="preserve">Государственный долг по отношению к налоговым и неналоговым доходам областного бюджета, %</w:t>
            </w:r>
          </w:p>
        </w:tc>
        <w:tc>
          <w:tcPr>
            <w:tcW w:w="1051" w:type="dxa"/>
            <w:vAlign w:val="center"/>
          </w:tcPr>
          <w:p>
            <w:pPr>
              <w:pStyle w:val="0"/>
              <w:jc w:val="center"/>
            </w:pPr>
            <w:r>
              <w:rPr>
                <w:sz w:val="20"/>
              </w:rPr>
              <w:t xml:space="preserve">25,8</w:t>
            </w:r>
          </w:p>
        </w:tc>
        <w:tc>
          <w:tcPr>
            <w:tcW w:w="1033" w:type="dxa"/>
            <w:vAlign w:val="center"/>
          </w:tcPr>
          <w:p>
            <w:pPr>
              <w:pStyle w:val="0"/>
              <w:jc w:val="center"/>
            </w:pPr>
            <w:r>
              <w:rPr>
                <w:sz w:val="20"/>
              </w:rPr>
              <w:t xml:space="preserve">23,8</w:t>
            </w:r>
          </w:p>
        </w:tc>
        <w:tc>
          <w:tcPr>
            <w:tcW w:w="1065" w:type="dxa"/>
            <w:vAlign w:val="center"/>
          </w:tcPr>
          <w:p>
            <w:pPr>
              <w:pStyle w:val="0"/>
              <w:jc w:val="center"/>
            </w:pPr>
            <w:r>
              <w:rPr>
                <w:sz w:val="20"/>
              </w:rPr>
              <w:t xml:space="preserve">17,1</w:t>
            </w:r>
          </w:p>
        </w:tc>
        <w:tc>
          <w:tcPr>
            <w:tcW w:w="1049" w:type="dxa"/>
            <w:vAlign w:val="center"/>
          </w:tcPr>
          <w:p>
            <w:pPr>
              <w:pStyle w:val="0"/>
              <w:jc w:val="center"/>
            </w:pPr>
            <w:r>
              <w:rPr>
                <w:sz w:val="20"/>
              </w:rPr>
              <w:t xml:space="preserve">14,5</w:t>
            </w:r>
          </w:p>
        </w:tc>
      </w:tr>
      <w:tr>
        <w:tc>
          <w:tcPr>
            <w:tcW w:w="680" w:type="dxa"/>
            <w:vAlign w:val="center"/>
          </w:tcPr>
          <w:p>
            <w:pPr>
              <w:pStyle w:val="0"/>
              <w:jc w:val="center"/>
            </w:pPr>
            <w:r>
              <w:rPr>
                <w:sz w:val="20"/>
              </w:rPr>
              <w:t xml:space="preserve">25</w:t>
            </w:r>
          </w:p>
        </w:tc>
        <w:tc>
          <w:tcPr>
            <w:tcW w:w="4025" w:type="dxa"/>
            <w:vAlign w:val="center"/>
          </w:tcPr>
          <w:p>
            <w:pPr>
              <w:pStyle w:val="0"/>
              <w:jc w:val="both"/>
            </w:pPr>
            <w:r>
              <w:rPr>
                <w:sz w:val="20"/>
              </w:rPr>
              <w:t xml:space="preserve">Естественный прирост населения, на 1000 чел. населения</w:t>
            </w:r>
          </w:p>
        </w:tc>
        <w:tc>
          <w:tcPr>
            <w:tcW w:w="1051" w:type="dxa"/>
            <w:vAlign w:val="center"/>
          </w:tcPr>
          <w:p>
            <w:pPr>
              <w:pStyle w:val="0"/>
              <w:jc w:val="center"/>
            </w:pPr>
            <w:r>
              <w:rPr>
                <w:sz w:val="20"/>
              </w:rPr>
              <w:t xml:space="preserve">- 5,93</w:t>
            </w:r>
          </w:p>
        </w:tc>
        <w:tc>
          <w:tcPr>
            <w:tcW w:w="1033" w:type="dxa"/>
            <w:vAlign w:val="center"/>
          </w:tcPr>
          <w:p>
            <w:pPr>
              <w:pStyle w:val="0"/>
              <w:jc w:val="center"/>
            </w:pPr>
            <w:r>
              <w:rPr>
                <w:sz w:val="20"/>
              </w:rPr>
              <w:t xml:space="preserve">- 5,8</w:t>
            </w:r>
          </w:p>
        </w:tc>
        <w:tc>
          <w:tcPr>
            <w:tcW w:w="1065" w:type="dxa"/>
            <w:vAlign w:val="center"/>
          </w:tcPr>
          <w:p>
            <w:pPr>
              <w:pStyle w:val="0"/>
              <w:jc w:val="center"/>
            </w:pPr>
            <w:r>
              <w:rPr>
                <w:sz w:val="20"/>
              </w:rPr>
              <w:t xml:space="preserve">- 2,8</w:t>
            </w:r>
          </w:p>
        </w:tc>
        <w:tc>
          <w:tcPr>
            <w:tcW w:w="1049" w:type="dxa"/>
            <w:vAlign w:val="center"/>
          </w:tcPr>
          <w:p>
            <w:pPr>
              <w:pStyle w:val="0"/>
              <w:jc w:val="center"/>
            </w:pPr>
            <w:r>
              <w:rPr>
                <w:sz w:val="20"/>
              </w:rPr>
              <w:t xml:space="preserve">- 0,5</w:t>
            </w:r>
          </w:p>
        </w:tc>
      </w:tr>
      <w:tr>
        <w:tc>
          <w:tcPr>
            <w:tcW w:w="680" w:type="dxa"/>
            <w:vAlign w:val="center"/>
          </w:tcPr>
          <w:p>
            <w:pPr>
              <w:pStyle w:val="0"/>
              <w:jc w:val="center"/>
            </w:pPr>
            <w:r>
              <w:rPr>
                <w:sz w:val="20"/>
              </w:rPr>
              <w:t xml:space="preserve">26</w:t>
            </w:r>
          </w:p>
        </w:tc>
        <w:tc>
          <w:tcPr>
            <w:tcW w:w="4025" w:type="dxa"/>
            <w:vAlign w:val="center"/>
          </w:tcPr>
          <w:p>
            <w:pPr>
              <w:pStyle w:val="0"/>
              <w:jc w:val="both"/>
            </w:pPr>
            <w:r>
              <w:rPr>
                <w:sz w:val="20"/>
              </w:rPr>
              <w:t xml:space="preserve">Суммарный коэффициент рождаемости</w:t>
            </w:r>
          </w:p>
          <w:p>
            <w:pPr>
              <w:pStyle w:val="0"/>
              <w:jc w:val="both"/>
            </w:pPr>
            <w:r>
              <w:rPr>
                <w:sz w:val="20"/>
              </w:rPr>
              <w:t xml:space="preserve">(число родившихся детей на 1 женщину)</w:t>
            </w:r>
          </w:p>
        </w:tc>
        <w:tc>
          <w:tcPr>
            <w:tcW w:w="1051" w:type="dxa"/>
            <w:vAlign w:val="center"/>
          </w:tcPr>
          <w:p>
            <w:pPr>
              <w:pStyle w:val="0"/>
              <w:jc w:val="center"/>
            </w:pPr>
            <w:r>
              <w:rPr>
                <w:sz w:val="20"/>
              </w:rPr>
              <w:t xml:space="preserve">1,46</w:t>
            </w:r>
          </w:p>
        </w:tc>
        <w:tc>
          <w:tcPr>
            <w:tcW w:w="1033" w:type="dxa"/>
            <w:vAlign w:val="center"/>
          </w:tcPr>
          <w:p>
            <w:pPr>
              <w:pStyle w:val="0"/>
              <w:jc w:val="center"/>
            </w:pPr>
            <w:r>
              <w:rPr>
                <w:sz w:val="20"/>
              </w:rPr>
              <w:t xml:space="preserve">1,499</w:t>
            </w:r>
          </w:p>
        </w:tc>
        <w:tc>
          <w:tcPr>
            <w:tcW w:w="1065" w:type="dxa"/>
            <w:vAlign w:val="center"/>
          </w:tcPr>
          <w:p>
            <w:pPr>
              <w:pStyle w:val="0"/>
              <w:jc w:val="center"/>
            </w:pPr>
            <w:r>
              <w:rPr>
                <w:sz w:val="20"/>
              </w:rPr>
              <w:t xml:space="preserve">1,595</w:t>
            </w:r>
          </w:p>
        </w:tc>
        <w:tc>
          <w:tcPr>
            <w:tcW w:w="1049" w:type="dxa"/>
            <w:vAlign w:val="center"/>
          </w:tcPr>
          <w:p>
            <w:pPr>
              <w:pStyle w:val="0"/>
              <w:jc w:val="center"/>
            </w:pPr>
            <w:r>
              <w:rPr>
                <w:sz w:val="20"/>
              </w:rPr>
              <w:t xml:space="preserve">1,679</w:t>
            </w:r>
          </w:p>
        </w:tc>
      </w:tr>
      <w:tr>
        <w:tc>
          <w:tcPr>
            <w:tcW w:w="680" w:type="dxa"/>
            <w:vAlign w:val="center"/>
          </w:tcPr>
          <w:p>
            <w:pPr>
              <w:pStyle w:val="0"/>
              <w:jc w:val="center"/>
            </w:pPr>
            <w:r>
              <w:rPr>
                <w:sz w:val="20"/>
              </w:rPr>
              <w:t xml:space="preserve">27</w:t>
            </w:r>
          </w:p>
        </w:tc>
        <w:tc>
          <w:tcPr>
            <w:tcW w:w="4025" w:type="dxa"/>
            <w:vAlign w:val="center"/>
          </w:tcPr>
          <w:p>
            <w:pPr>
              <w:pStyle w:val="0"/>
              <w:jc w:val="both"/>
            </w:pPr>
            <w:r>
              <w:rPr>
                <w:sz w:val="20"/>
              </w:rPr>
              <w:t xml:space="preserve">Младенческая смертность (умершие в возрасте до 1 года на 1000 родившихся живыми)</w:t>
            </w:r>
          </w:p>
        </w:tc>
        <w:tc>
          <w:tcPr>
            <w:tcW w:w="1051" w:type="dxa"/>
            <w:vAlign w:val="center"/>
          </w:tcPr>
          <w:p>
            <w:pPr>
              <w:pStyle w:val="0"/>
              <w:jc w:val="center"/>
            </w:pPr>
            <w:r>
              <w:rPr>
                <w:sz w:val="20"/>
              </w:rPr>
              <w:t xml:space="preserve">5,6</w:t>
            </w:r>
          </w:p>
        </w:tc>
        <w:tc>
          <w:tcPr>
            <w:tcW w:w="1033" w:type="dxa"/>
            <w:vAlign w:val="center"/>
          </w:tcPr>
          <w:p>
            <w:pPr>
              <w:pStyle w:val="0"/>
              <w:jc w:val="center"/>
            </w:pPr>
            <w:r>
              <w:rPr>
                <w:sz w:val="20"/>
              </w:rPr>
              <w:t xml:space="preserve">5,4</w:t>
            </w:r>
          </w:p>
        </w:tc>
        <w:tc>
          <w:tcPr>
            <w:tcW w:w="1065" w:type="dxa"/>
            <w:vAlign w:val="center"/>
          </w:tcPr>
          <w:p>
            <w:pPr>
              <w:pStyle w:val="0"/>
              <w:jc w:val="center"/>
            </w:pPr>
            <w:r>
              <w:rPr>
                <w:sz w:val="20"/>
              </w:rPr>
              <w:t xml:space="preserve">4,5</w:t>
            </w:r>
          </w:p>
        </w:tc>
        <w:tc>
          <w:tcPr>
            <w:tcW w:w="1049" w:type="dxa"/>
            <w:vAlign w:val="center"/>
          </w:tcPr>
          <w:p>
            <w:pPr>
              <w:pStyle w:val="0"/>
              <w:jc w:val="center"/>
            </w:pPr>
            <w:r>
              <w:rPr>
                <w:sz w:val="20"/>
              </w:rPr>
              <w:t xml:space="preserve">4,3</w:t>
            </w:r>
          </w:p>
        </w:tc>
      </w:tr>
      <w:tr>
        <w:tc>
          <w:tcPr>
            <w:tcW w:w="680" w:type="dxa"/>
            <w:vAlign w:val="center"/>
          </w:tcPr>
          <w:p>
            <w:pPr>
              <w:pStyle w:val="0"/>
              <w:jc w:val="center"/>
            </w:pPr>
            <w:r>
              <w:rPr>
                <w:sz w:val="20"/>
              </w:rPr>
              <w:t xml:space="preserve">28</w:t>
            </w:r>
          </w:p>
        </w:tc>
        <w:tc>
          <w:tcPr>
            <w:tcW w:w="4025" w:type="dxa"/>
            <w:vAlign w:val="center"/>
          </w:tcPr>
          <w:p>
            <w:pPr>
              <w:pStyle w:val="0"/>
              <w:jc w:val="both"/>
            </w:pPr>
            <w:r>
              <w:rPr>
                <w:sz w:val="20"/>
              </w:rPr>
              <w:t xml:space="preserve">Смертность лиц трудоспособного возраста (человек на 100 тысяч населения)</w:t>
            </w:r>
          </w:p>
        </w:tc>
        <w:tc>
          <w:tcPr>
            <w:tcW w:w="1051" w:type="dxa"/>
            <w:vAlign w:val="center"/>
          </w:tcPr>
          <w:p>
            <w:pPr>
              <w:pStyle w:val="0"/>
              <w:jc w:val="center"/>
            </w:pPr>
            <w:r>
              <w:rPr>
                <w:sz w:val="20"/>
              </w:rPr>
              <w:t xml:space="preserve">540,0</w:t>
            </w:r>
          </w:p>
        </w:tc>
        <w:tc>
          <w:tcPr>
            <w:tcW w:w="1033" w:type="dxa"/>
            <w:vAlign w:val="center"/>
          </w:tcPr>
          <w:p>
            <w:pPr>
              <w:pStyle w:val="0"/>
              <w:jc w:val="center"/>
            </w:pPr>
            <w:r>
              <w:rPr>
                <w:sz w:val="20"/>
              </w:rPr>
              <w:t xml:space="preserve">532,7</w:t>
            </w:r>
          </w:p>
        </w:tc>
        <w:tc>
          <w:tcPr>
            <w:tcW w:w="1065" w:type="dxa"/>
            <w:vAlign w:val="center"/>
          </w:tcPr>
          <w:p>
            <w:pPr>
              <w:pStyle w:val="0"/>
              <w:jc w:val="center"/>
            </w:pPr>
            <w:r>
              <w:rPr>
                <w:sz w:val="20"/>
              </w:rPr>
              <w:t xml:space="preserve">350,0</w:t>
            </w:r>
          </w:p>
        </w:tc>
        <w:tc>
          <w:tcPr>
            <w:tcW w:w="1049" w:type="dxa"/>
            <w:vAlign w:val="center"/>
          </w:tcPr>
          <w:p>
            <w:pPr>
              <w:pStyle w:val="0"/>
              <w:jc w:val="center"/>
            </w:pPr>
            <w:r>
              <w:rPr>
                <w:sz w:val="20"/>
              </w:rPr>
              <w:t xml:space="preserve">325,0</w:t>
            </w:r>
          </w:p>
        </w:tc>
      </w:tr>
      <w:tr>
        <w:tc>
          <w:tcPr>
            <w:tcW w:w="680" w:type="dxa"/>
            <w:vAlign w:val="center"/>
          </w:tcPr>
          <w:p>
            <w:pPr>
              <w:pStyle w:val="0"/>
              <w:jc w:val="center"/>
            </w:pPr>
            <w:r>
              <w:rPr>
                <w:sz w:val="20"/>
              </w:rPr>
              <w:t xml:space="preserve">29</w:t>
            </w:r>
          </w:p>
        </w:tc>
        <w:tc>
          <w:tcPr>
            <w:tcW w:w="4025" w:type="dxa"/>
            <w:vAlign w:val="center"/>
          </w:tcPr>
          <w:p>
            <w:pPr>
              <w:pStyle w:val="0"/>
              <w:jc w:val="both"/>
            </w:pPr>
            <w:r>
              <w:rPr>
                <w:sz w:val="20"/>
              </w:rPr>
              <w:t xml:space="preserve">Уровень реальной среднемесячной заработной платы, % (2017 год - базовое значение)</w:t>
            </w:r>
          </w:p>
        </w:tc>
        <w:tc>
          <w:tcPr>
            <w:tcW w:w="1051" w:type="dxa"/>
            <w:vAlign w:val="center"/>
          </w:tcPr>
          <w:p>
            <w:pPr>
              <w:pStyle w:val="0"/>
              <w:jc w:val="center"/>
            </w:pPr>
            <w:r>
              <w:rPr>
                <w:sz w:val="20"/>
              </w:rPr>
              <w:t xml:space="preserve">100</w:t>
            </w:r>
          </w:p>
        </w:tc>
        <w:tc>
          <w:tcPr>
            <w:tcW w:w="1033" w:type="dxa"/>
            <w:vAlign w:val="center"/>
          </w:tcPr>
          <w:p>
            <w:pPr>
              <w:pStyle w:val="0"/>
              <w:jc w:val="center"/>
            </w:pPr>
            <w:r>
              <w:rPr>
                <w:sz w:val="20"/>
              </w:rPr>
              <w:t xml:space="preserve">114,2</w:t>
            </w:r>
          </w:p>
        </w:tc>
        <w:tc>
          <w:tcPr>
            <w:tcW w:w="1065" w:type="dxa"/>
            <w:vAlign w:val="center"/>
          </w:tcPr>
          <w:p>
            <w:pPr>
              <w:pStyle w:val="0"/>
              <w:jc w:val="center"/>
            </w:pPr>
            <w:r>
              <w:rPr>
                <w:sz w:val="20"/>
              </w:rPr>
              <w:t xml:space="preserve">127,4</w:t>
            </w:r>
          </w:p>
        </w:tc>
        <w:tc>
          <w:tcPr>
            <w:tcW w:w="1049" w:type="dxa"/>
            <w:vAlign w:val="center"/>
          </w:tcPr>
          <w:p>
            <w:pPr>
              <w:pStyle w:val="0"/>
              <w:jc w:val="center"/>
            </w:pPr>
            <w:r>
              <w:rPr>
                <w:sz w:val="20"/>
              </w:rPr>
              <w:t xml:space="preserve">147,8</w:t>
            </w:r>
          </w:p>
        </w:tc>
      </w:tr>
      <w:tr>
        <w:tc>
          <w:tcPr>
            <w:tcW w:w="680" w:type="dxa"/>
            <w:vAlign w:val="center"/>
          </w:tcPr>
          <w:p>
            <w:pPr>
              <w:pStyle w:val="0"/>
              <w:jc w:val="center"/>
            </w:pPr>
            <w:r>
              <w:rPr>
                <w:sz w:val="20"/>
              </w:rPr>
              <w:t xml:space="preserve">30</w:t>
            </w:r>
          </w:p>
        </w:tc>
        <w:tc>
          <w:tcPr>
            <w:tcW w:w="4025" w:type="dxa"/>
            <w:vAlign w:val="center"/>
          </w:tcPr>
          <w:p>
            <w:pPr>
              <w:pStyle w:val="0"/>
              <w:jc w:val="both"/>
            </w:pPr>
            <w:r>
              <w:rPr>
                <w:sz w:val="20"/>
              </w:rPr>
              <w:t xml:space="preserve">Уровень бедности, %</w:t>
            </w:r>
          </w:p>
        </w:tc>
        <w:tc>
          <w:tcPr>
            <w:tcW w:w="1051" w:type="dxa"/>
            <w:vAlign w:val="center"/>
          </w:tcPr>
          <w:p>
            <w:pPr>
              <w:pStyle w:val="0"/>
              <w:jc w:val="center"/>
            </w:pPr>
            <w:r>
              <w:rPr>
                <w:sz w:val="20"/>
              </w:rPr>
              <w:t xml:space="preserve">10,3</w:t>
            </w:r>
          </w:p>
        </w:tc>
        <w:tc>
          <w:tcPr>
            <w:tcW w:w="1033" w:type="dxa"/>
            <w:vAlign w:val="center"/>
          </w:tcPr>
          <w:p>
            <w:pPr>
              <w:pStyle w:val="0"/>
              <w:jc w:val="center"/>
            </w:pPr>
            <w:r>
              <w:rPr>
                <w:sz w:val="20"/>
              </w:rPr>
              <w:t xml:space="preserve">10,4</w:t>
            </w:r>
          </w:p>
        </w:tc>
        <w:tc>
          <w:tcPr>
            <w:tcW w:w="1065" w:type="dxa"/>
            <w:vAlign w:val="center"/>
          </w:tcPr>
          <w:p>
            <w:pPr>
              <w:pStyle w:val="0"/>
              <w:jc w:val="center"/>
            </w:pPr>
            <w:r>
              <w:rPr>
                <w:sz w:val="20"/>
              </w:rPr>
              <w:t xml:space="preserve">8,0</w:t>
            </w:r>
          </w:p>
        </w:tc>
        <w:tc>
          <w:tcPr>
            <w:tcW w:w="1049" w:type="dxa"/>
            <w:vAlign w:val="center"/>
          </w:tcPr>
          <w:p>
            <w:pPr>
              <w:pStyle w:val="0"/>
              <w:jc w:val="center"/>
            </w:pPr>
            <w:r>
              <w:rPr>
                <w:sz w:val="20"/>
              </w:rPr>
              <w:t xml:space="preserve">5,7</w:t>
            </w:r>
          </w:p>
        </w:tc>
      </w:tr>
      <w:tr>
        <w:tc>
          <w:tcPr>
            <w:tcW w:w="680" w:type="dxa"/>
            <w:vAlign w:val="center"/>
          </w:tcPr>
          <w:p>
            <w:pPr>
              <w:pStyle w:val="0"/>
              <w:jc w:val="center"/>
            </w:pPr>
            <w:r>
              <w:rPr>
                <w:sz w:val="20"/>
              </w:rPr>
              <w:t xml:space="preserve">31</w:t>
            </w:r>
          </w:p>
        </w:tc>
        <w:tc>
          <w:tcPr>
            <w:tcW w:w="4025" w:type="dxa"/>
            <w:vAlign w:val="center"/>
          </w:tcPr>
          <w:p>
            <w:pPr>
              <w:pStyle w:val="0"/>
              <w:jc w:val="both"/>
            </w:pPr>
            <w:r>
              <w:rPr>
                <w:sz w:val="20"/>
              </w:rPr>
              <w:t xml:space="preserve">Обеспеченность учреждениями культуры (учреждений на 100 тыс. человек населения)</w:t>
            </w:r>
          </w:p>
        </w:tc>
        <w:tc>
          <w:tcPr>
            <w:tcW w:w="1051" w:type="dxa"/>
            <w:vAlign w:val="center"/>
          </w:tcPr>
          <w:p>
            <w:pPr>
              <w:pStyle w:val="0"/>
              <w:jc w:val="center"/>
            </w:pPr>
            <w:r>
              <w:rPr>
                <w:sz w:val="20"/>
              </w:rPr>
              <w:t xml:space="preserve">129,05</w:t>
            </w:r>
          </w:p>
          <w:p>
            <w:pPr>
              <w:pStyle w:val="0"/>
              <w:jc w:val="center"/>
            </w:pPr>
            <w:r>
              <w:rPr>
                <w:sz w:val="20"/>
              </w:rPr>
              <w:t xml:space="preserve">(за 2019 год)</w:t>
            </w:r>
          </w:p>
        </w:tc>
        <w:tc>
          <w:tcPr>
            <w:tcW w:w="1033" w:type="dxa"/>
            <w:vAlign w:val="center"/>
          </w:tcPr>
          <w:p>
            <w:pPr>
              <w:pStyle w:val="0"/>
              <w:jc w:val="center"/>
            </w:pPr>
            <w:r>
              <w:rPr>
                <w:sz w:val="20"/>
              </w:rPr>
              <w:t xml:space="preserve">129,05</w:t>
            </w:r>
          </w:p>
        </w:tc>
        <w:tc>
          <w:tcPr>
            <w:tcW w:w="1065" w:type="dxa"/>
            <w:vAlign w:val="center"/>
          </w:tcPr>
          <w:p>
            <w:pPr>
              <w:pStyle w:val="0"/>
              <w:jc w:val="center"/>
            </w:pPr>
            <w:r>
              <w:rPr>
                <w:sz w:val="20"/>
              </w:rPr>
              <w:t xml:space="preserve">129,7</w:t>
            </w:r>
          </w:p>
        </w:tc>
        <w:tc>
          <w:tcPr>
            <w:tcW w:w="1049" w:type="dxa"/>
            <w:vAlign w:val="center"/>
          </w:tcPr>
          <w:p>
            <w:pPr>
              <w:pStyle w:val="0"/>
              <w:jc w:val="center"/>
            </w:pPr>
            <w:r>
              <w:rPr>
                <w:sz w:val="20"/>
              </w:rPr>
              <w:t xml:space="preserve">133,0</w:t>
            </w:r>
          </w:p>
        </w:tc>
      </w:tr>
      <w:tr>
        <w:tc>
          <w:tcPr>
            <w:tcW w:w="680" w:type="dxa"/>
            <w:vAlign w:val="center"/>
          </w:tcPr>
          <w:p>
            <w:pPr>
              <w:pStyle w:val="0"/>
              <w:jc w:val="center"/>
            </w:pPr>
            <w:r>
              <w:rPr>
                <w:sz w:val="20"/>
              </w:rPr>
              <w:t xml:space="preserve">32</w:t>
            </w:r>
          </w:p>
        </w:tc>
        <w:tc>
          <w:tcPr>
            <w:tcW w:w="4025" w:type="dxa"/>
            <w:vAlign w:val="center"/>
          </w:tcPr>
          <w:p>
            <w:pPr>
              <w:pStyle w:val="0"/>
              <w:jc w:val="both"/>
            </w:pPr>
            <w:r>
              <w:rPr>
                <w:sz w:val="20"/>
              </w:rPr>
              <w:t xml:space="preserve">Уровень удовлетворенности граждан Российской Федерации качеством предоставления государственных и муниципальных услуг в сфере культуры, %</w:t>
            </w:r>
          </w:p>
        </w:tc>
        <w:tc>
          <w:tcPr>
            <w:tcW w:w="1051" w:type="dxa"/>
            <w:vAlign w:val="center"/>
          </w:tcPr>
          <w:p>
            <w:pPr>
              <w:pStyle w:val="0"/>
              <w:jc w:val="center"/>
            </w:pPr>
            <w:r>
              <w:rPr>
                <w:sz w:val="20"/>
              </w:rPr>
              <w:t xml:space="preserve">90</w:t>
            </w:r>
          </w:p>
          <w:p>
            <w:pPr>
              <w:pStyle w:val="0"/>
              <w:jc w:val="center"/>
            </w:pPr>
            <w:r>
              <w:rPr>
                <w:sz w:val="20"/>
              </w:rPr>
              <w:t xml:space="preserve">(за 2019 год)</w:t>
            </w:r>
          </w:p>
        </w:tc>
        <w:tc>
          <w:tcPr>
            <w:tcW w:w="1033" w:type="dxa"/>
            <w:vAlign w:val="center"/>
          </w:tcPr>
          <w:p>
            <w:pPr>
              <w:pStyle w:val="0"/>
              <w:jc w:val="center"/>
            </w:pPr>
            <w:r>
              <w:rPr>
                <w:sz w:val="20"/>
              </w:rPr>
              <w:t xml:space="preserve">92</w:t>
            </w:r>
          </w:p>
        </w:tc>
        <w:tc>
          <w:tcPr>
            <w:tcW w:w="1065" w:type="dxa"/>
            <w:vAlign w:val="center"/>
          </w:tcPr>
          <w:p>
            <w:pPr>
              <w:pStyle w:val="0"/>
              <w:jc w:val="center"/>
            </w:pPr>
            <w:r>
              <w:rPr>
                <w:sz w:val="20"/>
              </w:rPr>
              <w:t xml:space="preserve">95</w:t>
            </w:r>
          </w:p>
        </w:tc>
        <w:tc>
          <w:tcPr>
            <w:tcW w:w="1049" w:type="dxa"/>
            <w:vAlign w:val="center"/>
          </w:tcPr>
          <w:p>
            <w:pPr>
              <w:pStyle w:val="0"/>
              <w:jc w:val="center"/>
            </w:pPr>
            <w:r>
              <w:rPr>
                <w:sz w:val="20"/>
              </w:rPr>
              <w:t xml:space="preserve">100</w:t>
            </w:r>
          </w:p>
        </w:tc>
      </w:tr>
      <w:tr>
        <w:tc>
          <w:tcPr>
            <w:tcW w:w="680" w:type="dxa"/>
            <w:vAlign w:val="center"/>
          </w:tcPr>
          <w:p>
            <w:pPr>
              <w:pStyle w:val="0"/>
              <w:jc w:val="center"/>
            </w:pPr>
            <w:r>
              <w:rPr>
                <w:sz w:val="20"/>
              </w:rPr>
              <w:t xml:space="preserve">33</w:t>
            </w:r>
          </w:p>
        </w:tc>
        <w:tc>
          <w:tcPr>
            <w:tcW w:w="4025" w:type="dxa"/>
            <w:vAlign w:val="center"/>
          </w:tcPr>
          <w:p>
            <w:pPr>
              <w:pStyle w:val="0"/>
              <w:jc w:val="both"/>
            </w:pPr>
            <w:r>
              <w:rPr>
                <w:sz w:val="20"/>
              </w:rPr>
              <w:t xml:space="preserve">Доля автомобильных дорог регионального значения, соответствующих нормативным требованиям, %</w:t>
            </w:r>
          </w:p>
        </w:tc>
        <w:tc>
          <w:tcPr>
            <w:tcW w:w="1051" w:type="dxa"/>
            <w:vAlign w:val="center"/>
          </w:tcPr>
          <w:p>
            <w:pPr>
              <w:pStyle w:val="0"/>
              <w:jc w:val="center"/>
            </w:pPr>
            <w:r>
              <w:rPr>
                <w:sz w:val="20"/>
              </w:rPr>
              <w:t xml:space="preserve">49,4</w:t>
            </w:r>
          </w:p>
        </w:tc>
        <w:tc>
          <w:tcPr>
            <w:tcW w:w="1033" w:type="dxa"/>
            <w:vAlign w:val="center"/>
          </w:tcPr>
          <w:p>
            <w:pPr>
              <w:pStyle w:val="0"/>
              <w:jc w:val="center"/>
            </w:pPr>
            <w:r>
              <w:rPr>
                <w:sz w:val="20"/>
              </w:rPr>
              <w:t xml:space="preserve">49,9</w:t>
            </w:r>
          </w:p>
        </w:tc>
        <w:tc>
          <w:tcPr>
            <w:tcW w:w="1065" w:type="dxa"/>
            <w:vAlign w:val="center"/>
          </w:tcPr>
          <w:p>
            <w:pPr>
              <w:pStyle w:val="0"/>
              <w:jc w:val="center"/>
            </w:pPr>
            <w:r>
              <w:rPr>
                <w:sz w:val="20"/>
              </w:rPr>
              <w:t xml:space="preserve">55,0</w:t>
            </w:r>
          </w:p>
        </w:tc>
        <w:tc>
          <w:tcPr>
            <w:tcW w:w="1049" w:type="dxa"/>
            <w:vAlign w:val="center"/>
          </w:tcPr>
          <w:p>
            <w:pPr>
              <w:pStyle w:val="0"/>
              <w:jc w:val="center"/>
            </w:pPr>
            <w:r>
              <w:rPr>
                <w:sz w:val="20"/>
              </w:rPr>
              <w:t xml:space="preserve">73,0</w:t>
            </w:r>
          </w:p>
        </w:tc>
      </w:tr>
      <w:tr>
        <w:tc>
          <w:tcPr>
            <w:tcW w:w="680" w:type="dxa"/>
            <w:vAlign w:val="center"/>
          </w:tcPr>
          <w:p>
            <w:pPr>
              <w:pStyle w:val="0"/>
              <w:jc w:val="center"/>
            </w:pPr>
            <w:r>
              <w:rPr>
                <w:sz w:val="20"/>
              </w:rPr>
              <w:t xml:space="preserve">34</w:t>
            </w:r>
          </w:p>
        </w:tc>
        <w:tc>
          <w:tcPr>
            <w:tcW w:w="4025" w:type="dxa"/>
            <w:vAlign w:val="center"/>
          </w:tcPr>
          <w:p>
            <w:pPr>
              <w:pStyle w:val="0"/>
              <w:jc w:val="both"/>
            </w:pPr>
            <w:r>
              <w:rPr>
                <w:sz w:val="20"/>
              </w:rPr>
              <w:t xml:space="preserve">Валовое потребление природного газа в качестве моторного топлива, млн. куб. м</w:t>
            </w:r>
          </w:p>
        </w:tc>
        <w:tc>
          <w:tcPr>
            <w:tcW w:w="1051" w:type="dxa"/>
            <w:vAlign w:val="center"/>
          </w:tcPr>
          <w:p>
            <w:pPr>
              <w:pStyle w:val="0"/>
              <w:jc w:val="center"/>
            </w:pPr>
            <w:r>
              <w:rPr>
                <w:sz w:val="20"/>
              </w:rPr>
              <w:t xml:space="preserve">12,03</w:t>
            </w:r>
          </w:p>
        </w:tc>
        <w:tc>
          <w:tcPr>
            <w:tcW w:w="1033" w:type="dxa"/>
            <w:vAlign w:val="center"/>
          </w:tcPr>
          <w:p>
            <w:pPr>
              <w:pStyle w:val="0"/>
              <w:jc w:val="center"/>
            </w:pPr>
            <w:r>
              <w:rPr>
                <w:sz w:val="20"/>
              </w:rPr>
              <w:t xml:space="preserve">14,48</w:t>
            </w:r>
          </w:p>
        </w:tc>
        <w:tc>
          <w:tcPr>
            <w:tcW w:w="1065" w:type="dxa"/>
            <w:vAlign w:val="center"/>
          </w:tcPr>
          <w:p>
            <w:pPr>
              <w:pStyle w:val="0"/>
              <w:jc w:val="center"/>
            </w:pPr>
            <w:r>
              <w:rPr>
                <w:sz w:val="20"/>
              </w:rPr>
              <w:t xml:space="preserve">22,0</w:t>
            </w:r>
          </w:p>
        </w:tc>
        <w:tc>
          <w:tcPr>
            <w:tcW w:w="1049" w:type="dxa"/>
            <w:vAlign w:val="center"/>
          </w:tcPr>
          <w:p>
            <w:pPr>
              <w:pStyle w:val="0"/>
              <w:jc w:val="center"/>
            </w:pPr>
            <w:r>
              <w:rPr>
                <w:sz w:val="20"/>
              </w:rPr>
              <w:t xml:space="preserve">22,5</w:t>
            </w:r>
          </w:p>
        </w:tc>
      </w:tr>
      <w:tr>
        <w:tc>
          <w:tcPr>
            <w:tcW w:w="680" w:type="dxa"/>
            <w:vAlign w:val="center"/>
          </w:tcPr>
          <w:p>
            <w:pPr>
              <w:pStyle w:val="0"/>
              <w:jc w:val="center"/>
            </w:pPr>
            <w:r>
              <w:rPr>
                <w:sz w:val="20"/>
              </w:rPr>
              <w:t xml:space="preserve">35</w:t>
            </w:r>
          </w:p>
        </w:tc>
        <w:tc>
          <w:tcPr>
            <w:tcW w:w="4025" w:type="dxa"/>
            <w:vAlign w:val="center"/>
          </w:tcPr>
          <w:p>
            <w:pPr>
              <w:pStyle w:val="0"/>
              <w:jc w:val="both"/>
            </w:pPr>
            <w:r>
              <w:rPr>
                <w:sz w:val="20"/>
              </w:rPr>
              <w:t xml:space="preserve">Количество объектов газозаправочной инфраструктуры, ед.</w:t>
            </w:r>
          </w:p>
        </w:tc>
        <w:tc>
          <w:tcPr>
            <w:tcW w:w="1051" w:type="dxa"/>
            <w:vAlign w:val="center"/>
          </w:tcPr>
          <w:p>
            <w:pPr>
              <w:pStyle w:val="0"/>
              <w:jc w:val="center"/>
            </w:pPr>
            <w:r>
              <w:rPr>
                <w:sz w:val="20"/>
              </w:rPr>
              <w:t xml:space="preserve">4</w:t>
            </w:r>
          </w:p>
        </w:tc>
        <w:tc>
          <w:tcPr>
            <w:tcW w:w="1033" w:type="dxa"/>
            <w:vAlign w:val="center"/>
          </w:tcPr>
          <w:p>
            <w:pPr>
              <w:pStyle w:val="0"/>
              <w:jc w:val="center"/>
            </w:pPr>
            <w:r>
              <w:rPr>
                <w:sz w:val="20"/>
              </w:rPr>
              <w:t xml:space="preserve">7</w:t>
            </w:r>
          </w:p>
        </w:tc>
        <w:tc>
          <w:tcPr>
            <w:tcW w:w="1065" w:type="dxa"/>
            <w:vAlign w:val="center"/>
          </w:tcPr>
          <w:p>
            <w:pPr>
              <w:pStyle w:val="0"/>
              <w:jc w:val="center"/>
            </w:pPr>
            <w:r>
              <w:rPr>
                <w:sz w:val="20"/>
              </w:rPr>
              <w:t xml:space="preserve">26</w:t>
            </w:r>
          </w:p>
        </w:tc>
        <w:tc>
          <w:tcPr>
            <w:tcW w:w="1049" w:type="dxa"/>
            <w:vAlign w:val="center"/>
          </w:tcPr>
          <w:p>
            <w:pPr>
              <w:pStyle w:val="0"/>
              <w:jc w:val="center"/>
            </w:pPr>
            <w:r>
              <w:rPr>
                <w:sz w:val="20"/>
              </w:rPr>
              <w:t xml:space="preserve">30</w:t>
            </w:r>
          </w:p>
        </w:tc>
      </w:tr>
      <w:tr>
        <w:tc>
          <w:tcPr>
            <w:tcW w:w="680" w:type="dxa"/>
            <w:vAlign w:val="center"/>
          </w:tcPr>
          <w:p>
            <w:pPr>
              <w:pStyle w:val="0"/>
              <w:jc w:val="center"/>
            </w:pPr>
            <w:r>
              <w:rPr>
                <w:sz w:val="20"/>
              </w:rPr>
              <w:t xml:space="preserve">36</w:t>
            </w:r>
          </w:p>
        </w:tc>
        <w:tc>
          <w:tcPr>
            <w:tcW w:w="4025" w:type="dxa"/>
            <w:vAlign w:val="center"/>
          </w:tcPr>
          <w:p>
            <w:pPr>
              <w:pStyle w:val="0"/>
              <w:jc w:val="both"/>
            </w:pPr>
            <w:r>
              <w:rPr>
                <w:sz w:val="20"/>
              </w:rPr>
              <w:t xml:space="preserve">Удельный расход условного топлива на отпуск электрической и тепловой энергии для генерирующих источников, работающих на органическом топливе (т у.т/1000 кВт.ч)</w:t>
            </w:r>
          </w:p>
        </w:tc>
        <w:tc>
          <w:tcPr>
            <w:tcW w:w="1051" w:type="dxa"/>
            <w:vAlign w:val="center"/>
          </w:tcPr>
          <w:p>
            <w:pPr>
              <w:pStyle w:val="0"/>
              <w:jc w:val="center"/>
            </w:pPr>
            <w:r>
              <w:rPr>
                <w:sz w:val="20"/>
              </w:rPr>
              <w:t xml:space="preserve">0</w:t>
            </w:r>
          </w:p>
        </w:tc>
        <w:tc>
          <w:tcPr>
            <w:tcW w:w="1033" w:type="dxa"/>
            <w:vAlign w:val="center"/>
          </w:tcPr>
          <w:p>
            <w:pPr>
              <w:pStyle w:val="0"/>
              <w:jc w:val="center"/>
            </w:pPr>
            <w:r>
              <w:rPr>
                <w:sz w:val="20"/>
              </w:rPr>
              <w:t xml:space="preserve">0</w:t>
            </w:r>
          </w:p>
        </w:tc>
        <w:tc>
          <w:tcPr>
            <w:tcW w:w="1065" w:type="dxa"/>
            <w:vAlign w:val="center"/>
          </w:tcPr>
          <w:p>
            <w:pPr>
              <w:pStyle w:val="0"/>
              <w:jc w:val="center"/>
            </w:pPr>
            <w:r>
              <w:rPr>
                <w:sz w:val="20"/>
              </w:rPr>
              <w:t xml:space="preserve">1,01</w:t>
            </w:r>
          </w:p>
        </w:tc>
        <w:tc>
          <w:tcPr>
            <w:tcW w:w="1049" w:type="dxa"/>
            <w:vAlign w:val="center"/>
          </w:tcPr>
          <w:p>
            <w:pPr>
              <w:pStyle w:val="0"/>
              <w:jc w:val="center"/>
            </w:pPr>
            <w:r>
              <w:rPr>
                <w:sz w:val="20"/>
              </w:rPr>
              <w:t xml:space="preserve">0,99</w:t>
            </w:r>
          </w:p>
        </w:tc>
      </w:tr>
    </w:tbl>
    <w:p>
      <w:pPr>
        <w:pStyle w:val="0"/>
        <w:jc w:val="both"/>
      </w:pPr>
      <w:r>
        <w:rPr>
          <w:sz w:val="20"/>
        </w:rPr>
      </w:r>
    </w:p>
    <w:p>
      <w:pPr>
        <w:pStyle w:val="0"/>
        <w:ind w:firstLine="540"/>
        <w:jc w:val="both"/>
      </w:pPr>
      <w:r>
        <w:rPr>
          <w:sz w:val="20"/>
        </w:rPr>
        <w:t xml:space="preserve">Источник: Центр стратегий регионального развития ИПЭИ РАНХиГС.</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Стратегии социально-экономического</w:t>
      </w:r>
    </w:p>
    <w:p>
      <w:pPr>
        <w:pStyle w:val="0"/>
        <w:jc w:val="right"/>
      </w:pPr>
      <w:r>
        <w:rPr>
          <w:sz w:val="20"/>
        </w:rPr>
        <w:t xml:space="preserve">развития Курской области на период</w:t>
      </w:r>
    </w:p>
    <w:p>
      <w:pPr>
        <w:pStyle w:val="0"/>
        <w:jc w:val="right"/>
      </w:pPr>
      <w:r>
        <w:rPr>
          <w:sz w:val="20"/>
        </w:rPr>
        <w:t xml:space="preserve">до 2030 года</w:t>
      </w:r>
    </w:p>
    <w:p>
      <w:pPr>
        <w:pStyle w:val="0"/>
        <w:jc w:val="both"/>
      </w:pPr>
      <w:r>
        <w:rPr>
          <w:sz w:val="20"/>
        </w:rPr>
      </w:r>
    </w:p>
    <w:bookmarkStart w:id="4660" w:name="P4660"/>
    <w:bookmarkEnd w:id="4660"/>
    <w:p>
      <w:pPr>
        <w:pStyle w:val="2"/>
        <w:jc w:val="center"/>
      </w:pPr>
      <w:r>
        <w:rPr>
          <w:sz w:val="20"/>
        </w:rPr>
        <w:t xml:space="preserve">ОСНОВНЫЕ ХАРАКТЕРИСТИКИ</w:t>
      </w:r>
    </w:p>
    <w:p>
      <w:pPr>
        <w:pStyle w:val="2"/>
        <w:jc w:val="center"/>
      </w:pPr>
      <w:r>
        <w:rPr>
          <w:sz w:val="20"/>
        </w:rPr>
        <w:t xml:space="preserve">МУНИЦИПАЛЬНЫХ ОБРАЗОВАНИЙ КУРСКОЙ ОБЛАСТИ</w:t>
      </w:r>
    </w:p>
    <w:p>
      <w:pPr>
        <w:pStyle w:val="0"/>
        <w:jc w:val="both"/>
      </w:pPr>
      <w:r>
        <w:rPr>
          <w:sz w:val="20"/>
        </w:rPr>
      </w:r>
    </w:p>
    <w:p>
      <w:pPr>
        <w:pStyle w:val="0"/>
        <w:ind w:firstLine="540"/>
        <w:jc w:val="both"/>
      </w:pPr>
      <w:r>
        <w:rPr>
          <w:sz w:val="20"/>
        </w:rPr>
        <w:t xml:space="preserve">Основные характеристики муниципальных образований Курской области представлены в таблицах ниже. Как следует из данных таблиц, город Курск является крупнейшим муниципальным образованием Курской области как по численности населения, так и по экономическим показателям.</w:t>
      </w:r>
    </w:p>
    <w:p>
      <w:pPr>
        <w:pStyle w:val="0"/>
        <w:jc w:val="both"/>
      </w:pPr>
      <w:r>
        <w:rPr>
          <w:sz w:val="20"/>
        </w:rPr>
      </w:r>
    </w:p>
    <w:p>
      <w:pPr>
        <w:pStyle w:val="0"/>
        <w:outlineLvl w:val="2"/>
        <w:jc w:val="right"/>
      </w:pPr>
      <w:r>
        <w:rPr>
          <w:sz w:val="20"/>
        </w:rPr>
        <w:t xml:space="preserve">Таблица N 1</w:t>
      </w:r>
    </w:p>
    <w:p>
      <w:pPr>
        <w:pStyle w:val="0"/>
        <w:jc w:val="both"/>
      </w:pPr>
      <w:r>
        <w:rPr>
          <w:sz w:val="20"/>
        </w:rPr>
      </w:r>
    </w:p>
    <w:p>
      <w:pPr>
        <w:pStyle w:val="2"/>
        <w:jc w:val="center"/>
      </w:pPr>
      <w:r>
        <w:rPr>
          <w:sz w:val="20"/>
        </w:rPr>
        <w:t xml:space="preserve">Основные характеристики муниципальных образований</w:t>
      </w:r>
    </w:p>
    <w:p>
      <w:pPr>
        <w:pStyle w:val="2"/>
        <w:jc w:val="center"/>
      </w:pPr>
      <w:r>
        <w:rPr>
          <w:sz w:val="20"/>
        </w:rPr>
        <w:t xml:space="preserve">Курской области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899"/>
        <w:gridCol w:w="1431"/>
        <w:gridCol w:w="1247"/>
        <w:gridCol w:w="1587"/>
        <w:gridCol w:w="1417"/>
        <w:gridCol w:w="1304"/>
        <w:gridCol w:w="1191"/>
      </w:tblGrid>
      <w:tr>
        <w:tc>
          <w:tcPr>
            <w:tcW w:w="510" w:type="dxa"/>
            <w:vAlign w:val="center"/>
          </w:tcPr>
          <w:p>
            <w:pPr>
              <w:pStyle w:val="0"/>
              <w:jc w:val="center"/>
            </w:pPr>
            <w:r>
              <w:rPr>
                <w:sz w:val="20"/>
              </w:rPr>
              <w:t xml:space="preserve">N</w:t>
            </w:r>
          </w:p>
        </w:tc>
        <w:tc>
          <w:tcPr>
            <w:tcW w:w="1899" w:type="dxa"/>
            <w:vAlign w:val="center"/>
          </w:tcPr>
          <w:p>
            <w:pPr>
              <w:pStyle w:val="0"/>
              <w:jc w:val="center"/>
            </w:pPr>
            <w:r>
              <w:rPr>
                <w:sz w:val="20"/>
              </w:rPr>
              <w:t xml:space="preserve">Наименование</w:t>
            </w:r>
          </w:p>
        </w:tc>
        <w:tc>
          <w:tcPr>
            <w:tcW w:w="1431" w:type="dxa"/>
            <w:vAlign w:val="center"/>
          </w:tcPr>
          <w:p>
            <w:pPr>
              <w:pStyle w:val="0"/>
              <w:jc w:val="center"/>
            </w:pPr>
            <w:r>
              <w:rPr>
                <w:sz w:val="20"/>
              </w:rPr>
              <w:t xml:space="preserve">Административный центр</w:t>
            </w:r>
          </w:p>
        </w:tc>
        <w:tc>
          <w:tcPr>
            <w:tcW w:w="1247" w:type="dxa"/>
            <w:vAlign w:val="center"/>
          </w:tcPr>
          <w:p>
            <w:pPr>
              <w:pStyle w:val="0"/>
              <w:jc w:val="center"/>
            </w:pPr>
            <w:r>
              <w:rPr>
                <w:sz w:val="20"/>
              </w:rPr>
              <w:t xml:space="preserve">Площадь, км2</w:t>
            </w:r>
          </w:p>
        </w:tc>
        <w:tc>
          <w:tcPr>
            <w:tcW w:w="1587" w:type="dxa"/>
            <w:vAlign w:val="center"/>
          </w:tcPr>
          <w:p>
            <w:pPr>
              <w:pStyle w:val="0"/>
              <w:jc w:val="center"/>
            </w:pPr>
            <w:r>
              <w:rPr>
                <w:sz w:val="20"/>
              </w:rPr>
              <w:t xml:space="preserve">Оценка численности населения на 1 января 2019 г., тыс. чел.</w:t>
            </w:r>
          </w:p>
        </w:tc>
        <w:tc>
          <w:tcPr>
            <w:tcW w:w="1417" w:type="dxa"/>
            <w:vAlign w:val="center"/>
          </w:tcPr>
          <w:p>
            <w:pPr>
              <w:pStyle w:val="0"/>
              <w:jc w:val="center"/>
            </w:pPr>
            <w:r>
              <w:rPr>
                <w:sz w:val="20"/>
              </w:rPr>
              <w:t xml:space="preserve">Плотность населения, чел./км2</w:t>
            </w:r>
          </w:p>
        </w:tc>
        <w:tc>
          <w:tcPr>
            <w:tcW w:w="1304" w:type="dxa"/>
            <w:vAlign w:val="center"/>
          </w:tcPr>
          <w:p>
            <w:pPr>
              <w:pStyle w:val="0"/>
              <w:jc w:val="center"/>
            </w:pPr>
            <w:r>
              <w:rPr>
                <w:sz w:val="20"/>
              </w:rPr>
              <w:t xml:space="preserve">Городское население, тыс. чел.</w:t>
            </w:r>
          </w:p>
        </w:tc>
        <w:tc>
          <w:tcPr>
            <w:tcW w:w="1191" w:type="dxa"/>
            <w:vAlign w:val="center"/>
          </w:tcPr>
          <w:p>
            <w:pPr>
              <w:pStyle w:val="0"/>
              <w:jc w:val="center"/>
            </w:pPr>
            <w:r>
              <w:rPr>
                <w:sz w:val="20"/>
              </w:rPr>
              <w:t xml:space="preserve">Сельское население, тыс. чел.</w:t>
            </w:r>
          </w:p>
        </w:tc>
      </w:tr>
      <w:tr>
        <w:tc>
          <w:tcPr>
            <w:tcW w:w="510" w:type="dxa"/>
            <w:vAlign w:val="center"/>
          </w:tcPr>
          <w:p>
            <w:pPr>
              <w:pStyle w:val="0"/>
            </w:pPr>
            <w:r>
              <w:rPr>
                <w:sz w:val="20"/>
              </w:rPr>
            </w:r>
          </w:p>
        </w:tc>
        <w:tc>
          <w:tcPr>
            <w:tcW w:w="1899" w:type="dxa"/>
            <w:vAlign w:val="center"/>
          </w:tcPr>
          <w:p>
            <w:pPr>
              <w:pStyle w:val="0"/>
              <w:jc w:val="both"/>
            </w:pPr>
            <w:r>
              <w:rPr>
                <w:sz w:val="20"/>
              </w:rPr>
              <w:t xml:space="preserve">Курская область</w:t>
            </w:r>
          </w:p>
        </w:tc>
        <w:tc>
          <w:tcPr>
            <w:tcW w:w="1431" w:type="dxa"/>
            <w:vAlign w:val="center"/>
          </w:tcPr>
          <w:p>
            <w:pPr>
              <w:pStyle w:val="0"/>
              <w:jc w:val="center"/>
            </w:pPr>
            <w:r>
              <w:rPr>
                <w:sz w:val="20"/>
              </w:rPr>
              <w:t xml:space="preserve">г. Курск</w:t>
            </w:r>
          </w:p>
        </w:tc>
        <w:tc>
          <w:tcPr>
            <w:tcW w:w="1247" w:type="dxa"/>
            <w:vAlign w:val="center"/>
          </w:tcPr>
          <w:p>
            <w:pPr>
              <w:pStyle w:val="0"/>
              <w:jc w:val="center"/>
            </w:pPr>
            <w:r>
              <w:rPr>
                <w:sz w:val="20"/>
              </w:rPr>
              <w:t xml:space="preserve">29987,7</w:t>
            </w:r>
          </w:p>
        </w:tc>
        <w:tc>
          <w:tcPr>
            <w:tcW w:w="1587" w:type="dxa"/>
            <w:vAlign w:val="center"/>
          </w:tcPr>
          <w:p>
            <w:pPr>
              <w:pStyle w:val="0"/>
              <w:jc w:val="center"/>
            </w:pPr>
            <w:r>
              <w:rPr>
                <w:sz w:val="20"/>
              </w:rPr>
              <w:t xml:space="preserve">1107,0</w:t>
            </w:r>
          </w:p>
        </w:tc>
        <w:tc>
          <w:tcPr>
            <w:tcW w:w="1417" w:type="dxa"/>
            <w:vAlign w:val="center"/>
          </w:tcPr>
          <w:p>
            <w:pPr>
              <w:pStyle w:val="0"/>
              <w:jc w:val="center"/>
            </w:pPr>
            <w:r>
              <w:rPr>
                <w:sz w:val="20"/>
              </w:rPr>
              <w:t xml:space="preserve">1115,2</w:t>
            </w:r>
          </w:p>
        </w:tc>
        <w:tc>
          <w:tcPr>
            <w:tcW w:w="1304" w:type="dxa"/>
            <w:vAlign w:val="center"/>
          </w:tcPr>
          <w:p>
            <w:pPr>
              <w:pStyle w:val="0"/>
              <w:jc w:val="center"/>
            </w:pPr>
            <w:r>
              <w:rPr>
                <w:sz w:val="20"/>
              </w:rPr>
              <w:t xml:space="preserve">754,9</w:t>
            </w:r>
          </w:p>
        </w:tc>
        <w:tc>
          <w:tcPr>
            <w:tcW w:w="1191" w:type="dxa"/>
            <w:vAlign w:val="center"/>
          </w:tcPr>
          <w:p>
            <w:pPr>
              <w:pStyle w:val="0"/>
              <w:jc w:val="center"/>
            </w:pPr>
            <w:r>
              <w:rPr>
                <w:sz w:val="20"/>
              </w:rPr>
              <w:t xml:space="preserve">352,1</w:t>
            </w:r>
          </w:p>
        </w:tc>
      </w:tr>
      <w:tr>
        <w:tc>
          <w:tcPr>
            <w:tcW w:w="510" w:type="dxa"/>
            <w:vAlign w:val="center"/>
          </w:tcPr>
          <w:p>
            <w:pPr>
              <w:pStyle w:val="0"/>
              <w:jc w:val="both"/>
            </w:pPr>
            <w:r>
              <w:rPr>
                <w:sz w:val="20"/>
              </w:rPr>
              <w:t xml:space="preserve">I</w:t>
            </w:r>
          </w:p>
        </w:tc>
        <w:tc>
          <w:tcPr>
            <w:tcW w:w="1899" w:type="dxa"/>
            <w:vAlign w:val="center"/>
          </w:tcPr>
          <w:p>
            <w:pPr>
              <w:pStyle w:val="0"/>
              <w:jc w:val="both"/>
            </w:pPr>
            <w:r>
              <w:rPr>
                <w:sz w:val="20"/>
              </w:rPr>
              <w:t xml:space="preserve">Город Курск</w:t>
            </w:r>
          </w:p>
        </w:tc>
        <w:tc>
          <w:tcPr>
            <w:tcW w:w="1431" w:type="dxa"/>
            <w:vAlign w:val="center"/>
          </w:tcPr>
          <w:p>
            <w:pPr>
              <w:pStyle w:val="0"/>
              <w:jc w:val="center"/>
            </w:pPr>
            <w:r>
              <w:rPr>
                <w:sz w:val="20"/>
              </w:rPr>
              <w:t xml:space="preserve">г. Курск</w:t>
            </w:r>
          </w:p>
        </w:tc>
        <w:tc>
          <w:tcPr>
            <w:tcW w:w="1247" w:type="dxa"/>
            <w:vAlign w:val="center"/>
          </w:tcPr>
          <w:p>
            <w:pPr>
              <w:pStyle w:val="0"/>
              <w:jc w:val="center"/>
            </w:pPr>
            <w:r>
              <w:rPr>
                <w:sz w:val="20"/>
              </w:rPr>
              <w:t xml:space="preserve">191,5</w:t>
            </w:r>
          </w:p>
        </w:tc>
        <w:tc>
          <w:tcPr>
            <w:tcW w:w="1587" w:type="dxa"/>
            <w:vAlign w:val="center"/>
          </w:tcPr>
          <w:p>
            <w:pPr>
              <w:pStyle w:val="0"/>
              <w:jc w:val="center"/>
            </w:pPr>
            <w:r>
              <w:rPr>
                <w:sz w:val="20"/>
              </w:rPr>
              <w:t xml:space="preserve">449,6</w:t>
            </w:r>
          </w:p>
        </w:tc>
        <w:tc>
          <w:tcPr>
            <w:tcW w:w="1417" w:type="dxa"/>
            <w:vAlign w:val="center"/>
          </w:tcPr>
          <w:p>
            <w:pPr>
              <w:pStyle w:val="0"/>
              <w:jc w:val="center"/>
            </w:pPr>
            <w:r>
              <w:rPr>
                <w:sz w:val="20"/>
              </w:rPr>
              <w:t xml:space="preserve">2252,5</w:t>
            </w:r>
          </w:p>
        </w:tc>
        <w:tc>
          <w:tcPr>
            <w:tcW w:w="1304" w:type="dxa"/>
            <w:vAlign w:val="center"/>
          </w:tcPr>
          <w:p>
            <w:pPr>
              <w:pStyle w:val="0"/>
              <w:jc w:val="center"/>
            </w:pPr>
            <w:r>
              <w:rPr>
                <w:sz w:val="20"/>
              </w:rPr>
              <w:t xml:space="preserve">449,6</w:t>
            </w:r>
          </w:p>
        </w:tc>
        <w:tc>
          <w:tcPr>
            <w:tcW w:w="1191" w:type="dxa"/>
            <w:vAlign w:val="center"/>
          </w:tcPr>
          <w:p>
            <w:pPr>
              <w:pStyle w:val="0"/>
              <w:jc w:val="center"/>
            </w:pPr>
            <w:r>
              <w:rPr>
                <w:sz w:val="20"/>
              </w:rPr>
              <w:t xml:space="preserve">0</w:t>
            </w:r>
          </w:p>
        </w:tc>
      </w:tr>
      <w:tr>
        <w:tc>
          <w:tcPr>
            <w:tcW w:w="510" w:type="dxa"/>
            <w:vAlign w:val="center"/>
          </w:tcPr>
          <w:p>
            <w:pPr>
              <w:pStyle w:val="0"/>
              <w:jc w:val="both"/>
            </w:pPr>
            <w:r>
              <w:rPr>
                <w:sz w:val="20"/>
              </w:rPr>
              <w:t xml:space="preserve">II</w:t>
            </w:r>
          </w:p>
        </w:tc>
        <w:tc>
          <w:tcPr>
            <w:tcW w:w="1899" w:type="dxa"/>
            <w:vAlign w:val="center"/>
          </w:tcPr>
          <w:p>
            <w:pPr>
              <w:pStyle w:val="0"/>
              <w:jc w:val="both"/>
            </w:pPr>
            <w:r>
              <w:rPr>
                <w:sz w:val="20"/>
              </w:rPr>
              <w:t xml:space="preserve">Город Железногорск</w:t>
            </w:r>
          </w:p>
        </w:tc>
        <w:tc>
          <w:tcPr>
            <w:tcW w:w="1431" w:type="dxa"/>
            <w:vAlign w:val="center"/>
          </w:tcPr>
          <w:p>
            <w:pPr>
              <w:pStyle w:val="0"/>
              <w:jc w:val="center"/>
            </w:pPr>
            <w:r>
              <w:rPr>
                <w:sz w:val="20"/>
              </w:rPr>
              <w:t xml:space="preserve">г. Железногорск</w:t>
            </w:r>
          </w:p>
        </w:tc>
        <w:tc>
          <w:tcPr>
            <w:tcW w:w="1247" w:type="dxa"/>
            <w:vAlign w:val="center"/>
          </w:tcPr>
          <w:p>
            <w:pPr>
              <w:pStyle w:val="0"/>
              <w:jc w:val="center"/>
            </w:pPr>
            <w:r>
              <w:rPr>
                <w:sz w:val="20"/>
              </w:rPr>
              <w:t xml:space="preserve">112,0</w:t>
            </w:r>
          </w:p>
        </w:tc>
        <w:tc>
          <w:tcPr>
            <w:tcW w:w="1587" w:type="dxa"/>
            <w:vAlign w:val="center"/>
          </w:tcPr>
          <w:p>
            <w:pPr>
              <w:pStyle w:val="0"/>
              <w:jc w:val="center"/>
            </w:pPr>
            <w:r>
              <w:rPr>
                <w:sz w:val="20"/>
              </w:rPr>
              <w:t xml:space="preserve">100,5</w:t>
            </w:r>
          </w:p>
        </w:tc>
        <w:tc>
          <w:tcPr>
            <w:tcW w:w="1417" w:type="dxa"/>
            <w:vAlign w:val="center"/>
          </w:tcPr>
          <w:p>
            <w:pPr>
              <w:pStyle w:val="0"/>
              <w:jc w:val="center"/>
            </w:pPr>
            <w:r>
              <w:rPr>
                <w:sz w:val="20"/>
              </w:rPr>
              <w:t xml:space="preserve">900</w:t>
            </w:r>
          </w:p>
        </w:tc>
        <w:tc>
          <w:tcPr>
            <w:tcW w:w="1304" w:type="dxa"/>
            <w:vAlign w:val="center"/>
          </w:tcPr>
          <w:p>
            <w:pPr>
              <w:pStyle w:val="0"/>
              <w:jc w:val="center"/>
            </w:pPr>
            <w:r>
              <w:rPr>
                <w:sz w:val="20"/>
              </w:rPr>
              <w:t xml:space="preserve">100,5</w:t>
            </w:r>
          </w:p>
        </w:tc>
        <w:tc>
          <w:tcPr>
            <w:tcW w:w="1191" w:type="dxa"/>
            <w:vAlign w:val="center"/>
          </w:tcPr>
          <w:p>
            <w:pPr>
              <w:pStyle w:val="0"/>
              <w:jc w:val="center"/>
            </w:pPr>
            <w:r>
              <w:rPr>
                <w:sz w:val="20"/>
              </w:rPr>
              <w:t xml:space="preserve">0</w:t>
            </w:r>
          </w:p>
        </w:tc>
      </w:tr>
      <w:tr>
        <w:tc>
          <w:tcPr>
            <w:tcW w:w="510" w:type="dxa"/>
            <w:vAlign w:val="center"/>
          </w:tcPr>
          <w:p>
            <w:pPr>
              <w:pStyle w:val="0"/>
              <w:jc w:val="both"/>
            </w:pPr>
            <w:r>
              <w:rPr>
                <w:sz w:val="20"/>
              </w:rPr>
              <w:t xml:space="preserve">III</w:t>
            </w:r>
          </w:p>
        </w:tc>
        <w:tc>
          <w:tcPr>
            <w:tcW w:w="1899" w:type="dxa"/>
            <w:vAlign w:val="center"/>
          </w:tcPr>
          <w:p>
            <w:pPr>
              <w:pStyle w:val="0"/>
              <w:jc w:val="both"/>
            </w:pPr>
            <w:r>
              <w:rPr>
                <w:sz w:val="20"/>
              </w:rPr>
              <w:t xml:space="preserve">Город Курчатов</w:t>
            </w:r>
          </w:p>
        </w:tc>
        <w:tc>
          <w:tcPr>
            <w:tcW w:w="1431" w:type="dxa"/>
            <w:vAlign w:val="center"/>
          </w:tcPr>
          <w:p>
            <w:pPr>
              <w:pStyle w:val="0"/>
              <w:jc w:val="center"/>
            </w:pPr>
            <w:r>
              <w:rPr>
                <w:sz w:val="20"/>
              </w:rPr>
              <w:t xml:space="preserve">г. Курчатов</w:t>
            </w:r>
          </w:p>
        </w:tc>
        <w:tc>
          <w:tcPr>
            <w:tcW w:w="1247" w:type="dxa"/>
            <w:vAlign w:val="center"/>
          </w:tcPr>
          <w:p>
            <w:pPr>
              <w:pStyle w:val="0"/>
              <w:jc w:val="center"/>
            </w:pPr>
            <w:r>
              <w:rPr>
                <w:sz w:val="20"/>
              </w:rPr>
              <w:t xml:space="preserve">56,5</w:t>
            </w:r>
          </w:p>
        </w:tc>
        <w:tc>
          <w:tcPr>
            <w:tcW w:w="1587" w:type="dxa"/>
            <w:vAlign w:val="center"/>
          </w:tcPr>
          <w:p>
            <w:pPr>
              <w:pStyle w:val="0"/>
              <w:jc w:val="center"/>
            </w:pPr>
            <w:r>
              <w:rPr>
                <w:sz w:val="20"/>
              </w:rPr>
              <w:t xml:space="preserve">38,2</w:t>
            </w:r>
          </w:p>
        </w:tc>
        <w:tc>
          <w:tcPr>
            <w:tcW w:w="1417" w:type="dxa"/>
            <w:vAlign w:val="center"/>
          </w:tcPr>
          <w:p>
            <w:pPr>
              <w:pStyle w:val="0"/>
              <w:jc w:val="center"/>
            </w:pPr>
            <w:r>
              <w:rPr>
                <w:sz w:val="20"/>
              </w:rPr>
              <w:t xml:space="preserve">679,9</w:t>
            </w:r>
          </w:p>
        </w:tc>
        <w:tc>
          <w:tcPr>
            <w:tcW w:w="1304" w:type="dxa"/>
            <w:vAlign w:val="center"/>
          </w:tcPr>
          <w:p>
            <w:pPr>
              <w:pStyle w:val="0"/>
              <w:jc w:val="center"/>
            </w:pPr>
            <w:r>
              <w:rPr>
                <w:sz w:val="20"/>
              </w:rPr>
              <w:t xml:space="preserve">38,2</w:t>
            </w:r>
          </w:p>
        </w:tc>
        <w:tc>
          <w:tcPr>
            <w:tcW w:w="1191" w:type="dxa"/>
            <w:vAlign w:val="center"/>
          </w:tcPr>
          <w:p>
            <w:pPr>
              <w:pStyle w:val="0"/>
              <w:jc w:val="center"/>
            </w:pPr>
            <w:r>
              <w:rPr>
                <w:sz w:val="20"/>
              </w:rPr>
              <w:t xml:space="preserve">0</w:t>
            </w:r>
          </w:p>
        </w:tc>
      </w:tr>
      <w:tr>
        <w:tc>
          <w:tcPr>
            <w:tcW w:w="510" w:type="dxa"/>
            <w:vAlign w:val="center"/>
          </w:tcPr>
          <w:p>
            <w:pPr>
              <w:pStyle w:val="0"/>
              <w:jc w:val="both"/>
            </w:pPr>
            <w:r>
              <w:rPr>
                <w:sz w:val="20"/>
              </w:rPr>
              <w:t xml:space="preserve">IV</w:t>
            </w:r>
          </w:p>
        </w:tc>
        <w:tc>
          <w:tcPr>
            <w:tcW w:w="1899" w:type="dxa"/>
            <w:vAlign w:val="center"/>
          </w:tcPr>
          <w:p>
            <w:pPr>
              <w:pStyle w:val="0"/>
              <w:jc w:val="both"/>
            </w:pPr>
            <w:r>
              <w:rPr>
                <w:sz w:val="20"/>
              </w:rPr>
              <w:t xml:space="preserve">Город Щигры</w:t>
            </w:r>
          </w:p>
        </w:tc>
        <w:tc>
          <w:tcPr>
            <w:tcW w:w="1431" w:type="dxa"/>
            <w:vAlign w:val="center"/>
          </w:tcPr>
          <w:p>
            <w:pPr>
              <w:pStyle w:val="0"/>
              <w:jc w:val="center"/>
            </w:pPr>
            <w:r>
              <w:rPr>
                <w:sz w:val="20"/>
              </w:rPr>
              <w:t xml:space="preserve">г. Щигры</w:t>
            </w:r>
          </w:p>
        </w:tc>
        <w:tc>
          <w:tcPr>
            <w:tcW w:w="1247" w:type="dxa"/>
            <w:vAlign w:val="center"/>
          </w:tcPr>
          <w:p>
            <w:pPr>
              <w:pStyle w:val="0"/>
              <w:jc w:val="center"/>
            </w:pPr>
            <w:r>
              <w:rPr>
                <w:sz w:val="20"/>
              </w:rPr>
              <w:t xml:space="preserve">22,1</w:t>
            </w:r>
          </w:p>
        </w:tc>
        <w:tc>
          <w:tcPr>
            <w:tcW w:w="1587" w:type="dxa"/>
            <w:vAlign w:val="center"/>
          </w:tcPr>
          <w:p>
            <w:pPr>
              <w:pStyle w:val="0"/>
              <w:jc w:val="center"/>
            </w:pPr>
            <w:r>
              <w:rPr>
                <w:sz w:val="20"/>
              </w:rPr>
              <w:t xml:space="preserve">15,1</w:t>
            </w:r>
          </w:p>
        </w:tc>
        <w:tc>
          <w:tcPr>
            <w:tcW w:w="1417" w:type="dxa"/>
            <w:vAlign w:val="center"/>
          </w:tcPr>
          <w:p>
            <w:pPr>
              <w:pStyle w:val="0"/>
              <w:jc w:val="center"/>
            </w:pPr>
            <w:r>
              <w:rPr>
                <w:sz w:val="20"/>
              </w:rPr>
              <w:t xml:space="preserve">728,2</w:t>
            </w:r>
          </w:p>
        </w:tc>
        <w:tc>
          <w:tcPr>
            <w:tcW w:w="1304" w:type="dxa"/>
            <w:vAlign w:val="center"/>
          </w:tcPr>
          <w:p>
            <w:pPr>
              <w:pStyle w:val="0"/>
              <w:jc w:val="center"/>
            </w:pPr>
            <w:r>
              <w:rPr>
                <w:sz w:val="20"/>
              </w:rPr>
              <w:t xml:space="preserve">15,1</w:t>
            </w:r>
          </w:p>
        </w:tc>
        <w:tc>
          <w:tcPr>
            <w:tcW w:w="1191" w:type="dxa"/>
            <w:vAlign w:val="center"/>
          </w:tcPr>
          <w:p>
            <w:pPr>
              <w:pStyle w:val="0"/>
              <w:jc w:val="center"/>
            </w:pPr>
            <w:r>
              <w:rPr>
                <w:sz w:val="20"/>
              </w:rPr>
              <w:t xml:space="preserve">0</w:t>
            </w:r>
          </w:p>
        </w:tc>
      </w:tr>
      <w:tr>
        <w:tc>
          <w:tcPr>
            <w:tcW w:w="510" w:type="dxa"/>
            <w:vAlign w:val="center"/>
          </w:tcPr>
          <w:p>
            <w:pPr>
              <w:pStyle w:val="0"/>
              <w:jc w:val="both"/>
            </w:pPr>
            <w:r>
              <w:rPr>
                <w:sz w:val="20"/>
              </w:rPr>
              <w:t xml:space="preserve">V</w:t>
            </w:r>
          </w:p>
        </w:tc>
        <w:tc>
          <w:tcPr>
            <w:tcW w:w="1899" w:type="dxa"/>
            <w:vAlign w:val="center"/>
          </w:tcPr>
          <w:p>
            <w:pPr>
              <w:pStyle w:val="0"/>
              <w:jc w:val="both"/>
            </w:pPr>
            <w:r>
              <w:rPr>
                <w:sz w:val="20"/>
              </w:rPr>
              <w:t xml:space="preserve">Город Льгов</w:t>
            </w:r>
          </w:p>
        </w:tc>
        <w:tc>
          <w:tcPr>
            <w:tcW w:w="1431" w:type="dxa"/>
            <w:vAlign w:val="center"/>
          </w:tcPr>
          <w:p>
            <w:pPr>
              <w:pStyle w:val="0"/>
              <w:jc w:val="center"/>
            </w:pPr>
            <w:r>
              <w:rPr>
                <w:sz w:val="20"/>
              </w:rPr>
              <w:t xml:space="preserve">г. Льгов</w:t>
            </w:r>
          </w:p>
        </w:tc>
        <w:tc>
          <w:tcPr>
            <w:tcW w:w="1247" w:type="dxa"/>
            <w:vAlign w:val="center"/>
          </w:tcPr>
          <w:p>
            <w:pPr>
              <w:pStyle w:val="0"/>
              <w:jc w:val="center"/>
            </w:pPr>
            <w:r>
              <w:rPr>
                <w:sz w:val="20"/>
              </w:rPr>
              <w:t xml:space="preserve">37,5</w:t>
            </w:r>
          </w:p>
        </w:tc>
        <w:tc>
          <w:tcPr>
            <w:tcW w:w="1587" w:type="dxa"/>
            <w:vAlign w:val="center"/>
          </w:tcPr>
          <w:p>
            <w:pPr>
              <w:pStyle w:val="0"/>
              <w:jc w:val="center"/>
            </w:pPr>
            <w:r>
              <w:rPr>
                <w:sz w:val="20"/>
              </w:rPr>
              <w:t xml:space="preserve">18,4</w:t>
            </w:r>
          </w:p>
        </w:tc>
        <w:tc>
          <w:tcPr>
            <w:tcW w:w="1417" w:type="dxa"/>
            <w:vAlign w:val="center"/>
          </w:tcPr>
          <w:p>
            <w:pPr>
              <w:pStyle w:val="0"/>
              <w:jc w:val="center"/>
            </w:pPr>
            <w:r>
              <w:rPr>
                <w:sz w:val="20"/>
              </w:rPr>
              <w:t xml:space="preserve">502</w:t>
            </w:r>
          </w:p>
        </w:tc>
        <w:tc>
          <w:tcPr>
            <w:tcW w:w="1304" w:type="dxa"/>
            <w:vAlign w:val="center"/>
          </w:tcPr>
          <w:p>
            <w:pPr>
              <w:pStyle w:val="0"/>
              <w:jc w:val="center"/>
            </w:pPr>
            <w:r>
              <w:rPr>
                <w:sz w:val="20"/>
              </w:rPr>
              <w:t xml:space="preserve">18,4</w:t>
            </w:r>
          </w:p>
        </w:tc>
        <w:tc>
          <w:tcPr>
            <w:tcW w:w="1191" w:type="dxa"/>
            <w:vAlign w:val="center"/>
          </w:tcPr>
          <w:p>
            <w:pPr>
              <w:pStyle w:val="0"/>
              <w:jc w:val="center"/>
            </w:pPr>
            <w:r>
              <w:rPr>
                <w:sz w:val="20"/>
              </w:rPr>
              <w:t xml:space="preserve">0</w:t>
            </w:r>
          </w:p>
        </w:tc>
      </w:tr>
      <w:tr>
        <w:tc>
          <w:tcPr>
            <w:tcW w:w="510" w:type="dxa"/>
            <w:vAlign w:val="center"/>
          </w:tcPr>
          <w:p>
            <w:pPr>
              <w:pStyle w:val="0"/>
              <w:jc w:val="both"/>
            </w:pPr>
            <w:r>
              <w:rPr>
                <w:sz w:val="20"/>
              </w:rPr>
              <w:t xml:space="preserve">1</w:t>
            </w:r>
          </w:p>
        </w:tc>
        <w:tc>
          <w:tcPr>
            <w:tcW w:w="1899" w:type="dxa"/>
            <w:vAlign w:val="center"/>
          </w:tcPr>
          <w:p>
            <w:pPr>
              <w:pStyle w:val="0"/>
              <w:jc w:val="both"/>
            </w:pPr>
            <w:r>
              <w:rPr>
                <w:sz w:val="20"/>
              </w:rPr>
              <w:t xml:space="preserve">Горшеченский район</w:t>
            </w:r>
          </w:p>
        </w:tc>
        <w:tc>
          <w:tcPr>
            <w:tcW w:w="1431" w:type="dxa"/>
            <w:vAlign w:val="center"/>
          </w:tcPr>
          <w:p>
            <w:pPr>
              <w:pStyle w:val="0"/>
              <w:jc w:val="center"/>
            </w:pPr>
            <w:r>
              <w:rPr>
                <w:sz w:val="20"/>
              </w:rPr>
              <w:t xml:space="preserve">п. г. т. Горшечное</w:t>
            </w:r>
          </w:p>
        </w:tc>
        <w:tc>
          <w:tcPr>
            <w:tcW w:w="1247" w:type="dxa"/>
            <w:vAlign w:val="center"/>
          </w:tcPr>
          <w:p>
            <w:pPr>
              <w:pStyle w:val="0"/>
              <w:jc w:val="center"/>
            </w:pPr>
            <w:r>
              <w:rPr>
                <w:sz w:val="20"/>
              </w:rPr>
              <w:t xml:space="preserve">1395,9</w:t>
            </w:r>
          </w:p>
        </w:tc>
        <w:tc>
          <w:tcPr>
            <w:tcW w:w="1587" w:type="dxa"/>
            <w:vAlign w:val="center"/>
          </w:tcPr>
          <w:p>
            <w:pPr>
              <w:pStyle w:val="0"/>
              <w:jc w:val="center"/>
            </w:pPr>
            <w:r>
              <w:rPr>
                <w:sz w:val="20"/>
              </w:rPr>
              <w:t xml:space="preserve">15,2</w:t>
            </w:r>
          </w:p>
        </w:tc>
        <w:tc>
          <w:tcPr>
            <w:tcW w:w="1417" w:type="dxa"/>
            <w:vAlign w:val="center"/>
          </w:tcPr>
          <w:p>
            <w:pPr>
              <w:pStyle w:val="0"/>
              <w:jc w:val="center"/>
            </w:pPr>
            <w:r>
              <w:rPr>
                <w:sz w:val="20"/>
              </w:rPr>
              <w:t xml:space="preserve">11,18</w:t>
            </w:r>
          </w:p>
        </w:tc>
        <w:tc>
          <w:tcPr>
            <w:tcW w:w="1304" w:type="dxa"/>
            <w:vAlign w:val="center"/>
          </w:tcPr>
          <w:p>
            <w:pPr>
              <w:pStyle w:val="0"/>
              <w:jc w:val="center"/>
            </w:pPr>
            <w:r>
              <w:rPr>
                <w:sz w:val="20"/>
              </w:rPr>
              <w:t xml:space="preserve">5,3</w:t>
            </w:r>
          </w:p>
        </w:tc>
        <w:tc>
          <w:tcPr>
            <w:tcW w:w="1191" w:type="dxa"/>
            <w:vAlign w:val="center"/>
          </w:tcPr>
          <w:p>
            <w:pPr>
              <w:pStyle w:val="0"/>
              <w:jc w:val="center"/>
            </w:pPr>
            <w:r>
              <w:rPr>
                <w:sz w:val="20"/>
              </w:rPr>
              <w:t xml:space="preserve">9,9</w:t>
            </w:r>
          </w:p>
        </w:tc>
      </w:tr>
      <w:tr>
        <w:tc>
          <w:tcPr>
            <w:tcW w:w="510" w:type="dxa"/>
            <w:vAlign w:val="center"/>
          </w:tcPr>
          <w:p>
            <w:pPr>
              <w:pStyle w:val="0"/>
              <w:jc w:val="both"/>
            </w:pPr>
            <w:r>
              <w:rPr>
                <w:sz w:val="20"/>
              </w:rPr>
              <w:t xml:space="preserve">2</w:t>
            </w:r>
          </w:p>
        </w:tc>
        <w:tc>
          <w:tcPr>
            <w:tcW w:w="1899" w:type="dxa"/>
            <w:vAlign w:val="center"/>
          </w:tcPr>
          <w:p>
            <w:pPr>
              <w:pStyle w:val="0"/>
              <w:jc w:val="both"/>
            </w:pPr>
            <w:r>
              <w:rPr>
                <w:sz w:val="20"/>
              </w:rPr>
              <w:t xml:space="preserve">Пристенский район</w:t>
            </w:r>
          </w:p>
        </w:tc>
        <w:tc>
          <w:tcPr>
            <w:tcW w:w="1431" w:type="dxa"/>
            <w:vAlign w:val="center"/>
          </w:tcPr>
          <w:p>
            <w:pPr>
              <w:pStyle w:val="0"/>
              <w:jc w:val="center"/>
            </w:pPr>
            <w:r>
              <w:rPr>
                <w:sz w:val="20"/>
              </w:rPr>
              <w:t xml:space="preserve">п. г. т. Пристень</w:t>
            </w:r>
          </w:p>
        </w:tc>
        <w:tc>
          <w:tcPr>
            <w:tcW w:w="1247" w:type="dxa"/>
            <w:vAlign w:val="center"/>
          </w:tcPr>
          <w:p>
            <w:pPr>
              <w:pStyle w:val="0"/>
              <w:jc w:val="center"/>
            </w:pPr>
            <w:r>
              <w:rPr>
                <w:sz w:val="20"/>
              </w:rPr>
              <w:t xml:space="preserve">1001,2</w:t>
            </w:r>
          </w:p>
        </w:tc>
        <w:tc>
          <w:tcPr>
            <w:tcW w:w="1587" w:type="dxa"/>
            <w:vAlign w:val="center"/>
          </w:tcPr>
          <w:p>
            <w:pPr>
              <w:pStyle w:val="0"/>
              <w:jc w:val="center"/>
            </w:pPr>
            <w:r>
              <w:rPr>
                <w:sz w:val="20"/>
              </w:rPr>
              <w:t xml:space="preserve">14,9</w:t>
            </w:r>
          </w:p>
        </w:tc>
        <w:tc>
          <w:tcPr>
            <w:tcW w:w="1417" w:type="dxa"/>
            <w:vAlign w:val="center"/>
          </w:tcPr>
          <w:p>
            <w:pPr>
              <w:pStyle w:val="0"/>
              <w:jc w:val="center"/>
            </w:pPr>
            <w:r>
              <w:rPr>
                <w:sz w:val="20"/>
              </w:rPr>
              <w:t xml:space="preserve">15,3</w:t>
            </w:r>
          </w:p>
        </w:tc>
        <w:tc>
          <w:tcPr>
            <w:tcW w:w="1304" w:type="dxa"/>
            <w:vAlign w:val="center"/>
          </w:tcPr>
          <w:p>
            <w:pPr>
              <w:pStyle w:val="0"/>
              <w:jc w:val="center"/>
            </w:pPr>
            <w:r>
              <w:rPr>
                <w:sz w:val="20"/>
              </w:rPr>
              <w:t xml:space="preserve">7,5</w:t>
            </w:r>
          </w:p>
        </w:tc>
        <w:tc>
          <w:tcPr>
            <w:tcW w:w="1191" w:type="dxa"/>
            <w:vAlign w:val="center"/>
          </w:tcPr>
          <w:p>
            <w:pPr>
              <w:pStyle w:val="0"/>
              <w:jc w:val="center"/>
            </w:pPr>
            <w:r>
              <w:rPr>
                <w:sz w:val="20"/>
              </w:rPr>
              <w:t xml:space="preserve">7,4</w:t>
            </w:r>
          </w:p>
        </w:tc>
      </w:tr>
      <w:tr>
        <w:tc>
          <w:tcPr>
            <w:tcW w:w="510" w:type="dxa"/>
            <w:vAlign w:val="center"/>
          </w:tcPr>
          <w:p>
            <w:pPr>
              <w:pStyle w:val="0"/>
              <w:jc w:val="both"/>
            </w:pPr>
            <w:r>
              <w:rPr>
                <w:sz w:val="20"/>
              </w:rPr>
              <w:t xml:space="preserve">3</w:t>
            </w:r>
          </w:p>
        </w:tc>
        <w:tc>
          <w:tcPr>
            <w:tcW w:w="1899" w:type="dxa"/>
            <w:vAlign w:val="center"/>
          </w:tcPr>
          <w:p>
            <w:pPr>
              <w:pStyle w:val="0"/>
              <w:jc w:val="both"/>
            </w:pPr>
            <w:r>
              <w:rPr>
                <w:sz w:val="20"/>
              </w:rPr>
              <w:t xml:space="preserve">Суджанский район</w:t>
            </w:r>
          </w:p>
        </w:tc>
        <w:tc>
          <w:tcPr>
            <w:tcW w:w="1431" w:type="dxa"/>
            <w:vAlign w:val="center"/>
          </w:tcPr>
          <w:p>
            <w:pPr>
              <w:pStyle w:val="0"/>
              <w:jc w:val="center"/>
            </w:pPr>
            <w:r>
              <w:rPr>
                <w:sz w:val="20"/>
              </w:rPr>
              <w:t xml:space="preserve">г. Суджа</w:t>
            </w:r>
          </w:p>
        </w:tc>
        <w:tc>
          <w:tcPr>
            <w:tcW w:w="1247" w:type="dxa"/>
            <w:vAlign w:val="center"/>
          </w:tcPr>
          <w:p>
            <w:pPr>
              <w:pStyle w:val="0"/>
              <w:jc w:val="center"/>
            </w:pPr>
            <w:r>
              <w:rPr>
                <w:sz w:val="20"/>
              </w:rPr>
              <w:t xml:space="preserve">994,7</w:t>
            </w:r>
          </w:p>
        </w:tc>
        <w:tc>
          <w:tcPr>
            <w:tcW w:w="1587" w:type="dxa"/>
            <w:vAlign w:val="center"/>
          </w:tcPr>
          <w:p>
            <w:pPr>
              <w:pStyle w:val="0"/>
              <w:jc w:val="center"/>
            </w:pPr>
            <w:r>
              <w:rPr>
                <w:sz w:val="20"/>
              </w:rPr>
              <w:t xml:space="preserve">26,5</w:t>
            </w:r>
          </w:p>
        </w:tc>
        <w:tc>
          <w:tcPr>
            <w:tcW w:w="1417" w:type="dxa"/>
            <w:vAlign w:val="center"/>
          </w:tcPr>
          <w:p>
            <w:pPr>
              <w:pStyle w:val="0"/>
              <w:jc w:val="center"/>
            </w:pPr>
            <w:r>
              <w:rPr>
                <w:sz w:val="20"/>
              </w:rPr>
              <w:t xml:space="preserve">26,8</w:t>
            </w:r>
          </w:p>
        </w:tc>
        <w:tc>
          <w:tcPr>
            <w:tcW w:w="1304" w:type="dxa"/>
            <w:vAlign w:val="center"/>
          </w:tcPr>
          <w:p>
            <w:pPr>
              <w:pStyle w:val="0"/>
              <w:jc w:val="center"/>
            </w:pPr>
            <w:r>
              <w:rPr>
                <w:sz w:val="20"/>
              </w:rPr>
              <w:t xml:space="preserve">5,7</w:t>
            </w:r>
          </w:p>
        </w:tc>
        <w:tc>
          <w:tcPr>
            <w:tcW w:w="1191" w:type="dxa"/>
            <w:vAlign w:val="center"/>
          </w:tcPr>
          <w:p>
            <w:pPr>
              <w:pStyle w:val="0"/>
              <w:jc w:val="center"/>
            </w:pPr>
            <w:r>
              <w:rPr>
                <w:sz w:val="20"/>
              </w:rPr>
              <w:t xml:space="preserve">20,8</w:t>
            </w:r>
          </w:p>
        </w:tc>
      </w:tr>
      <w:tr>
        <w:tc>
          <w:tcPr>
            <w:tcW w:w="510" w:type="dxa"/>
            <w:vAlign w:val="center"/>
          </w:tcPr>
          <w:p>
            <w:pPr>
              <w:pStyle w:val="0"/>
              <w:jc w:val="both"/>
            </w:pPr>
            <w:r>
              <w:rPr>
                <w:sz w:val="20"/>
              </w:rPr>
              <w:t xml:space="preserve">4</w:t>
            </w:r>
          </w:p>
        </w:tc>
        <w:tc>
          <w:tcPr>
            <w:tcW w:w="1899" w:type="dxa"/>
            <w:vAlign w:val="center"/>
          </w:tcPr>
          <w:p>
            <w:pPr>
              <w:pStyle w:val="0"/>
              <w:jc w:val="both"/>
            </w:pPr>
            <w:r>
              <w:rPr>
                <w:sz w:val="20"/>
              </w:rPr>
              <w:t xml:space="preserve">Конышевский район</w:t>
            </w:r>
          </w:p>
        </w:tc>
        <w:tc>
          <w:tcPr>
            <w:tcW w:w="1431" w:type="dxa"/>
            <w:vAlign w:val="center"/>
          </w:tcPr>
          <w:p>
            <w:pPr>
              <w:pStyle w:val="0"/>
              <w:jc w:val="center"/>
            </w:pPr>
            <w:r>
              <w:rPr>
                <w:sz w:val="20"/>
              </w:rPr>
              <w:t xml:space="preserve">п.г.т. Конышевка</w:t>
            </w:r>
          </w:p>
        </w:tc>
        <w:tc>
          <w:tcPr>
            <w:tcW w:w="1247" w:type="dxa"/>
            <w:vAlign w:val="center"/>
          </w:tcPr>
          <w:p>
            <w:pPr>
              <w:pStyle w:val="0"/>
              <w:jc w:val="center"/>
            </w:pPr>
            <w:r>
              <w:rPr>
                <w:sz w:val="20"/>
              </w:rPr>
              <w:t xml:space="preserve">1134,8</w:t>
            </w:r>
          </w:p>
        </w:tc>
        <w:tc>
          <w:tcPr>
            <w:tcW w:w="1587" w:type="dxa"/>
            <w:vAlign w:val="center"/>
          </w:tcPr>
          <w:p>
            <w:pPr>
              <w:pStyle w:val="0"/>
              <w:jc w:val="center"/>
            </w:pPr>
            <w:r>
              <w:rPr>
                <w:sz w:val="20"/>
              </w:rPr>
              <w:t xml:space="preserve">8,2</w:t>
            </w:r>
          </w:p>
        </w:tc>
        <w:tc>
          <w:tcPr>
            <w:tcW w:w="1417" w:type="dxa"/>
            <w:vAlign w:val="center"/>
          </w:tcPr>
          <w:p>
            <w:pPr>
              <w:pStyle w:val="0"/>
              <w:jc w:val="center"/>
            </w:pPr>
            <w:r>
              <w:rPr>
                <w:sz w:val="20"/>
              </w:rPr>
              <w:t xml:space="preserve">7,5</w:t>
            </w:r>
          </w:p>
        </w:tc>
        <w:tc>
          <w:tcPr>
            <w:tcW w:w="1304" w:type="dxa"/>
            <w:vAlign w:val="center"/>
          </w:tcPr>
          <w:p>
            <w:pPr>
              <w:pStyle w:val="0"/>
              <w:jc w:val="center"/>
            </w:pPr>
            <w:r>
              <w:rPr>
                <w:sz w:val="20"/>
              </w:rPr>
              <w:t xml:space="preserve">3,4</w:t>
            </w:r>
          </w:p>
        </w:tc>
        <w:tc>
          <w:tcPr>
            <w:tcW w:w="1191" w:type="dxa"/>
            <w:vAlign w:val="center"/>
          </w:tcPr>
          <w:p>
            <w:pPr>
              <w:pStyle w:val="0"/>
              <w:jc w:val="center"/>
            </w:pPr>
            <w:r>
              <w:rPr>
                <w:sz w:val="20"/>
              </w:rPr>
              <w:t xml:space="preserve">4,8</w:t>
            </w:r>
          </w:p>
        </w:tc>
      </w:tr>
      <w:tr>
        <w:tc>
          <w:tcPr>
            <w:tcW w:w="510" w:type="dxa"/>
            <w:vAlign w:val="center"/>
          </w:tcPr>
          <w:p>
            <w:pPr>
              <w:pStyle w:val="0"/>
              <w:jc w:val="both"/>
            </w:pPr>
            <w:r>
              <w:rPr>
                <w:sz w:val="20"/>
              </w:rPr>
              <w:t xml:space="preserve">5</w:t>
            </w:r>
          </w:p>
        </w:tc>
        <w:tc>
          <w:tcPr>
            <w:tcW w:w="1899" w:type="dxa"/>
            <w:vAlign w:val="center"/>
          </w:tcPr>
          <w:p>
            <w:pPr>
              <w:pStyle w:val="0"/>
              <w:jc w:val="both"/>
            </w:pPr>
            <w:r>
              <w:rPr>
                <w:sz w:val="20"/>
              </w:rPr>
              <w:t xml:space="preserve">Курский район</w:t>
            </w:r>
          </w:p>
        </w:tc>
        <w:tc>
          <w:tcPr>
            <w:tcW w:w="1431" w:type="dxa"/>
            <w:vAlign w:val="center"/>
          </w:tcPr>
          <w:p>
            <w:pPr>
              <w:pStyle w:val="0"/>
              <w:jc w:val="center"/>
            </w:pPr>
            <w:r>
              <w:rPr>
                <w:sz w:val="20"/>
              </w:rPr>
              <w:t xml:space="preserve">г. Курск</w:t>
            </w:r>
          </w:p>
        </w:tc>
        <w:tc>
          <w:tcPr>
            <w:tcW w:w="1247" w:type="dxa"/>
            <w:vAlign w:val="center"/>
          </w:tcPr>
          <w:p>
            <w:pPr>
              <w:pStyle w:val="0"/>
              <w:jc w:val="center"/>
            </w:pPr>
            <w:r>
              <w:rPr>
                <w:sz w:val="20"/>
              </w:rPr>
              <w:t xml:space="preserve">1654,22</w:t>
            </w:r>
          </w:p>
        </w:tc>
        <w:tc>
          <w:tcPr>
            <w:tcW w:w="1587" w:type="dxa"/>
            <w:vAlign w:val="center"/>
          </w:tcPr>
          <w:p>
            <w:pPr>
              <w:pStyle w:val="0"/>
              <w:jc w:val="center"/>
            </w:pPr>
            <w:r>
              <w:rPr>
                <w:sz w:val="20"/>
              </w:rPr>
              <w:t xml:space="preserve">57,7</w:t>
            </w:r>
          </w:p>
        </w:tc>
        <w:tc>
          <w:tcPr>
            <w:tcW w:w="1417" w:type="dxa"/>
            <w:vAlign w:val="center"/>
          </w:tcPr>
          <w:p>
            <w:pPr>
              <w:pStyle w:val="0"/>
              <w:jc w:val="center"/>
            </w:pPr>
            <w:r>
              <w:rPr>
                <w:sz w:val="20"/>
              </w:rPr>
              <w:t xml:space="preserve">34,9</w:t>
            </w:r>
          </w:p>
        </w:tc>
        <w:tc>
          <w:tcPr>
            <w:tcW w:w="1304" w:type="dxa"/>
            <w:vAlign w:val="center"/>
          </w:tcPr>
          <w:p>
            <w:pPr>
              <w:pStyle w:val="0"/>
              <w:jc w:val="center"/>
            </w:pPr>
            <w:r>
              <w:rPr>
                <w:sz w:val="20"/>
              </w:rPr>
              <w:t xml:space="preserve">0</w:t>
            </w:r>
          </w:p>
        </w:tc>
        <w:tc>
          <w:tcPr>
            <w:tcW w:w="1191" w:type="dxa"/>
            <w:vAlign w:val="center"/>
          </w:tcPr>
          <w:p>
            <w:pPr>
              <w:pStyle w:val="0"/>
              <w:jc w:val="center"/>
            </w:pPr>
            <w:r>
              <w:rPr>
                <w:sz w:val="20"/>
              </w:rPr>
              <w:t xml:space="preserve">57,7</w:t>
            </w:r>
          </w:p>
        </w:tc>
      </w:tr>
      <w:tr>
        <w:tc>
          <w:tcPr>
            <w:tcW w:w="510" w:type="dxa"/>
            <w:vAlign w:val="center"/>
          </w:tcPr>
          <w:p>
            <w:pPr>
              <w:pStyle w:val="0"/>
              <w:jc w:val="both"/>
            </w:pPr>
            <w:r>
              <w:rPr>
                <w:sz w:val="20"/>
              </w:rPr>
              <w:t xml:space="preserve">6</w:t>
            </w:r>
          </w:p>
        </w:tc>
        <w:tc>
          <w:tcPr>
            <w:tcW w:w="1899" w:type="dxa"/>
            <w:vAlign w:val="center"/>
          </w:tcPr>
          <w:p>
            <w:pPr>
              <w:pStyle w:val="0"/>
              <w:jc w:val="both"/>
            </w:pPr>
            <w:r>
              <w:rPr>
                <w:sz w:val="20"/>
              </w:rPr>
              <w:t xml:space="preserve">Касторенский район</w:t>
            </w:r>
          </w:p>
        </w:tc>
        <w:tc>
          <w:tcPr>
            <w:tcW w:w="1431" w:type="dxa"/>
            <w:vAlign w:val="center"/>
          </w:tcPr>
          <w:p>
            <w:pPr>
              <w:pStyle w:val="0"/>
              <w:jc w:val="center"/>
            </w:pPr>
            <w:r>
              <w:rPr>
                <w:sz w:val="20"/>
              </w:rPr>
              <w:t xml:space="preserve">рабочий поселок Касторное</w:t>
            </w:r>
          </w:p>
        </w:tc>
        <w:tc>
          <w:tcPr>
            <w:tcW w:w="1247" w:type="dxa"/>
            <w:vAlign w:val="center"/>
          </w:tcPr>
          <w:p>
            <w:pPr>
              <w:pStyle w:val="0"/>
              <w:jc w:val="center"/>
            </w:pPr>
            <w:r>
              <w:rPr>
                <w:sz w:val="20"/>
              </w:rPr>
              <w:t xml:space="preserve">1225,3</w:t>
            </w:r>
          </w:p>
        </w:tc>
        <w:tc>
          <w:tcPr>
            <w:tcW w:w="1587" w:type="dxa"/>
            <w:vAlign w:val="center"/>
          </w:tcPr>
          <w:p>
            <w:pPr>
              <w:pStyle w:val="0"/>
              <w:jc w:val="center"/>
            </w:pPr>
            <w:r>
              <w:rPr>
                <w:sz w:val="20"/>
              </w:rPr>
              <w:t xml:space="preserve">14,5</w:t>
            </w:r>
          </w:p>
        </w:tc>
        <w:tc>
          <w:tcPr>
            <w:tcW w:w="1417" w:type="dxa"/>
            <w:vAlign w:val="center"/>
          </w:tcPr>
          <w:p>
            <w:pPr>
              <w:pStyle w:val="0"/>
              <w:jc w:val="center"/>
            </w:pPr>
            <w:r>
              <w:rPr>
                <w:sz w:val="20"/>
              </w:rPr>
              <w:t xml:space="preserve">12,1</w:t>
            </w:r>
          </w:p>
        </w:tc>
        <w:tc>
          <w:tcPr>
            <w:tcW w:w="1304" w:type="dxa"/>
            <w:vAlign w:val="center"/>
          </w:tcPr>
          <w:p>
            <w:pPr>
              <w:pStyle w:val="0"/>
              <w:jc w:val="center"/>
            </w:pPr>
            <w:r>
              <w:rPr>
                <w:sz w:val="20"/>
              </w:rPr>
              <w:t xml:space="preserve">7,1</w:t>
            </w:r>
          </w:p>
        </w:tc>
        <w:tc>
          <w:tcPr>
            <w:tcW w:w="1191" w:type="dxa"/>
            <w:vAlign w:val="center"/>
          </w:tcPr>
          <w:p>
            <w:pPr>
              <w:pStyle w:val="0"/>
              <w:jc w:val="center"/>
            </w:pPr>
            <w:r>
              <w:rPr>
                <w:sz w:val="20"/>
              </w:rPr>
              <w:t xml:space="preserve">7,4</w:t>
            </w:r>
          </w:p>
        </w:tc>
      </w:tr>
      <w:tr>
        <w:tc>
          <w:tcPr>
            <w:tcW w:w="510" w:type="dxa"/>
            <w:vAlign w:val="center"/>
          </w:tcPr>
          <w:p>
            <w:pPr>
              <w:pStyle w:val="0"/>
              <w:jc w:val="both"/>
            </w:pPr>
            <w:r>
              <w:rPr>
                <w:sz w:val="20"/>
              </w:rPr>
              <w:t xml:space="preserve">7</w:t>
            </w:r>
          </w:p>
        </w:tc>
        <w:tc>
          <w:tcPr>
            <w:tcW w:w="1899" w:type="dxa"/>
            <w:vAlign w:val="center"/>
          </w:tcPr>
          <w:p>
            <w:pPr>
              <w:pStyle w:val="0"/>
              <w:jc w:val="both"/>
            </w:pPr>
            <w:r>
              <w:rPr>
                <w:sz w:val="20"/>
              </w:rPr>
              <w:t xml:space="preserve">Рыльский район</w:t>
            </w:r>
          </w:p>
        </w:tc>
        <w:tc>
          <w:tcPr>
            <w:tcW w:w="1431" w:type="dxa"/>
            <w:vAlign w:val="center"/>
          </w:tcPr>
          <w:p>
            <w:pPr>
              <w:pStyle w:val="0"/>
              <w:jc w:val="center"/>
            </w:pPr>
            <w:r>
              <w:rPr>
                <w:sz w:val="20"/>
              </w:rPr>
              <w:t xml:space="preserve">г. Рыльск</w:t>
            </w:r>
          </w:p>
        </w:tc>
        <w:tc>
          <w:tcPr>
            <w:tcW w:w="1247" w:type="dxa"/>
            <w:vAlign w:val="center"/>
          </w:tcPr>
          <w:p>
            <w:pPr>
              <w:pStyle w:val="0"/>
              <w:jc w:val="center"/>
            </w:pPr>
            <w:r>
              <w:rPr>
                <w:sz w:val="20"/>
              </w:rPr>
              <w:t xml:space="preserve">1505,0</w:t>
            </w:r>
          </w:p>
        </w:tc>
        <w:tc>
          <w:tcPr>
            <w:tcW w:w="1587" w:type="dxa"/>
            <w:vAlign w:val="center"/>
          </w:tcPr>
          <w:p>
            <w:pPr>
              <w:pStyle w:val="0"/>
              <w:jc w:val="center"/>
            </w:pPr>
            <w:r>
              <w:rPr>
                <w:sz w:val="20"/>
              </w:rPr>
              <w:t xml:space="preserve">30,7</w:t>
            </w:r>
          </w:p>
        </w:tc>
        <w:tc>
          <w:tcPr>
            <w:tcW w:w="1417" w:type="dxa"/>
            <w:vAlign w:val="center"/>
          </w:tcPr>
          <w:p>
            <w:pPr>
              <w:pStyle w:val="0"/>
              <w:jc w:val="center"/>
            </w:pPr>
            <w:r>
              <w:rPr>
                <w:sz w:val="20"/>
              </w:rPr>
              <w:t xml:space="preserve">20,7</w:t>
            </w:r>
          </w:p>
        </w:tc>
        <w:tc>
          <w:tcPr>
            <w:tcW w:w="1304" w:type="dxa"/>
            <w:vAlign w:val="center"/>
          </w:tcPr>
          <w:p>
            <w:pPr>
              <w:pStyle w:val="0"/>
              <w:jc w:val="center"/>
            </w:pPr>
            <w:r>
              <w:rPr>
                <w:sz w:val="20"/>
              </w:rPr>
              <w:t xml:space="preserve">16,0</w:t>
            </w:r>
          </w:p>
        </w:tc>
        <w:tc>
          <w:tcPr>
            <w:tcW w:w="1191" w:type="dxa"/>
            <w:vAlign w:val="center"/>
          </w:tcPr>
          <w:p>
            <w:pPr>
              <w:pStyle w:val="0"/>
              <w:jc w:val="center"/>
            </w:pPr>
            <w:r>
              <w:rPr>
                <w:sz w:val="20"/>
              </w:rPr>
              <w:t xml:space="preserve">14,7</w:t>
            </w:r>
          </w:p>
        </w:tc>
      </w:tr>
      <w:tr>
        <w:tc>
          <w:tcPr>
            <w:tcW w:w="510" w:type="dxa"/>
            <w:vAlign w:val="center"/>
          </w:tcPr>
          <w:p>
            <w:pPr>
              <w:pStyle w:val="0"/>
              <w:jc w:val="both"/>
            </w:pPr>
            <w:r>
              <w:rPr>
                <w:sz w:val="20"/>
              </w:rPr>
              <w:t xml:space="preserve">8</w:t>
            </w:r>
          </w:p>
        </w:tc>
        <w:tc>
          <w:tcPr>
            <w:tcW w:w="1899" w:type="dxa"/>
            <w:vAlign w:val="center"/>
          </w:tcPr>
          <w:p>
            <w:pPr>
              <w:pStyle w:val="0"/>
              <w:jc w:val="both"/>
            </w:pPr>
            <w:r>
              <w:rPr>
                <w:sz w:val="20"/>
              </w:rPr>
              <w:t xml:space="preserve">Советский район</w:t>
            </w:r>
          </w:p>
        </w:tc>
        <w:tc>
          <w:tcPr>
            <w:tcW w:w="1431" w:type="dxa"/>
            <w:vAlign w:val="center"/>
          </w:tcPr>
          <w:p>
            <w:pPr>
              <w:pStyle w:val="0"/>
              <w:jc w:val="center"/>
            </w:pPr>
            <w:r>
              <w:rPr>
                <w:sz w:val="20"/>
              </w:rPr>
              <w:t xml:space="preserve">п.г.т. Кшенский</w:t>
            </w:r>
          </w:p>
        </w:tc>
        <w:tc>
          <w:tcPr>
            <w:tcW w:w="1247" w:type="dxa"/>
            <w:vAlign w:val="center"/>
          </w:tcPr>
          <w:p>
            <w:pPr>
              <w:pStyle w:val="0"/>
              <w:jc w:val="center"/>
            </w:pPr>
            <w:r>
              <w:rPr>
                <w:sz w:val="20"/>
              </w:rPr>
              <w:t xml:space="preserve">1201,3</w:t>
            </w:r>
          </w:p>
        </w:tc>
        <w:tc>
          <w:tcPr>
            <w:tcW w:w="1587" w:type="dxa"/>
            <w:vAlign w:val="center"/>
          </w:tcPr>
          <w:p>
            <w:pPr>
              <w:pStyle w:val="0"/>
              <w:jc w:val="center"/>
            </w:pPr>
            <w:r>
              <w:rPr>
                <w:sz w:val="20"/>
              </w:rPr>
              <w:t xml:space="preserve">16,7</w:t>
            </w:r>
          </w:p>
        </w:tc>
        <w:tc>
          <w:tcPr>
            <w:tcW w:w="1417" w:type="dxa"/>
            <w:vAlign w:val="center"/>
          </w:tcPr>
          <w:p>
            <w:pPr>
              <w:pStyle w:val="0"/>
              <w:jc w:val="center"/>
            </w:pPr>
            <w:r>
              <w:rPr>
                <w:sz w:val="20"/>
              </w:rPr>
              <w:t xml:space="preserve">14,0</w:t>
            </w:r>
          </w:p>
        </w:tc>
        <w:tc>
          <w:tcPr>
            <w:tcW w:w="1304" w:type="dxa"/>
            <w:vAlign w:val="center"/>
          </w:tcPr>
          <w:p>
            <w:pPr>
              <w:pStyle w:val="0"/>
              <w:jc w:val="center"/>
            </w:pPr>
            <w:r>
              <w:rPr>
                <w:sz w:val="20"/>
              </w:rPr>
              <w:t xml:space="preserve">5,5</w:t>
            </w:r>
          </w:p>
        </w:tc>
        <w:tc>
          <w:tcPr>
            <w:tcW w:w="1191" w:type="dxa"/>
            <w:vAlign w:val="center"/>
          </w:tcPr>
          <w:p>
            <w:pPr>
              <w:pStyle w:val="0"/>
              <w:jc w:val="center"/>
            </w:pPr>
            <w:r>
              <w:rPr>
                <w:sz w:val="20"/>
              </w:rPr>
              <w:t xml:space="preserve">11,2</w:t>
            </w:r>
          </w:p>
        </w:tc>
      </w:tr>
      <w:tr>
        <w:tc>
          <w:tcPr>
            <w:tcW w:w="510" w:type="dxa"/>
            <w:vAlign w:val="center"/>
          </w:tcPr>
          <w:p>
            <w:pPr>
              <w:pStyle w:val="0"/>
              <w:jc w:val="both"/>
            </w:pPr>
            <w:r>
              <w:rPr>
                <w:sz w:val="20"/>
              </w:rPr>
              <w:t xml:space="preserve">9</w:t>
            </w:r>
          </w:p>
        </w:tc>
        <w:tc>
          <w:tcPr>
            <w:tcW w:w="1899" w:type="dxa"/>
            <w:vAlign w:val="center"/>
          </w:tcPr>
          <w:p>
            <w:pPr>
              <w:pStyle w:val="0"/>
              <w:jc w:val="both"/>
            </w:pPr>
            <w:r>
              <w:rPr>
                <w:sz w:val="20"/>
              </w:rPr>
              <w:t xml:space="preserve">Золотухинский район</w:t>
            </w:r>
          </w:p>
        </w:tc>
        <w:tc>
          <w:tcPr>
            <w:tcW w:w="1431" w:type="dxa"/>
            <w:vAlign w:val="center"/>
          </w:tcPr>
          <w:p>
            <w:pPr>
              <w:pStyle w:val="0"/>
              <w:jc w:val="center"/>
            </w:pPr>
            <w:r>
              <w:rPr>
                <w:sz w:val="20"/>
              </w:rPr>
              <w:t xml:space="preserve">п.г.т. Золотухино</w:t>
            </w:r>
          </w:p>
        </w:tc>
        <w:tc>
          <w:tcPr>
            <w:tcW w:w="1247" w:type="dxa"/>
            <w:vAlign w:val="center"/>
          </w:tcPr>
          <w:p>
            <w:pPr>
              <w:pStyle w:val="0"/>
              <w:jc w:val="center"/>
            </w:pPr>
            <w:r>
              <w:rPr>
                <w:sz w:val="20"/>
              </w:rPr>
              <w:t xml:space="preserve">1157,3</w:t>
            </w:r>
          </w:p>
        </w:tc>
        <w:tc>
          <w:tcPr>
            <w:tcW w:w="1587" w:type="dxa"/>
            <w:vAlign w:val="center"/>
          </w:tcPr>
          <w:p>
            <w:pPr>
              <w:pStyle w:val="0"/>
              <w:jc w:val="center"/>
            </w:pPr>
            <w:r>
              <w:rPr>
                <w:sz w:val="20"/>
              </w:rPr>
              <w:t xml:space="preserve">21,0</w:t>
            </w:r>
          </w:p>
        </w:tc>
        <w:tc>
          <w:tcPr>
            <w:tcW w:w="1417" w:type="dxa"/>
            <w:vAlign w:val="center"/>
          </w:tcPr>
          <w:p>
            <w:pPr>
              <w:pStyle w:val="0"/>
              <w:jc w:val="center"/>
            </w:pPr>
            <w:r>
              <w:rPr>
                <w:sz w:val="20"/>
              </w:rPr>
              <w:t xml:space="preserve">18,5</w:t>
            </w:r>
          </w:p>
        </w:tc>
        <w:tc>
          <w:tcPr>
            <w:tcW w:w="1304" w:type="dxa"/>
            <w:vAlign w:val="center"/>
          </w:tcPr>
          <w:p>
            <w:pPr>
              <w:pStyle w:val="0"/>
              <w:jc w:val="center"/>
            </w:pPr>
            <w:r>
              <w:rPr>
                <w:sz w:val="20"/>
              </w:rPr>
              <w:t xml:space="preserve">4,4</w:t>
            </w:r>
          </w:p>
        </w:tc>
        <w:tc>
          <w:tcPr>
            <w:tcW w:w="1191" w:type="dxa"/>
            <w:vAlign w:val="center"/>
          </w:tcPr>
          <w:p>
            <w:pPr>
              <w:pStyle w:val="0"/>
              <w:jc w:val="center"/>
            </w:pPr>
            <w:r>
              <w:rPr>
                <w:sz w:val="20"/>
              </w:rPr>
              <w:t xml:space="preserve">16,6</w:t>
            </w:r>
          </w:p>
        </w:tc>
      </w:tr>
      <w:tr>
        <w:tc>
          <w:tcPr>
            <w:tcW w:w="510" w:type="dxa"/>
            <w:vAlign w:val="center"/>
          </w:tcPr>
          <w:p>
            <w:pPr>
              <w:pStyle w:val="0"/>
              <w:jc w:val="both"/>
            </w:pPr>
            <w:r>
              <w:rPr>
                <w:sz w:val="20"/>
              </w:rPr>
              <w:t xml:space="preserve">10</w:t>
            </w:r>
          </w:p>
        </w:tc>
        <w:tc>
          <w:tcPr>
            <w:tcW w:w="1899" w:type="dxa"/>
            <w:vAlign w:val="center"/>
          </w:tcPr>
          <w:p>
            <w:pPr>
              <w:pStyle w:val="0"/>
              <w:jc w:val="both"/>
            </w:pPr>
            <w:r>
              <w:rPr>
                <w:sz w:val="20"/>
              </w:rPr>
              <w:t xml:space="preserve">Глушковский район</w:t>
            </w:r>
          </w:p>
        </w:tc>
        <w:tc>
          <w:tcPr>
            <w:tcW w:w="1431" w:type="dxa"/>
            <w:vAlign w:val="center"/>
          </w:tcPr>
          <w:p>
            <w:pPr>
              <w:pStyle w:val="0"/>
              <w:jc w:val="center"/>
            </w:pPr>
            <w:r>
              <w:rPr>
                <w:sz w:val="20"/>
              </w:rPr>
              <w:t xml:space="preserve">п.г.т. Глушково</w:t>
            </w:r>
          </w:p>
        </w:tc>
        <w:tc>
          <w:tcPr>
            <w:tcW w:w="1247" w:type="dxa"/>
            <w:vAlign w:val="center"/>
          </w:tcPr>
          <w:p>
            <w:pPr>
              <w:pStyle w:val="0"/>
              <w:jc w:val="center"/>
            </w:pPr>
            <w:r>
              <w:rPr>
                <w:sz w:val="20"/>
              </w:rPr>
              <w:t xml:space="preserve">850,5</w:t>
            </w:r>
          </w:p>
        </w:tc>
        <w:tc>
          <w:tcPr>
            <w:tcW w:w="1587" w:type="dxa"/>
            <w:vAlign w:val="center"/>
          </w:tcPr>
          <w:p>
            <w:pPr>
              <w:pStyle w:val="0"/>
              <w:jc w:val="center"/>
            </w:pPr>
            <w:r>
              <w:rPr>
                <w:sz w:val="20"/>
              </w:rPr>
              <w:t xml:space="preserve">18,6</w:t>
            </w:r>
          </w:p>
        </w:tc>
        <w:tc>
          <w:tcPr>
            <w:tcW w:w="1417" w:type="dxa"/>
            <w:vAlign w:val="center"/>
          </w:tcPr>
          <w:p>
            <w:pPr>
              <w:pStyle w:val="0"/>
              <w:jc w:val="center"/>
            </w:pPr>
            <w:r>
              <w:rPr>
                <w:sz w:val="20"/>
              </w:rPr>
              <w:t xml:space="preserve">22,5</w:t>
            </w:r>
          </w:p>
        </w:tc>
        <w:tc>
          <w:tcPr>
            <w:tcW w:w="1304" w:type="dxa"/>
            <w:vAlign w:val="center"/>
          </w:tcPr>
          <w:p>
            <w:pPr>
              <w:pStyle w:val="0"/>
              <w:jc w:val="center"/>
            </w:pPr>
            <w:r>
              <w:rPr>
                <w:sz w:val="20"/>
              </w:rPr>
              <w:t xml:space="preserve">7,7</w:t>
            </w:r>
          </w:p>
        </w:tc>
        <w:tc>
          <w:tcPr>
            <w:tcW w:w="1191" w:type="dxa"/>
            <w:vAlign w:val="center"/>
          </w:tcPr>
          <w:p>
            <w:pPr>
              <w:pStyle w:val="0"/>
              <w:jc w:val="center"/>
            </w:pPr>
            <w:r>
              <w:rPr>
                <w:sz w:val="20"/>
              </w:rPr>
              <w:t xml:space="preserve">10,9</w:t>
            </w:r>
          </w:p>
        </w:tc>
      </w:tr>
      <w:tr>
        <w:tc>
          <w:tcPr>
            <w:tcW w:w="510" w:type="dxa"/>
            <w:vAlign w:val="center"/>
          </w:tcPr>
          <w:p>
            <w:pPr>
              <w:pStyle w:val="0"/>
              <w:jc w:val="both"/>
            </w:pPr>
            <w:r>
              <w:rPr>
                <w:sz w:val="20"/>
              </w:rPr>
              <w:t xml:space="preserve">11</w:t>
            </w:r>
          </w:p>
        </w:tc>
        <w:tc>
          <w:tcPr>
            <w:tcW w:w="1899" w:type="dxa"/>
            <w:vAlign w:val="center"/>
          </w:tcPr>
          <w:p>
            <w:pPr>
              <w:pStyle w:val="0"/>
              <w:jc w:val="both"/>
            </w:pPr>
            <w:r>
              <w:rPr>
                <w:sz w:val="20"/>
              </w:rPr>
              <w:t xml:space="preserve">Кореневский район</w:t>
            </w:r>
          </w:p>
        </w:tc>
        <w:tc>
          <w:tcPr>
            <w:tcW w:w="1431" w:type="dxa"/>
            <w:vAlign w:val="center"/>
          </w:tcPr>
          <w:p>
            <w:pPr>
              <w:pStyle w:val="0"/>
              <w:jc w:val="center"/>
            </w:pPr>
            <w:r>
              <w:rPr>
                <w:sz w:val="20"/>
              </w:rPr>
              <w:t xml:space="preserve">п.г.т. Коренево</w:t>
            </w:r>
          </w:p>
        </w:tc>
        <w:tc>
          <w:tcPr>
            <w:tcW w:w="1247" w:type="dxa"/>
            <w:vAlign w:val="center"/>
          </w:tcPr>
          <w:p>
            <w:pPr>
              <w:pStyle w:val="0"/>
              <w:jc w:val="center"/>
            </w:pPr>
            <w:r>
              <w:rPr>
                <w:sz w:val="20"/>
              </w:rPr>
              <w:t xml:space="preserve">871,8</w:t>
            </w:r>
          </w:p>
        </w:tc>
        <w:tc>
          <w:tcPr>
            <w:tcW w:w="1587" w:type="dxa"/>
            <w:vAlign w:val="center"/>
          </w:tcPr>
          <w:p>
            <w:pPr>
              <w:pStyle w:val="0"/>
              <w:jc w:val="center"/>
            </w:pPr>
            <w:r>
              <w:rPr>
                <w:sz w:val="20"/>
              </w:rPr>
              <w:t xml:space="preserve">15,9</w:t>
            </w:r>
          </w:p>
        </w:tc>
        <w:tc>
          <w:tcPr>
            <w:tcW w:w="1417" w:type="dxa"/>
            <w:vAlign w:val="center"/>
          </w:tcPr>
          <w:p>
            <w:pPr>
              <w:pStyle w:val="0"/>
              <w:jc w:val="center"/>
            </w:pPr>
            <w:r>
              <w:rPr>
                <w:sz w:val="20"/>
              </w:rPr>
              <w:t xml:space="preserve">18,4</w:t>
            </w:r>
          </w:p>
        </w:tc>
        <w:tc>
          <w:tcPr>
            <w:tcW w:w="1304" w:type="dxa"/>
            <w:vAlign w:val="center"/>
          </w:tcPr>
          <w:p>
            <w:pPr>
              <w:pStyle w:val="0"/>
              <w:jc w:val="center"/>
            </w:pPr>
            <w:r>
              <w:rPr>
                <w:sz w:val="20"/>
              </w:rPr>
              <w:t xml:space="preserve">5,3</w:t>
            </w:r>
          </w:p>
        </w:tc>
        <w:tc>
          <w:tcPr>
            <w:tcW w:w="1191" w:type="dxa"/>
            <w:vAlign w:val="center"/>
          </w:tcPr>
          <w:p>
            <w:pPr>
              <w:pStyle w:val="0"/>
              <w:jc w:val="center"/>
            </w:pPr>
            <w:r>
              <w:rPr>
                <w:sz w:val="20"/>
              </w:rPr>
              <w:t xml:space="preserve">10,6</w:t>
            </w:r>
          </w:p>
        </w:tc>
      </w:tr>
      <w:tr>
        <w:tc>
          <w:tcPr>
            <w:tcW w:w="510" w:type="dxa"/>
            <w:vAlign w:val="center"/>
          </w:tcPr>
          <w:p>
            <w:pPr>
              <w:pStyle w:val="0"/>
              <w:jc w:val="both"/>
            </w:pPr>
            <w:r>
              <w:rPr>
                <w:sz w:val="20"/>
              </w:rPr>
              <w:t xml:space="preserve">12</w:t>
            </w:r>
          </w:p>
        </w:tc>
        <w:tc>
          <w:tcPr>
            <w:tcW w:w="1899" w:type="dxa"/>
            <w:vAlign w:val="center"/>
          </w:tcPr>
          <w:p>
            <w:pPr>
              <w:pStyle w:val="0"/>
              <w:jc w:val="both"/>
            </w:pPr>
            <w:r>
              <w:rPr>
                <w:sz w:val="20"/>
              </w:rPr>
              <w:t xml:space="preserve">Фатежский район</w:t>
            </w:r>
          </w:p>
        </w:tc>
        <w:tc>
          <w:tcPr>
            <w:tcW w:w="1431" w:type="dxa"/>
            <w:vAlign w:val="center"/>
          </w:tcPr>
          <w:p>
            <w:pPr>
              <w:pStyle w:val="0"/>
              <w:jc w:val="center"/>
            </w:pPr>
            <w:r>
              <w:rPr>
                <w:sz w:val="20"/>
              </w:rPr>
              <w:t xml:space="preserve">г. Фатеж</w:t>
            </w:r>
          </w:p>
        </w:tc>
        <w:tc>
          <w:tcPr>
            <w:tcW w:w="1247" w:type="dxa"/>
            <w:vAlign w:val="center"/>
          </w:tcPr>
          <w:p>
            <w:pPr>
              <w:pStyle w:val="0"/>
              <w:jc w:val="center"/>
            </w:pPr>
            <w:r>
              <w:rPr>
                <w:sz w:val="20"/>
              </w:rPr>
              <w:t xml:space="preserve">1281,6</w:t>
            </w:r>
          </w:p>
        </w:tc>
        <w:tc>
          <w:tcPr>
            <w:tcW w:w="1587" w:type="dxa"/>
            <w:vAlign w:val="center"/>
          </w:tcPr>
          <w:p>
            <w:pPr>
              <w:pStyle w:val="0"/>
              <w:jc w:val="center"/>
            </w:pPr>
            <w:r>
              <w:rPr>
                <w:sz w:val="20"/>
              </w:rPr>
              <w:t xml:space="preserve">17,7</w:t>
            </w:r>
          </w:p>
        </w:tc>
        <w:tc>
          <w:tcPr>
            <w:tcW w:w="1417" w:type="dxa"/>
            <w:vAlign w:val="center"/>
          </w:tcPr>
          <w:p>
            <w:pPr>
              <w:pStyle w:val="0"/>
              <w:jc w:val="center"/>
            </w:pPr>
            <w:r>
              <w:rPr>
                <w:sz w:val="20"/>
              </w:rPr>
              <w:t xml:space="preserve">14,0</w:t>
            </w:r>
          </w:p>
        </w:tc>
        <w:tc>
          <w:tcPr>
            <w:tcW w:w="1304" w:type="dxa"/>
            <w:vAlign w:val="center"/>
          </w:tcPr>
          <w:p>
            <w:pPr>
              <w:pStyle w:val="0"/>
              <w:jc w:val="center"/>
            </w:pPr>
            <w:r>
              <w:rPr>
                <w:sz w:val="20"/>
              </w:rPr>
              <w:t xml:space="preserve">6,0</w:t>
            </w:r>
          </w:p>
        </w:tc>
        <w:tc>
          <w:tcPr>
            <w:tcW w:w="1191" w:type="dxa"/>
            <w:vAlign w:val="center"/>
          </w:tcPr>
          <w:p>
            <w:pPr>
              <w:pStyle w:val="0"/>
              <w:jc w:val="center"/>
            </w:pPr>
            <w:r>
              <w:rPr>
                <w:sz w:val="20"/>
              </w:rPr>
              <w:t xml:space="preserve">11,7</w:t>
            </w:r>
          </w:p>
        </w:tc>
      </w:tr>
      <w:tr>
        <w:tc>
          <w:tcPr>
            <w:tcW w:w="510" w:type="dxa"/>
            <w:vAlign w:val="center"/>
          </w:tcPr>
          <w:p>
            <w:pPr>
              <w:pStyle w:val="0"/>
              <w:jc w:val="both"/>
            </w:pPr>
            <w:r>
              <w:rPr>
                <w:sz w:val="20"/>
              </w:rPr>
              <w:t xml:space="preserve">13</w:t>
            </w:r>
          </w:p>
        </w:tc>
        <w:tc>
          <w:tcPr>
            <w:tcW w:w="1899" w:type="dxa"/>
            <w:vAlign w:val="center"/>
          </w:tcPr>
          <w:p>
            <w:pPr>
              <w:pStyle w:val="0"/>
              <w:jc w:val="both"/>
            </w:pPr>
            <w:r>
              <w:rPr>
                <w:sz w:val="20"/>
              </w:rPr>
              <w:t xml:space="preserve">Дмитриевский район</w:t>
            </w:r>
          </w:p>
        </w:tc>
        <w:tc>
          <w:tcPr>
            <w:tcW w:w="1431" w:type="dxa"/>
            <w:vAlign w:val="center"/>
          </w:tcPr>
          <w:p>
            <w:pPr>
              <w:pStyle w:val="0"/>
              <w:jc w:val="center"/>
            </w:pPr>
            <w:r>
              <w:rPr>
                <w:sz w:val="20"/>
              </w:rPr>
              <w:t xml:space="preserve">г. Дмитриев</w:t>
            </w:r>
          </w:p>
        </w:tc>
        <w:tc>
          <w:tcPr>
            <w:tcW w:w="1247" w:type="dxa"/>
            <w:vAlign w:val="center"/>
          </w:tcPr>
          <w:p>
            <w:pPr>
              <w:pStyle w:val="0"/>
              <w:jc w:val="center"/>
            </w:pPr>
            <w:r>
              <w:rPr>
                <w:sz w:val="20"/>
              </w:rPr>
              <w:t xml:space="preserve">1269,5</w:t>
            </w:r>
          </w:p>
        </w:tc>
        <w:tc>
          <w:tcPr>
            <w:tcW w:w="1587" w:type="dxa"/>
            <w:vAlign w:val="center"/>
          </w:tcPr>
          <w:p>
            <w:pPr>
              <w:pStyle w:val="0"/>
              <w:jc w:val="center"/>
            </w:pPr>
            <w:r>
              <w:rPr>
                <w:sz w:val="20"/>
              </w:rPr>
              <w:t xml:space="preserve">14,1</w:t>
            </w:r>
          </w:p>
        </w:tc>
        <w:tc>
          <w:tcPr>
            <w:tcW w:w="1417" w:type="dxa"/>
            <w:vAlign w:val="center"/>
          </w:tcPr>
          <w:p>
            <w:pPr>
              <w:pStyle w:val="0"/>
              <w:jc w:val="center"/>
            </w:pPr>
            <w:r>
              <w:rPr>
                <w:sz w:val="20"/>
              </w:rPr>
              <w:t xml:space="preserve">11,4</w:t>
            </w:r>
          </w:p>
        </w:tc>
        <w:tc>
          <w:tcPr>
            <w:tcW w:w="1304" w:type="dxa"/>
            <w:vAlign w:val="center"/>
          </w:tcPr>
          <w:p>
            <w:pPr>
              <w:pStyle w:val="0"/>
              <w:jc w:val="center"/>
            </w:pPr>
            <w:r>
              <w:rPr>
                <w:sz w:val="20"/>
              </w:rPr>
              <w:t xml:space="preserve">6,3</w:t>
            </w:r>
          </w:p>
        </w:tc>
        <w:tc>
          <w:tcPr>
            <w:tcW w:w="1191" w:type="dxa"/>
            <w:vAlign w:val="center"/>
          </w:tcPr>
          <w:p>
            <w:pPr>
              <w:pStyle w:val="0"/>
              <w:jc w:val="center"/>
            </w:pPr>
            <w:r>
              <w:rPr>
                <w:sz w:val="20"/>
              </w:rPr>
              <w:t xml:space="preserve">7,8</w:t>
            </w:r>
          </w:p>
        </w:tc>
      </w:tr>
      <w:tr>
        <w:tc>
          <w:tcPr>
            <w:tcW w:w="510" w:type="dxa"/>
            <w:vAlign w:val="center"/>
          </w:tcPr>
          <w:p>
            <w:pPr>
              <w:pStyle w:val="0"/>
              <w:jc w:val="both"/>
            </w:pPr>
            <w:r>
              <w:rPr>
                <w:sz w:val="20"/>
              </w:rPr>
              <w:t xml:space="preserve">14</w:t>
            </w:r>
          </w:p>
        </w:tc>
        <w:tc>
          <w:tcPr>
            <w:tcW w:w="1899" w:type="dxa"/>
            <w:vAlign w:val="center"/>
          </w:tcPr>
          <w:p>
            <w:pPr>
              <w:pStyle w:val="0"/>
              <w:jc w:val="both"/>
            </w:pPr>
            <w:r>
              <w:rPr>
                <w:sz w:val="20"/>
              </w:rPr>
              <w:t xml:space="preserve">Железногорский район</w:t>
            </w:r>
          </w:p>
        </w:tc>
        <w:tc>
          <w:tcPr>
            <w:tcW w:w="1431" w:type="dxa"/>
            <w:vAlign w:val="center"/>
          </w:tcPr>
          <w:p>
            <w:pPr>
              <w:pStyle w:val="0"/>
              <w:jc w:val="center"/>
            </w:pPr>
            <w:r>
              <w:rPr>
                <w:sz w:val="20"/>
              </w:rPr>
              <w:t xml:space="preserve">г. Железногорск</w:t>
            </w:r>
          </w:p>
        </w:tc>
        <w:tc>
          <w:tcPr>
            <w:tcW w:w="1247" w:type="dxa"/>
            <w:vAlign w:val="center"/>
          </w:tcPr>
          <w:p>
            <w:pPr>
              <w:pStyle w:val="0"/>
              <w:jc w:val="center"/>
            </w:pPr>
            <w:r>
              <w:rPr>
                <w:sz w:val="20"/>
              </w:rPr>
              <w:t xml:space="preserve">991,0</w:t>
            </w:r>
          </w:p>
        </w:tc>
        <w:tc>
          <w:tcPr>
            <w:tcW w:w="1587" w:type="dxa"/>
            <w:vAlign w:val="center"/>
          </w:tcPr>
          <w:p>
            <w:pPr>
              <w:pStyle w:val="0"/>
              <w:jc w:val="center"/>
            </w:pPr>
            <w:r>
              <w:rPr>
                <w:sz w:val="20"/>
              </w:rPr>
              <w:t xml:space="preserve">15,2</w:t>
            </w:r>
          </w:p>
        </w:tc>
        <w:tc>
          <w:tcPr>
            <w:tcW w:w="1417" w:type="dxa"/>
            <w:vAlign w:val="center"/>
          </w:tcPr>
          <w:p>
            <w:pPr>
              <w:pStyle w:val="0"/>
              <w:jc w:val="center"/>
            </w:pPr>
            <w:r>
              <w:rPr>
                <w:sz w:val="20"/>
              </w:rPr>
              <w:t xml:space="preserve">15,7</w:t>
            </w:r>
          </w:p>
        </w:tc>
        <w:tc>
          <w:tcPr>
            <w:tcW w:w="1304" w:type="dxa"/>
            <w:vAlign w:val="center"/>
          </w:tcPr>
          <w:p>
            <w:pPr>
              <w:pStyle w:val="0"/>
              <w:jc w:val="center"/>
            </w:pPr>
            <w:r>
              <w:rPr>
                <w:sz w:val="20"/>
              </w:rPr>
              <w:t xml:space="preserve">1,6</w:t>
            </w:r>
          </w:p>
        </w:tc>
        <w:tc>
          <w:tcPr>
            <w:tcW w:w="1191" w:type="dxa"/>
            <w:vAlign w:val="center"/>
          </w:tcPr>
          <w:p>
            <w:pPr>
              <w:pStyle w:val="0"/>
              <w:jc w:val="center"/>
            </w:pPr>
            <w:r>
              <w:rPr>
                <w:sz w:val="20"/>
              </w:rPr>
              <w:t xml:space="preserve">13,6</w:t>
            </w:r>
          </w:p>
        </w:tc>
      </w:tr>
      <w:tr>
        <w:tc>
          <w:tcPr>
            <w:tcW w:w="510" w:type="dxa"/>
            <w:vAlign w:val="center"/>
          </w:tcPr>
          <w:p>
            <w:pPr>
              <w:pStyle w:val="0"/>
              <w:jc w:val="both"/>
            </w:pPr>
            <w:r>
              <w:rPr>
                <w:sz w:val="20"/>
              </w:rPr>
              <w:t xml:space="preserve">15</w:t>
            </w:r>
          </w:p>
        </w:tc>
        <w:tc>
          <w:tcPr>
            <w:tcW w:w="1899" w:type="dxa"/>
            <w:vAlign w:val="center"/>
          </w:tcPr>
          <w:p>
            <w:pPr>
              <w:pStyle w:val="0"/>
              <w:jc w:val="both"/>
            </w:pPr>
            <w:r>
              <w:rPr>
                <w:sz w:val="20"/>
              </w:rPr>
              <w:t xml:space="preserve">Беловский район</w:t>
            </w:r>
          </w:p>
        </w:tc>
        <w:tc>
          <w:tcPr>
            <w:tcW w:w="1431" w:type="dxa"/>
            <w:vAlign w:val="center"/>
          </w:tcPr>
          <w:p>
            <w:pPr>
              <w:pStyle w:val="0"/>
              <w:jc w:val="center"/>
            </w:pPr>
            <w:r>
              <w:rPr>
                <w:sz w:val="20"/>
              </w:rPr>
              <w:t xml:space="preserve">Слобода Белая</w:t>
            </w:r>
          </w:p>
        </w:tc>
        <w:tc>
          <w:tcPr>
            <w:tcW w:w="1247" w:type="dxa"/>
            <w:vAlign w:val="center"/>
          </w:tcPr>
          <w:p>
            <w:pPr>
              <w:pStyle w:val="0"/>
              <w:jc w:val="center"/>
            </w:pPr>
            <w:r>
              <w:rPr>
                <w:sz w:val="20"/>
              </w:rPr>
              <w:t xml:space="preserve">950,6</w:t>
            </w:r>
          </w:p>
        </w:tc>
        <w:tc>
          <w:tcPr>
            <w:tcW w:w="1587" w:type="dxa"/>
            <w:vAlign w:val="center"/>
          </w:tcPr>
          <w:p>
            <w:pPr>
              <w:pStyle w:val="0"/>
              <w:jc w:val="center"/>
            </w:pPr>
            <w:r>
              <w:rPr>
                <w:sz w:val="20"/>
              </w:rPr>
              <w:t xml:space="preserve">15,0</w:t>
            </w:r>
          </w:p>
        </w:tc>
        <w:tc>
          <w:tcPr>
            <w:tcW w:w="1417" w:type="dxa"/>
            <w:vAlign w:val="center"/>
          </w:tcPr>
          <w:p>
            <w:pPr>
              <w:pStyle w:val="0"/>
              <w:jc w:val="center"/>
            </w:pPr>
            <w:r>
              <w:rPr>
                <w:sz w:val="20"/>
              </w:rPr>
              <w:t xml:space="preserve">16,2</w:t>
            </w:r>
          </w:p>
        </w:tc>
        <w:tc>
          <w:tcPr>
            <w:tcW w:w="1304" w:type="dxa"/>
            <w:vAlign w:val="center"/>
          </w:tcPr>
          <w:p>
            <w:pPr>
              <w:pStyle w:val="0"/>
              <w:jc w:val="center"/>
            </w:pPr>
            <w:r>
              <w:rPr>
                <w:sz w:val="20"/>
              </w:rPr>
              <w:t xml:space="preserve">0</w:t>
            </w:r>
          </w:p>
        </w:tc>
        <w:tc>
          <w:tcPr>
            <w:tcW w:w="1191" w:type="dxa"/>
            <w:vAlign w:val="center"/>
          </w:tcPr>
          <w:p>
            <w:pPr>
              <w:pStyle w:val="0"/>
              <w:jc w:val="center"/>
            </w:pPr>
            <w:r>
              <w:rPr>
                <w:sz w:val="20"/>
              </w:rPr>
              <w:t xml:space="preserve">15,0</w:t>
            </w:r>
          </w:p>
        </w:tc>
      </w:tr>
      <w:tr>
        <w:tc>
          <w:tcPr>
            <w:tcW w:w="510" w:type="dxa"/>
            <w:vAlign w:val="center"/>
          </w:tcPr>
          <w:p>
            <w:pPr>
              <w:pStyle w:val="0"/>
              <w:jc w:val="both"/>
            </w:pPr>
            <w:r>
              <w:rPr>
                <w:sz w:val="20"/>
              </w:rPr>
              <w:t xml:space="preserve">16</w:t>
            </w:r>
          </w:p>
        </w:tc>
        <w:tc>
          <w:tcPr>
            <w:tcW w:w="1899" w:type="dxa"/>
            <w:vAlign w:val="center"/>
          </w:tcPr>
          <w:p>
            <w:pPr>
              <w:pStyle w:val="0"/>
              <w:jc w:val="both"/>
            </w:pPr>
            <w:r>
              <w:rPr>
                <w:sz w:val="20"/>
              </w:rPr>
              <w:t xml:space="preserve">Медвенский район</w:t>
            </w:r>
          </w:p>
        </w:tc>
        <w:tc>
          <w:tcPr>
            <w:tcW w:w="1431" w:type="dxa"/>
            <w:vAlign w:val="center"/>
          </w:tcPr>
          <w:p>
            <w:pPr>
              <w:pStyle w:val="0"/>
              <w:jc w:val="center"/>
            </w:pPr>
            <w:r>
              <w:rPr>
                <w:sz w:val="20"/>
              </w:rPr>
              <w:t xml:space="preserve">п.г.т. Медвенка</w:t>
            </w:r>
          </w:p>
        </w:tc>
        <w:tc>
          <w:tcPr>
            <w:tcW w:w="1247" w:type="dxa"/>
            <w:vAlign w:val="center"/>
          </w:tcPr>
          <w:p>
            <w:pPr>
              <w:pStyle w:val="0"/>
              <w:jc w:val="center"/>
            </w:pPr>
            <w:r>
              <w:rPr>
                <w:sz w:val="20"/>
              </w:rPr>
              <w:t xml:space="preserve">1080,2</w:t>
            </w:r>
          </w:p>
        </w:tc>
        <w:tc>
          <w:tcPr>
            <w:tcW w:w="1587" w:type="dxa"/>
            <w:vAlign w:val="center"/>
          </w:tcPr>
          <w:p>
            <w:pPr>
              <w:pStyle w:val="0"/>
              <w:jc w:val="center"/>
            </w:pPr>
            <w:r>
              <w:rPr>
                <w:sz w:val="20"/>
              </w:rPr>
              <w:t xml:space="preserve">16,3</w:t>
            </w:r>
          </w:p>
        </w:tc>
        <w:tc>
          <w:tcPr>
            <w:tcW w:w="1417" w:type="dxa"/>
            <w:vAlign w:val="center"/>
          </w:tcPr>
          <w:p>
            <w:pPr>
              <w:pStyle w:val="0"/>
              <w:jc w:val="center"/>
            </w:pPr>
            <w:r>
              <w:rPr>
                <w:sz w:val="20"/>
              </w:rPr>
              <w:t xml:space="preserve">15,3</w:t>
            </w:r>
          </w:p>
        </w:tc>
        <w:tc>
          <w:tcPr>
            <w:tcW w:w="1304" w:type="dxa"/>
            <w:vAlign w:val="center"/>
          </w:tcPr>
          <w:p>
            <w:pPr>
              <w:pStyle w:val="0"/>
              <w:jc w:val="center"/>
            </w:pPr>
            <w:r>
              <w:rPr>
                <w:sz w:val="20"/>
              </w:rPr>
              <w:t xml:space="preserve">4,3</w:t>
            </w:r>
          </w:p>
        </w:tc>
        <w:tc>
          <w:tcPr>
            <w:tcW w:w="1191" w:type="dxa"/>
            <w:vAlign w:val="center"/>
          </w:tcPr>
          <w:p>
            <w:pPr>
              <w:pStyle w:val="0"/>
              <w:jc w:val="center"/>
            </w:pPr>
            <w:r>
              <w:rPr>
                <w:sz w:val="20"/>
              </w:rPr>
              <w:t xml:space="preserve">12,0</w:t>
            </w:r>
          </w:p>
        </w:tc>
      </w:tr>
      <w:tr>
        <w:tc>
          <w:tcPr>
            <w:tcW w:w="510" w:type="dxa"/>
            <w:vAlign w:val="center"/>
          </w:tcPr>
          <w:p>
            <w:pPr>
              <w:pStyle w:val="0"/>
              <w:jc w:val="both"/>
            </w:pPr>
            <w:r>
              <w:rPr>
                <w:sz w:val="20"/>
              </w:rPr>
              <w:t xml:space="preserve">17</w:t>
            </w:r>
          </w:p>
        </w:tc>
        <w:tc>
          <w:tcPr>
            <w:tcW w:w="1899" w:type="dxa"/>
            <w:vAlign w:val="center"/>
          </w:tcPr>
          <w:p>
            <w:pPr>
              <w:pStyle w:val="0"/>
              <w:jc w:val="both"/>
            </w:pPr>
            <w:r>
              <w:rPr>
                <w:sz w:val="20"/>
              </w:rPr>
              <w:t xml:space="preserve">Обоянский район</w:t>
            </w:r>
          </w:p>
        </w:tc>
        <w:tc>
          <w:tcPr>
            <w:tcW w:w="1431" w:type="dxa"/>
            <w:vAlign w:val="center"/>
          </w:tcPr>
          <w:p>
            <w:pPr>
              <w:pStyle w:val="0"/>
              <w:jc w:val="center"/>
            </w:pPr>
            <w:r>
              <w:rPr>
                <w:sz w:val="20"/>
              </w:rPr>
              <w:t xml:space="preserve">г. Обоянь</w:t>
            </w:r>
          </w:p>
        </w:tc>
        <w:tc>
          <w:tcPr>
            <w:tcW w:w="1247" w:type="dxa"/>
            <w:vAlign w:val="center"/>
          </w:tcPr>
          <w:p>
            <w:pPr>
              <w:pStyle w:val="0"/>
              <w:jc w:val="center"/>
            </w:pPr>
            <w:r>
              <w:rPr>
                <w:sz w:val="20"/>
              </w:rPr>
              <w:t xml:space="preserve">1026,5</w:t>
            </w:r>
          </w:p>
        </w:tc>
        <w:tc>
          <w:tcPr>
            <w:tcW w:w="1587" w:type="dxa"/>
            <w:vAlign w:val="center"/>
          </w:tcPr>
          <w:p>
            <w:pPr>
              <w:pStyle w:val="0"/>
              <w:jc w:val="center"/>
            </w:pPr>
            <w:r>
              <w:rPr>
                <w:sz w:val="20"/>
              </w:rPr>
              <w:t xml:space="preserve">29,2</w:t>
            </w:r>
          </w:p>
        </w:tc>
        <w:tc>
          <w:tcPr>
            <w:tcW w:w="1417" w:type="dxa"/>
            <w:vAlign w:val="center"/>
          </w:tcPr>
          <w:p>
            <w:pPr>
              <w:pStyle w:val="0"/>
              <w:jc w:val="center"/>
            </w:pPr>
            <w:r>
              <w:rPr>
                <w:sz w:val="20"/>
              </w:rPr>
              <w:t xml:space="preserve">28,8</w:t>
            </w:r>
          </w:p>
        </w:tc>
        <w:tc>
          <w:tcPr>
            <w:tcW w:w="1304" w:type="dxa"/>
            <w:vAlign w:val="center"/>
          </w:tcPr>
          <w:p>
            <w:pPr>
              <w:pStyle w:val="0"/>
              <w:jc w:val="center"/>
            </w:pPr>
            <w:r>
              <w:rPr>
                <w:sz w:val="20"/>
              </w:rPr>
              <w:t xml:space="preserve">13,3</w:t>
            </w:r>
          </w:p>
        </w:tc>
        <w:tc>
          <w:tcPr>
            <w:tcW w:w="1191" w:type="dxa"/>
            <w:vAlign w:val="center"/>
          </w:tcPr>
          <w:p>
            <w:pPr>
              <w:pStyle w:val="0"/>
              <w:jc w:val="center"/>
            </w:pPr>
            <w:r>
              <w:rPr>
                <w:sz w:val="20"/>
              </w:rPr>
              <w:t xml:space="preserve">15,9</w:t>
            </w:r>
          </w:p>
        </w:tc>
      </w:tr>
      <w:tr>
        <w:tc>
          <w:tcPr>
            <w:tcW w:w="510" w:type="dxa"/>
            <w:vAlign w:val="center"/>
          </w:tcPr>
          <w:p>
            <w:pPr>
              <w:pStyle w:val="0"/>
              <w:jc w:val="both"/>
            </w:pPr>
            <w:r>
              <w:rPr>
                <w:sz w:val="20"/>
              </w:rPr>
              <w:t xml:space="preserve">18</w:t>
            </w:r>
          </w:p>
        </w:tc>
        <w:tc>
          <w:tcPr>
            <w:tcW w:w="1899" w:type="dxa"/>
            <w:vAlign w:val="center"/>
          </w:tcPr>
          <w:p>
            <w:pPr>
              <w:pStyle w:val="0"/>
              <w:jc w:val="both"/>
            </w:pPr>
            <w:r>
              <w:rPr>
                <w:sz w:val="20"/>
              </w:rPr>
              <w:t xml:space="preserve">Мантуровский район</w:t>
            </w:r>
          </w:p>
        </w:tc>
        <w:tc>
          <w:tcPr>
            <w:tcW w:w="1431" w:type="dxa"/>
            <w:vAlign w:val="center"/>
          </w:tcPr>
          <w:p>
            <w:pPr>
              <w:pStyle w:val="0"/>
              <w:jc w:val="center"/>
            </w:pPr>
            <w:r>
              <w:rPr>
                <w:sz w:val="20"/>
              </w:rPr>
              <w:t xml:space="preserve">с. Мантурово</w:t>
            </w:r>
          </w:p>
        </w:tc>
        <w:tc>
          <w:tcPr>
            <w:tcW w:w="1247" w:type="dxa"/>
            <w:vAlign w:val="center"/>
          </w:tcPr>
          <w:p>
            <w:pPr>
              <w:pStyle w:val="0"/>
              <w:jc w:val="center"/>
            </w:pPr>
            <w:r>
              <w:rPr>
                <w:sz w:val="20"/>
              </w:rPr>
              <w:t xml:space="preserve">1010,0</w:t>
            </w:r>
          </w:p>
        </w:tc>
        <w:tc>
          <w:tcPr>
            <w:tcW w:w="1587" w:type="dxa"/>
            <w:vAlign w:val="center"/>
          </w:tcPr>
          <w:p>
            <w:pPr>
              <w:pStyle w:val="0"/>
              <w:jc w:val="center"/>
            </w:pPr>
            <w:r>
              <w:rPr>
                <w:sz w:val="20"/>
              </w:rPr>
              <w:t xml:space="preserve">12,0</w:t>
            </w:r>
          </w:p>
        </w:tc>
        <w:tc>
          <w:tcPr>
            <w:tcW w:w="1417" w:type="dxa"/>
            <w:vAlign w:val="center"/>
          </w:tcPr>
          <w:p>
            <w:pPr>
              <w:pStyle w:val="0"/>
              <w:jc w:val="center"/>
            </w:pPr>
            <w:r>
              <w:rPr>
                <w:sz w:val="20"/>
              </w:rPr>
              <w:t xml:space="preserve">12,0</w:t>
            </w:r>
          </w:p>
        </w:tc>
        <w:tc>
          <w:tcPr>
            <w:tcW w:w="1304" w:type="dxa"/>
            <w:vAlign w:val="center"/>
          </w:tcPr>
          <w:p>
            <w:pPr>
              <w:pStyle w:val="0"/>
              <w:jc w:val="center"/>
            </w:pPr>
            <w:r>
              <w:rPr>
                <w:sz w:val="20"/>
              </w:rPr>
              <w:t xml:space="preserve">0</w:t>
            </w:r>
          </w:p>
        </w:tc>
        <w:tc>
          <w:tcPr>
            <w:tcW w:w="1191" w:type="dxa"/>
            <w:vAlign w:val="center"/>
          </w:tcPr>
          <w:p>
            <w:pPr>
              <w:pStyle w:val="0"/>
              <w:jc w:val="center"/>
            </w:pPr>
            <w:r>
              <w:rPr>
                <w:sz w:val="20"/>
              </w:rPr>
              <w:t xml:space="preserve">12,0</w:t>
            </w:r>
          </w:p>
        </w:tc>
      </w:tr>
      <w:tr>
        <w:tc>
          <w:tcPr>
            <w:tcW w:w="510" w:type="dxa"/>
            <w:vAlign w:val="center"/>
          </w:tcPr>
          <w:p>
            <w:pPr>
              <w:pStyle w:val="0"/>
              <w:jc w:val="both"/>
            </w:pPr>
            <w:r>
              <w:rPr>
                <w:sz w:val="20"/>
              </w:rPr>
              <w:t xml:space="preserve">19</w:t>
            </w:r>
          </w:p>
        </w:tc>
        <w:tc>
          <w:tcPr>
            <w:tcW w:w="1899" w:type="dxa"/>
            <w:vAlign w:val="center"/>
          </w:tcPr>
          <w:p>
            <w:pPr>
              <w:pStyle w:val="0"/>
              <w:jc w:val="both"/>
            </w:pPr>
            <w:r>
              <w:rPr>
                <w:sz w:val="20"/>
              </w:rPr>
              <w:t xml:space="preserve">Солнцевский район</w:t>
            </w:r>
          </w:p>
        </w:tc>
        <w:tc>
          <w:tcPr>
            <w:tcW w:w="1431" w:type="dxa"/>
            <w:vAlign w:val="center"/>
          </w:tcPr>
          <w:p>
            <w:pPr>
              <w:pStyle w:val="0"/>
              <w:jc w:val="center"/>
            </w:pPr>
            <w:r>
              <w:rPr>
                <w:sz w:val="20"/>
              </w:rPr>
              <w:t xml:space="preserve">п.г.т. Солнцево</w:t>
            </w:r>
          </w:p>
        </w:tc>
        <w:tc>
          <w:tcPr>
            <w:tcW w:w="1247" w:type="dxa"/>
            <w:vAlign w:val="center"/>
          </w:tcPr>
          <w:p>
            <w:pPr>
              <w:pStyle w:val="0"/>
              <w:jc w:val="center"/>
            </w:pPr>
            <w:r>
              <w:rPr>
                <w:sz w:val="20"/>
              </w:rPr>
              <w:t xml:space="preserve">1051,8</w:t>
            </w:r>
          </w:p>
        </w:tc>
        <w:tc>
          <w:tcPr>
            <w:tcW w:w="1587" w:type="dxa"/>
            <w:vAlign w:val="center"/>
          </w:tcPr>
          <w:p>
            <w:pPr>
              <w:pStyle w:val="0"/>
              <w:jc w:val="center"/>
            </w:pPr>
            <w:r>
              <w:rPr>
                <w:sz w:val="20"/>
              </w:rPr>
              <w:t xml:space="preserve">12,9</w:t>
            </w:r>
          </w:p>
        </w:tc>
        <w:tc>
          <w:tcPr>
            <w:tcW w:w="1417" w:type="dxa"/>
            <w:vAlign w:val="center"/>
          </w:tcPr>
          <w:p>
            <w:pPr>
              <w:pStyle w:val="0"/>
              <w:jc w:val="center"/>
            </w:pPr>
            <w:r>
              <w:rPr>
                <w:sz w:val="20"/>
              </w:rPr>
              <w:t xml:space="preserve">12,7</w:t>
            </w:r>
          </w:p>
        </w:tc>
        <w:tc>
          <w:tcPr>
            <w:tcW w:w="1304" w:type="dxa"/>
            <w:vAlign w:val="center"/>
          </w:tcPr>
          <w:p>
            <w:pPr>
              <w:pStyle w:val="0"/>
              <w:jc w:val="center"/>
            </w:pPr>
            <w:r>
              <w:rPr>
                <w:sz w:val="20"/>
              </w:rPr>
              <w:t xml:space="preserve">3,8</w:t>
            </w:r>
          </w:p>
        </w:tc>
        <w:tc>
          <w:tcPr>
            <w:tcW w:w="1191" w:type="dxa"/>
            <w:vAlign w:val="center"/>
          </w:tcPr>
          <w:p>
            <w:pPr>
              <w:pStyle w:val="0"/>
              <w:jc w:val="center"/>
            </w:pPr>
            <w:r>
              <w:rPr>
                <w:sz w:val="20"/>
              </w:rPr>
              <w:t xml:space="preserve">9,1</w:t>
            </w:r>
          </w:p>
        </w:tc>
      </w:tr>
      <w:tr>
        <w:tc>
          <w:tcPr>
            <w:tcW w:w="510" w:type="dxa"/>
            <w:vAlign w:val="center"/>
          </w:tcPr>
          <w:p>
            <w:pPr>
              <w:pStyle w:val="0"/>
              <w:jc w:val="both"/>
            </w:pPr>
            <w:r>
              <w:rPr>
                <w:sz w:val="20"/>
              </w:rPr>
              <w:t xml:space="preserve">20</w:t>
            </w:r>
          </w:p>
        </w:tc>
        <w:tc>
          <w:tcPr>
            <w:tcW w:w="1899" w:type="dxa"/>
            <w:vAlign w:val="center"/>
          </w:tcPr>
          <w:p>
            <w:pPr>
              <w:pStyle w:val="0"/>
              <w:jc w:val="both"/>
            </w:pPr>
            <w:r>
              <w:rPr>
                <w:sz w:val="20"/>
              </w:rPr>
              <w:t xml:space="preserve">Черемисиновский район</w:t>
            </w:r>
          </w:p>
        </w:tc>
        <w:tc>
          <w:tcPr>
            <w:tcW w:w="1431" w:type="dxa"/>
            <w:vAlign w:val="center"/>
          </w:tcPr>
          <w:p>
            <w:pPr>
              <w:pStyle w:val="0"/>
              <w:jc w:val="center"/>
            </w:pPr>
            <w:r>
              <w:rPr>
                <w:sz w:val="20"/>
              </w:rPr>
              <w:t xml:space="preserve">п. Черемисиново</w:t>
            </w:r>
          </w:p>
        </w:tc>
        <w:tc>
          <w:tcPr>
            <w:tcW w:w="1247" w:type="dxa"/>
            <w:vAlign w:val="center"/>
          </w:tcPr>
          <w:p>
            <w:pPr>
              <w:pStyle w:val="0"/>
              <w:jc w:val="center"/>
            </w:pPr>
            <w:r>
              <w:rPr>
                <w:sz w:val="20"/>
              </w:rPr>
              <w:t xml:space="preserve">813,0</w:t>
            </w:r>
          </w:p>
        </w:tc>
        <w:tc>
          <w:tcPr>
            <w:tcW w:w="1587" w:type="dxa"/>
            <w:vAlign w:val="center"/>
          </w:tcPr>
          <w:p>
            <w:pPr>
              <w:pStyle w:val="0"/>
              <w:jc w:val="center"/>
            </w:pPr>
            <w:r>
              <w:rPr>
                <w:sz w:val="20"/>
              </w:rPr>
              <w:t xml:space="preserve">8,7</w:t>
            </w:r>
          </w:p>
        </w:tc>
        <w:tc>
          <w:tcPr>
            <w:tcW w:w="1417" w:type="dxa"/>
            <w:vAlign w:val="center"/>
          </w:tcPr>
          <w:p>
            <w:pPr>
              <w:pStyle w:val="0"/>
              <w:jc w:val="center"/>
            </w:pPr>
            <w:r>
              <w:rPr>
                <w:sz w:val="20"/>
              </w:rPr>
              <w:t xml:space="preserve">11,1</w:t>
            </w:r>
          </w:p>
        </w:tc>
        <w:tc>
          <w:tcPr>
            <w:tcW w:w="1304" w:type="dxa"/>
            <w:vAlign w:val="center"/>
          </w:tcPr>
          <w:p>
            <w:pPr>
              <w:pStyle w:val="0"/>
              <w:jc w:val="center"/>
            </w:pPr>
            <w:r>
              <w:rPr>
                <w:sz w:val="20"/>
              </w:rPr>
              <w:t xml:space="preserve">3,2</w:t>
            </w:r>
          </w:p>
        </w:tc>
        <w:tc>
          <w:tcPr>
            <w:tcW w:w="1191" w:type="dxa"/>
            <w:vAlign w:val="center"/>
          </w:tcPr>
          <w:p>
            <w:pPr>
              <w:pStyle w:val="0"/>
              <w:jc w:val="center"/>
            </w:pPr>
            <w:r>
              <w:rPr>
                <w:sz w:val="20"/>
              </w:rPr>
              <w:t xml:space="preserve">5,5</w:t>
            </w:r>
          </w:p>
        </w:tc>
      </w:tr>
      <w:tr>
        <w:tc>
          <w:tcPr>
            <w:tcW w:w="510" w:type="dxa"/>
            <w:vAlign w:val="center"/>
          </w:tcPr>
          <w:p>
            <w:pPr>
              <w:pStyle w:val="0"/>
              <w:jc w:val="both"/>
            </w:pPr>
            <w:r>
              <w:rPr>
                <w:sz w:val="20"/>
              </w:rPr>
              <w:t xml:space="preserve">21</w:t>
            </w:r>
          </w:p>
        </w:tc>
        <w:tc>
          <w:tcPr>
            <w:tcW w:w="1899" w:type="dxa"/>
            <w:vAlign w:val="center"/>
          </w:tcPr>
          <w:p>
            <w:pPr>
              <w:pStyle w:val="0"/>
              <w:jc w:val="both"/>
            </w:pPr>
            <w:r>
              <w:rPr>
                <w:sz w:val="20"/>
              </w:rPr>
              <w:t xml:space="preserve">Щигровский район</w:t>
            </w:r>
          </w:p>
        </w:tc>
        <w:tc>
          <w:tcPr>
            <w:tcW w:w="1431" w:type="dxa"/>
            <w:vAlign w:val="center"/>
          </w:tcPr>
          <w:p>
            <w:pPr>
              <w:pStyle w:val="0"/>
              <w:jc w:val="center"/>
            </w:pPr>
            <w:r>
              <w:rPr>
                <w:sz w:val="20"/>
              </w:rPr>
              <w:t xml:space="preserve">г. Щигры</w:t>
            </w:r>
          </w:p>
        </w:tc>
        <w:tc>
          <w:tcPr>
            <w:tcW w:w="1247" w:type="dxa"/>
            <w:vAlign w:val="center"/>
          </w:tcPr>
          <w:p>
            <w:pPr>
              <w:pStyle w:val="0"/>
              <w:jc w:val="center"/>
            </w:pPr>
            <w:r>
              <w:rPr>
                <w:sz w:val="20"/>
              </w:rPr>
              <w:t xml:space="preserve">1265,4</w:t>
            </w:r>
          </w:p>
        </w:tc>
        <w:tc>
          <w:tcPr>
            <w:tcW w:w="1587" w:type="dxa"/>
            <w:vAlign w:val="center"/>
          </w:tcPr>
          <w:p>
            <w:pPr>
              <w:pStyle w:val="0"/>
              <w:jc w:val="center"/>
            </w:pPr>
            <w:r>
              <w:rPr>
                <w:sz w:val="20"/>
              </w:rPr>
              <w:t xml:space="preserve">9,8</w:t>
            </w:r>
          </w:p>
        </w:tc>
        <w:tc>
          <w:tcPr>
            <w:tcW w:w="1417" w:type="dxa"/>
            <w:vAlign w:val="center"/>
          </w:tcPr>
          <w:p>
            <w:pPr>
              <w:pStyle w:val="0"/>
              <w:jc w:val="center"/>
            </w:pPr>
            <w:r>
              <w:rPr>
                <w:sz w:val="20"/>
              </w:rPr>
              <w:t xml:space="preserve">7,88</w:t>
            </w:r>
          </w:p>
        </w:tc>
        <w:tc>
          <w:tcPr>
            <w:tcW w:w="1304" w:type="dxa"/>
            <w:vAlign w:val="center"/>
          </w:tcPr>
          <w:p>
            <w:pPr>
              <w:pStyle w:val="0"/>
              <w:jc w:val="center"/>
            </w:pPr>
            <w:r>
              <w:rPr>
                <w:sz w:val="20"/>
              </w:rPr>
              <w:t xml:space="preserve">0</w:t>
            </w:r>
          </w:p>
        </w:tc>
        <w:tc>
          <w:tcPr>
            <w:tcW w:w="1191" w:type="dxa"/>
            <w:vAlign w:val="center"/>
          </w:tcPr>
          <w:p>
            <w:pPr>
              <w:pStyle w:val="0"/>
              <w:jc w:val="center"/>
            </w:pPr>
            <w:r>
              <w:rPr>
                <w:sz w:val="20"/>
              </w:rPr>
              <w:t xml:space="preserve">9,8</w:t>
            </w:r>
          </w:p>
        </w:tc>
      </w:tr>
      <w:tr>
        <w:tc>
          <w:tcPr>
            <w:tcW w:w="510" w:type="dxa"/>
            <w:vAlign w:val="center"/>
          </w:tcPr>
          <w:p>
            <w:pPr>
              <w:pStyle w:val="0"/>
              <w:jc w:val="both"/>
            </w:pPr>
            <w:r>
              <w:rPr>
                <w:sz w:val="20"/>
              </w:rPr>
              <w:t xml:space="preserve">22</w:t>
            </w:r>
          </w:p>
        </w:tc>
        <w:tc>
          <w:tcPr>
            <w:tcW w:w="1899" w:type="dxa"/>
            <w:vAlign w:val="center"/>
          </w:tcPr>
          <w:p>
            <w:pPr>
              <w:pStyle w:val="0"/>
              <w:jc w:val="both"/>
            </w:pPr>
            <w:r>
              <w:rPr>
                <w:sz w:val="20"/>
              </w:rPr>
              <w:t xml:space="preserve">Большесолдатский район</w:t>
            </w:r>
          </w:p>
        </w:tc>
        <w:tc>
          <w:tcPr>
            <w:tcW w:w="1431" w:type="dxa"/>
            <w:vAlign w:val="center"/>
          </w:tcPr>
          <w:p>
            <w:pPr>
              <w:pStyle w:val="0"/>
              <w:jc w:val="center"/>
            </w:pPr>
            <w:r>
              <w:rPr>
                <w:sz w:val="20"/>
              </w:rPr>
              <w:t xml:space="preserve">с. Большое Солдатское</w:t>
            </w:r>
          </w:p>
        </w:tc>
        <w:tc>
          <w:tcPr>
            <w:tcW w:w="1247" w:type="dxa"/>
            <w:vAlign w:val="center"/>
          </w:tcPr>
          <w:p>
            <w:pPr>
              <w:pStyle w:val="0"/>
              <w:jc w:val="center"/>
            </w:pPr>
            <w:r>
              <w:rPr>
                <w:sz w:val="20"/>
              </w:rPr>
              <w:t xml:space="preserve">810,6</w:t>
            </w:r>
          </w:p>
        </w:tc>
        <w:tc>
          <w:tcPr>
            <w:tcW w:w="1587" w:type="dxa"/>
            <w:vAlign w:val="center"/>
          </w:tcPr>
          <w:p>
            <w:pPr>
              <w:pStyle w:val="0"/>
              <w:jc w:val="center"/>
            </w:pPr>
            <w:r>
              <w:rPr>
                <w:sz w:val="20"/>
              </w:rPr>
              <w:t xml:space="preserve">10,7</w:t>
            </w:r>
          </w:p>
        </w:tc>
        <w:tc>
          <w:tcPr>
            <w:tcW w:w="1417" w:type="dxa"/>
            <w:vAlign w:val="center"/>
          </w:tcPr>
          <w:p>
            <w:pPr>
              <w:pStyle w:val="0"/>
              <w:jc w:val="center"/>
            </w:pPr>
            <w:r>
              <w:rPr>
                <w:sz w:val="20"/>
              </w:rPr>
              <w:t xml:space="preserve">13,6</w:t>
            </w:r>
          </w:p>
        </w:tc>
        <w:tc>
          <w:tcPr>
            <w:tcW w:w="1304" w:type="dxa"/>
            <w:vAlign w:val="center"/>
          </w:tcPr>
          <w:p>
            <w:pPr>
              <w:pStyle w:val="0"/>
              <w:jc w:val="center"/>
            </w:pPr>
            <w:r>
              <w:rPr>
                <w:sz w:val="20"/>
              </w:rPr>
              <w:t xml:space="preserve">0</w:t>
            </w:r>
          </w:p>
        </w:tc>
        <w:tc>
          <w:tcPr>
            <w:tcW w:w="1191" w:type="dxa"/>
            <w:vAlign w:val="center"/>
          </w:tcPr>
          <w:p>
            <w:pPr>
              <w:pStyle w:val="0"/>
              <w:jc w:val="center"/>
            </w:pPr>
            <w:r>
              <w:rPr>
                <w:sz w:val="20"/>
              </w:rPr>
              <w:t xml:space="preserve">10,7</w:t>
            </w:r>
          </w:p>
        </w:tc>
      </w:tr>
      <w:tr>
        <w:tc>
          <w:tcPr>
            <w:tcW w:w="510" w:type="dxa"/>
            <w:vAlign w:val="center"/>
          </w:tcPr>
          <w:p>
            <w:pPr>
              <w:pStyle w:val="0"/>
              <w:jc w:val="both"/>
            </w:pPr>
            <w:r>
              <w:rPr>
                <w:sz w:val="20"/>
              </w:rPr>
              <w:t xml:space="preserve">23</w:t>
            </w:r>
          </w:p>
        </w:tc>
        <w:tc>
          <w:tcPr>
            <w:tcW w:w="1899" w:type="dxa"/>
            <w:vAlign w:val="center"/>
          </w:tcPr>
          <w:p>
            <w:pPr>
              <w:pStyle w:val="0"/>
              <w:jc w:val="both"/>
            </w:pPr>
            <w:r>
              <w:rPr>
                <w:sz w:val="20"/>
              </w:rPr>
              <w:t xml:space="preserve">Тимский район</w:t>
            </w:r>
          </w:p>
        </w:tc>
        <w:tc>
          <w:tcPr>
            <w:tcW w:w="1431" w:type="dxa"/>
            <w:vAlign w:val="center"/>
          </w:tcPr>
          <w:p>
            <w:pPr>
              <w:pStyle w:val="0"/>
              <w:jc w:val="center"/>
            </w:pPr>
            <w:r>
              <w:rPr>
                <w:sz w:val="20"/>
              </w:rPr>
              <w:t xml:space="preserve">п. Тим</w:t>
            </w:r>
          </w:p>
        </w:tc>
        <w:tc>
          <w:tcPr>
            <w:tcW w:w="1247" w:type="dxa"/>
            <w:vAlign w:val="center"/>
          </w:tcPr>
          <w:p>
            <w:pPr>
              <w:pStyle w:val="0"/>
              <w:jc w:val="center"/>
            </w:pPr>
            <w:r>
              <w:rPr>
                <w:sz w:val="20"/>
              </w:rPr>
              <w:t xml:space="preserve">882,2</w:t>
            </w:r>
          </w:p>
        </w:tc>
        <w:tc>
          <w:tcPr>
            <w:tcW w:w="1587" w:type="dxa"/>
            <w:vAlign w:val="center"/>
          </w:tcPr>
          <w:p>
            <w:pPr>
              <w:pStyle w:val="0"/>
              <w:jc w:val="center"/>
            </w:pPr>
            <w:r>
              <w:rPr>
                <w:sz w:val="20"/>
              </w:rPr>
              <w:t xml:space="preserve">10,5</w:t>
            </w:r>
          </w:p>
        </w:tc>
        <w:tc>
          <w:tcPr>
            <w:tcW w:w="1417" w:type="dxa"/>
            <w:vAlign w:val="center"/>
          </w:tcPr>
          <w:p>
            <w:pPr>
              <w:pStyle w:val="0"/>
              <w:jc w:val="center"/>
            </w:pPr>
            <w:r>
              <w:rPr>
                <w:sz w:val="20"/>
              </w:rPr>
              <w:t xml:space="preserve">12,2</w:t>
            </w:r>
          </w:p>
        </w:tc>
        <w:tc>
          <w:tcPr>
            <w:tcW w:w="1304" w:type="dxa"/>
            <w:vAlign w:val="center"/>
          </w:tcPr>
          <w:p>
            <w:pPr>
              <w:pStyle w:val="0"/>
              <w:jc w:val="center"/>
            </w:pPr>
            <w:r>
              <w:rPr>
                <w:sz w:val="20"/>
              </w:rPr>
              <w:t xml:space="preserve">2,9</w:t>
            </w:r>
          </w:p>
        </w:tc>
        <w:tc>
          <w:tcPr>
            <w:tcW w:w="1191" w:type="dxa"/>
            <w:vAlign w:val="center"/>
          </w:tcPr>
          <w:p>
            <w:pPr>
              <w:pStyle w:val="0"/>
              <w:jc w:val="center"/>
            </w:pPr>
            <w:r>
              <w:rPr>
                <w:sz w:val="20"/>
              </w:rPr>
              <w:t xml:space="preserve">7,6</w:t>
            </w:r>
          </w:p>
        </w:tc>
      </w:tr>
      <w:tr>
        <w:tc>
          <w:tcPr>
            <w:tcW w:w="510" w:type="dxa"/>
            <w:vAlign w:val="center"/>
          </w:tcPr>
          <w:p>
            <w:pPr>
              <w:pStyle w:val="0"/>
              <w:jc w:val="both"/>
            </w:pPr>
            <w:r>
              <w:rPr>
                <w:sz w:val="20"/>
              </w:rPr>
              <w:t xml:space="preserve">24</w:t>
            </w:r>
          </w:p>
        </w:tc>
        <w:tc>
          <w:tcPr>
            <w:tcW w:w="1899" w:type="dxa"/>
            <w:vAlign w:val="center"/>
          </w:tcPr>
          <w:p>
            <w:pPr>
              <w:pStyle w:val="0"/>
              <w:jc w:val="both"/>
            </w:pPr>
            <w:r>
              <w:rPr>
                <w:sz w:val="20"/>
              </w:rPr>
              <w:t xml:space="preserve">Хомутовский район</w:t>
            </w:r>
          </w:p>
        </w:tc>
        <w:tc>
          <w:tcPr>
            <w:tcW w:w="1431" w:type="dxa"/>
            <w:vAlign w:val="center"/>
          </w:tcPr>
          <w:p>
            <w:pPr>
              <w:pStyle w:val="0"/>
              <w:jc w:val="center"/>
            </w:pPr>
            <w:r>
              <w:rPr>
                <w:sz w:val="20"/>
              </w:rPr>
              <w:t xml:space="preserve">п. Хомутовка</w:t>
            </w:r>
          </w:p>
        </w:tc>
        <w:tc>
          <w:tcPr>
            <w:tcW w:w="1247" w:type="dxa"/>
            <w:vAlign w:val="center"/>
          </w:tcPr>
          <w:p>
            <w:pPr>
              <w:pStyle w:val="0"/>
              <w:jc w:val="center"/>
            </w:pPr>
            <w:r>
              <w:rPr>
                <w:sz w:val="20"/>
              </w:rPr>
              <w:t xml:space="preserve">1194,9</w:t>
            </w:r>
          </w:p>
        </w:tc>
        <w:tc>
          <w:tcPr>
            <w:tcW w:w="1587" w:type="dxa"/>
            <w:vAlign w:val="center"/>
          </w:tcPr>
          <w:p>
            <w:pPr>
              <w:pStyle w:val="0"/>
              <w:jc w:val="center"/>
            </w:pPr>
            <w:r>
              <w:rPr>
                <w:sz w:val="20"/>
              </w:rPr>
              <w:t xml:space="preserve">8,7</w:t>
            </w:r>
          </w:p>
        </w:tc>
        <w:tc>
          <w:tcPr>
            <w:tcW w:w="1417" w:type="dxa"/>
            <w:vAlign w:val="center"/>
          </w:tcPr>
          <w:p>
            <w:pPr>
              <w:pStyle w:val="0"/>
              <w:jc w:val="center"/>
            </w:pPr>
            <w:r>
              <w:rPr>
                <w:sz w:val="20"/>
              </w:rPr>
              <w:t xml:space="preserve">7,5</w:t>
            </w:r>
          </w:p>
        </w:tc>
        <w:tc>
          <w:tcPr>
            <w:tcW w:w="1304" w:type="dxa"/>
            <w:vAlign w:val="center"/>
          </w:tcPr>
          <w:p>
            <w:pPr>
              <w:pStyle w:val="0"/>
              <w:jc w:val="center"/>
            </w:pPr>
            <w:r>
              <w:rPr>
                <w:sz w:val="20"/>
              </w:rPr>
              <w:t xml:space="preserve">3,5</w:t>
            </w:r>
          </w:p>
        </w:tc>
        <w:tc>
          <w:tcPr>
            <w:tcW w:w="1191" w:type="dxa"/>
            <w:vAlign w:val="center"/>
          </w:tcPr>
          <w:p>
            <w:pPr>
              <w:pStyle w:val="0"/>
              <w:jc w:val="center"/>
            </w:pPr>
            <w:r>
              <w:rPr>
                <w:sz w:val="20"/>
              </w:rPr>
              <w:t xml:space="preserve">5,2</w:t>
            </w:r>
          </w:p>
        </w:tc>
      </w:tr>
      <w:tr>
        <w:tc>
          <w:tcPr>
            <w:tcW w:w="510" w:type="dxa"/>
            <w:vAlign w:val="center"/>
          </w:tcPr>
          <w:p>
            <w:pPr>
              <w:pStyle w:val="0"/>
              <w:jc w:val="both"/>
            </w:pPr>
            <w:r>
              <w:rPr>
                <w:sz w:val="20"/>
              </w:rPr>
              <w:t xml:space="preserve">25</w:t>
            </w:r>
          </w:p>
        </w:tc>
        <w:tc>
          <w:tcPr>
            <w:tcW w:w="1899" w:type="dxa"/>
            <w:vAlign w:val="center"/>
          </w:tcPr>
          <w:p>
            <w:pPr>
              <w:pStyle w:val="0"/>
              <w:jc w:val="both"/>
            </w:pPr>
            <w:r>
              <w:rPr>
                <w:sz w:val="20"/>
              </w:rPr>
              <w:t xml:space="preserve">Льговский район</w:t>
            </w:r>
          </w:p>
        </w:tc>
        <w:tc>
          <w:tcPr>
            <w:tcW w:w="1431" w:type="dxa"/>
            <w:vAlign w:val="center"/>
          </w:tcPr>
          <w:p>
            <w:pPr>
              <w:pStyle w:val="0"/>
              <w:jc w:val="center"/>
            </w:pPr>
            <w:r>
              <w:rPr>
                <w:sz w:val="20"/>
              </w:rPr>
              <w:t xml:space="preserve">г. Льгов</w:t>
            </w:r>
          </w:p>
        </w:tc>
        <w:tc>
          <w:tcPr>
            <w:tcW w:w="1247" w:type="dxa"/>
            <w:vAlign w:val="center"/>
          </w:tcPr>
          <w:p>
            <w:pPr>
              <w:pStyle w:val="0"/>
              <w:jc w:val="center"/>
            </w:pPr>
            <w:r>
              <w:rPr>
                <w:sz w:val="20"/>
              </w:rPr>
              <w:t xml:space="preserve">1030,0</w:t>
            </w:r>
          </w:p>
        </w:tc>
        <w:tc>
          <w:tcPr>
            <w:tcW w:w="1587" w:type="dxa"/>
            <w:vAlign w:val="center"/>
          </w:tcPr>
          <w:p>
            <w:pPr>
              <w:pStyle w:val="0"/>
              <w:jc w:val="center"/>
            </w:pPr>
            <w:r>
              <w:rPr>
                <w:sz w:val="20"/>
              </w:rPr>
              <w:t xml:space="preserve">11,3</w:t>
            </w:r>
          </w:p>
        </w:tc>
        <w:tc>
          <w:tcPr>
            <w:tcW w:w="1417" w:type="dxa"/>
            <w:vAlign w:val="center"/>
          </w:tcPr>
          <w:p>
            <w:pPr>
              <w:pStyle w:val="0"/>
              <w:jc w:val="center"/>
            </w:pPr>
            <w:r>
              <w:rPr>
                <w:sz w:val="20"/>
              </w:rPr>
              <w:t xml:space="preserve">11,3</w:t>
            </w:r>
          </w:p>
        </w:tc>
        <w:tc>
          <w:tcPr>
            <w:tcW w:w="1304" w:type="dxa"/>
            <w:vAlign w:val="center"/>
          </w:tcPr>
          <w:p>
            <w:pPr>
              <w:pStyle w:val="0"/>
              <w:jc w:val="center"/>
            </w:pPr>
            <w:r>
              <w:rPr>
                <w:sz w:val="20"/>
              </w:rPr>
              <w:t xml:space="preserve">0</w:t>
            </w:r>
          </w:p>
        </w:tc>
        <w:tc>
          <w:tcPr>
            <w:tcW w:w="1191" w:type="dxa"/>
            <w:vAlign w:val="center"/>
          </w:tcPr>
          <w:p>
            <w:pPr>
              <w:pStyle w:val="0"/>
              <w:jc w:val="center"/>
            </w:pPr>
            <w:r>
              <w:rPr>
                <w:sz w:val="20"/>
              </w:rPr>
              <w:t xml:space="preserve">11,3</w:t>
            </w:r>
          </w:p>
        </w:tc>
      </w:tr>
      <w:tr>
        <w:tc>
          <w:tcPr>
            <w:tcW w:w="510" w:type="dxa"/>
            <w:vAlign w:val="center"/>
          </w:tcPr>
          <w:p>
            <w:pPr>
              <w:pStyle w:val="0"/>
              <w:jc w:val="both"/>
            </w:pPr>
            <w:r>
              <w:rPr>
                <w:sz w:val="20"/>
              </w:rPr>
              <w:t xml:space="preserve">26</w:t>
            </w:r>
          </w:p>
        </w:tc>
        <w:tc>
          <w:tcPr>
            <w:tcW w:w="1899" w:type="dxa"/>
            <w:vAlign w:val="center"/>
          </w:tcPr>
          <w:p>
            <w:pPr>
              <w:pStyle w:val="0"/>
              <w:jc w:val="both"/>
            </w:pPr>
            <w:r>
              <w:rPr>
                <w:sz w:val="20"/>
              </w:rPr>
              <w:t xml:space="preserve">Октябрьский район</w:t>
            </w:r>
          </w:p>
        </w:tc>
        <w:tc>
          <w:tcPr>
            <w:tcW w:w="1431" w:type="dxa"/>
            <w:vAlign w:val="center"/>
          </w:tcPr>
          <w:p>
            <w:pPr>
              <w:pStyle w:val="0"/>
              <w:jc w:val="center"/>
            </w:pPr>
            <w:r>
              <w:rPr>
                <w:sz w:val="20"/>
              </w:rPr>
              <w:t xml:space="preserve">п.г.т. Прямицыно</w:t>
            </w:r>
          </w:p>
        </w:tc>
        <w:tc>
          <w:tcPr>
            <w:tcW w:w="1247" w:type="dxa"/>
            <w:vAlign w:val="center"/>
          </w:tcPr>
          <w:p>
            <w:pPr>
              <w:pStyle w:val="0"/>
              <w:jc w:val="center"/>
            </w:pPr>
            <w:r>
              <w:rPr>
                <w:sz w:val="20"/>
              </w:rPr>
              <w:t xml:space="preserve">628,0</w:t>
            </w:r>
          </w:p>
        </w:tc>
        <w:tc>
          <w:tcPr>
            <w:tcW w:w="1587" w:type="dxa"/>
            <w:vAlign w:val="center"/>
          </w:tcPr>
          <w:p>
            <w:pPr>
              <w:pStyle w:val="0"/>
              <w:jc w:val="center"/>
            </w:pPr>
            <w:r>
              <w:rPr>
                <w:sz w:val="20"/>
              </w:rPr>
              <w:t xml:space="preserve">24,3</w:t>
            </w:r>
          </w:p>
        </w:tc>
        <w:tc>
          <w:tcPr>
            <w:tcW w:w="1417" w:type="dxa"/>
            <w:vAlign w:val="center"/>
          </w:tcPr>
          <w:p>
            <w:pPr>
              <w:pStyle w:val="0"/>
              <w:jc w:val="center"/>
            </w:pPr>
            <w:r>
              <w:rPr>
                <w:sz w:val="20"/>
              </w:rPr>
              <w:t xml:space="preserve">38,98</w:t>
            </w:r>
          </w:p>
        </w:tc>
        <w:tc>
          <w:tcPr>
            <w:tcW w:w="1304" w:type="dxa"/>
            <w:vAlign w:val="center"/>
          </w:tcPr>
          <w:p>
            <w:pPr>
              <w:pStyle w:val="0"/>
              <w:jc w:val="center"/>
            </w:pPr>
            <w:r>
              <w:rPr>
                <w:sz w:val="20"/>
              </w:rPr>
              <w:t xml:space="preserve">5,3</w:t>
            </w:r>
          </w:p>
        </w:tc>
        <w:tc>
          <w:tcPr>
            <w:tcW w:w="1191" w:type="dxa"/>
            <w:vAlign w:val="center"/>
          </w:tcPr>
          <w:p>
            <w:pPr>
              <w:pStyle w:val="0"/>
              <w:jc w:val="center"/>
            </w:pPr>
            <w:r>
              <w:rPr>
                <w:sz w:val="20"/>
              </w:rPr>
              <w:t xml:space="preserve">19,0</w:t>
            </w:r>
          </w:p>
        </w:tc>
      </w:tr>
      <w:tr>
        <w:tc>
          <w:tcPr>
            <w:tcW w:w="510" w:type="dxa"/>
            <w:vAlign w:val="center"/>
          </w:tcPr>
          <w:p>
            <w:pPr>
              <w:pStyle w:val="0"/>
              <w:jc w:val="both"/>
            </w:pPr>
            <w:r>
              <w:rPr>
                <w:sz w:val="20"/>
              </w:rPr>
              <w:t xml:space="preserve">27</w:t>
            </w:r>
          </w:p>
        </w:tc>
        <w:tc>
          <w:tcPr>
            <w:tcW w:w="1899" w:type="dxa"/>
            <w:vAlign w:val="center"/>
          </w:tcPr>
          <w:p>
            <w:pPr>
              <w:pStyle w:val="0"/>
              <w:jc w:val="both"/>
            </w:pPr>
            <w:r>
              <w:rPr>
                <w:sz w:val="20"/>
              </w:rPr>
              <w:t xml:space="preserve">Курчатовский район</w:t>
            </w:r>
          </w:p>
        </w:tc>
        <w:tc>
          <w:tcPr>
            <w:tcW w:w="1431" w:type="dxa"/>
            <w:vAlign w:val="center"/>
          </w:tcPr>
          <w:p>
            <w:pPr>
              <w:pStyle w:val="0"/>
              <w:jc w:val="center"/>
            </w:pPr>
            <w:r>
              <w:rPr>
                <w:sz w:val="20"/>
              </w:rPr>
              <w:t xml:space="preserve">г. Курчатов</w:t>
            </w:r>
          </w:p>
        </w:tc>
        <w:tc>
          <w:tcPr>
            <w:tcW w:w="1247" w:type="dxa"/>
            <w:vAlign w:val="center"/>
          </w:tcPr>
          <w:p>
            <w:pPr>
              <w:pStyle w:val="0"/>
              <w:jc w:val="center"/>
            </w:pPr>
            <w:r>
              <w:rPr>
                <w:sz w:val="20"/>
              </w:rPr>
              <w:t xml:space="preserve">621,5</w:t>
            </w:r>
          </w:p>
        </w:tc>
        <w:tc>
          <w:tcPr>
            <w:tcW w:w="1587" w:type="dxa"/>
            <w:vAlign w:val="center"/>
          </w:tcPr>
          <w:p>
            <w:pPr>
              <w:pStyle w:val="0"/>
              <w:jc w:val="center"/>
            </w:pPr>
            <w:r>
              <w:rPr>
                <w:sz w:val="20"/>
              </w:rPr>
              <w:t xml:space="preserve">18,0</w:t>
            </w:r>
          </w:p>
        </w:tc>
        <w:tc>
          <w:tcPr>
            <w:tcW w:w="1417" w:type="dxa"/>
            <w:vAlign w:val="center"/>
          </w:tcPr>
          <w:p>
            <w:pPr>
              <w:pStyle w:val="0"/>
              <w:jc w:val="center"/>
            </w:pPr>
            <w:r>
              <w:rPr>
                <w:sz w:val="20"/>
              </w:rPr>
              <w:t xml:space="preserve">29,84</w:t>
            </w:r>
          </w:p>
        </w:tc>
        <w:tc>
          <w:tcPr>
            <w:tcW w:w="1304" w:type="dxa"/>
            <w:vAlign w:val="center"/>
          </w:tcPr>
          <w:p>
            <w:pPr>
              <w:pStyle w:val="0"/>
              <w:jc w:val="center"/>
            </w:pPr>
            <w:r>
              <w:rPr>
                <w:sz w:val="20"/>
              </w:rPr>
              <w:t xml:space="preserve">10,3</w:t>
            </w:r>
          </w:p>
        </w:tc>
        <w:tc>
          <w:tcPr>
            <w:tcW w:w="1191" w:type="dxa"/>
            <w:vAlign w:val="center"/>
          </w:tcPr>
          <w:p>
            <w:pPr>
              <w:pStyle w:val="0"/>
              <w:jc w:val="center"/>
            </w:pPr>
            <w:r>
              <w:rPr>
                <w:sz w:val="20"/>
              </w:rPr>
              <w:t xml:space="preserve">7,7</w:t>
            </w:r>
          </w:p>
        </w:tc>
      </w:tr>
      <w:tr>
        <w:tc>
          <w:tcPr>
            <w:tcW w:w="510" w:type="dxa"/>
            <w:vAlign w:val="center"/>
          </w:tcPr>
          <w:p>
            <w:pPr>
              <w:pStyle w:val="0"/>
              <w:jc w:val="both"/>
            </w:pPr>
            <w:r>
              <w:rPr>
                <w:sz w:val="20"/>
              </w:rPr>
              <w:t xml:space="preserve">28</w:t>
            </w:r>
          </w:p>
        </w:tc>
        <w:tc>
          <w:tcPr>
            <w:tcW w:w="1899" w:type="dxa"/>
            <w:vAlign w:val="center"/>
          </w:tcPr>
          <w:p>
            <w:pPr>
              <w:pStyle w:val="0"/>
              <w:jc w:val="both"/>
            </w:pPr>
            <w:r>
              <w:rPr>
                <w:sz w:val="20"/>
              </w:rPr>
              <w:t xml:space="preserve">Поныровский район</w:t>
            </w:r>
          </w:p>
        </w:tc>
        <w:tc>
          <w:tcPr>
            <w:tcW w:w="1431" w:type="dxa"/>
            <w:vAlign w:val="center"/>
          </w:tcPr>
          <w:p>
            <w:pPr>
              <w:pStyle w:val="0"/>
              <w:jc w:val="center"/>
            </w:pPr>
            <w:r>
              <w:rPr>
                <w:sz w:val="20"/>
              </w:rPr>
              <w:t xml:space="preserve">п.г.т. Поныри</w:t>
            </w:r>
          </w:p>
        </w:tc>
        <w:tc>
          <w:tcPr>
            <w:tcW w:w="1247" w:type="dxa"/>
            <w:vAlign w:val="center"/>
          </w:tcPr>
          <w:p>
            <w:pPr>
              <w:pStyle w:val="0"/>
              <w:jc w:val="center"/>
            </w:pPr>
            <w:r>
              <w:rPr>
                <w:sz w:val="20"/>
              </w:rPr>
              <w:t xml:space="preserve">672,8</w:t>
            </w:r>
          </w:p>
        </w:tc>
        <w:tc>
          <w:tcPr>
            <w:tcW w:w="1587" w:type="dxa"/>
            <w:vAlign w:val="center"/>
          </w:tcPr>
          <w:p>
            <w:pPr>
              <w:pStyle w:val="0"/>
              <w:jc w:val="center"/>
            </w:pPr>
            <w:r>
              <w:rPr>
                <w:sz w:val="20"/>
              </w:rPr>
              <w:t xml:space="preserve">10,6</w:t>
            </w:r>
          </w:p>
        </w:tc>
        <w:tc>
          <w:tcPr>
            <w:tcW w:w="1417" w:type="dxa"/>
            <w:vAlign w:val="center"/>
          </w:tcPr>
          <w:p>
            <w:pPr>
              <w:pStyle w:val="0"/>
              <w:jc w:val="center"/>
            </w:pPr>
            <w:r>
              <w:rPr>
                <w:sz w:val="20"/>
              </w:rPr>
              <w:t xml:space="preserve">16,0</w:t>
            </w:r>
          </w:p>
        </w:tc>
        <w:tc>
          <w:tcPr>
            <w:tcW w:w="1304" w:type="dxa"/>
            <w:vAlign w:val="center"/>
          </w:tcPr>
          <w:p>
            <w:pPr>
              <w:pStyle w:val="0"/>
              <w:jc w:val="center"/>
            </w:pPr>
            <w:r>
              <w:rPr>
                <w:sz w:val="20"/>
              </w:rPr>
              <w:t xml:space="preserve">4,6</w:t>
            </w:r>
          </w:p>
        </w:tc>
        <w:tc>
          <w:tcPr>
            <w:tcW w:w="1191" w:type="dxa"/>
            <w:vAlign w:val="center"/>
          </w:tcPr>
          <w:p>
            <w:pPr>
              <w:pStyle w:val="0"/>
              <w:jc w:val="center"/>
            </w:pPr>
            <w:r>
              <w:rPr>
                <w:sz w:val="20"/>
              </w:rPr>
              <w:t xml:space="preserve">6,0</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Источник: Оценка численности населения Курской области на 1 января 2019 года, Курскстат. URL: </w:t>
      </w:r>
      <w:r>
        <w:rPr>
          <w:sz w:val="20"/>
        </w:rPr>
        <w:t xml:space="preserve">http://kurskstat.gks.ru</w:t>
      </w:r>
      <w:r>
        <w:rPr>
          <w:sz w:val="20"/>
        </w:rPr>
        <w:t xml:space="preserve">.</w:t>
      </w:r>
    </w:p>
    <w:p>
      <w:pPr>
        <w:pStyle w:val="0"/>
        <w:jc w:val="both"/>
      </w:pPr>
      <w:r>
        <w:rPr>
          <w:sz w:val="20"/>
        </w:rPr>
      </w:r>
    </w:p>
    <w:p>
      <w:pPr>
        <w:pStyle w:val="0"/>
        <w:outlineLvl w:val="2"/>
        <w:jc w:val="right"/>
      </w:pPr>
      <w:r>
        <w:rPr>
          <w:sz w:val="20"/>
        </w:rPr>
        <w:t xml:space="preserve">Таблица N 2</w:t>
      </w:r>
    </w:p>
    <w:p>
      <w:pPr>
        <w:pStyle w:val="0"/>
        <w:jc w:val="both"/>
      </w:pPr>
      <w:r>
        <w:rPr>
          <w:sz w:val="20"/>
        </w:rPr>
      </w:r>
    </w:p>
    <w:p>
      <w:pPr>
        <w:pStyle w:val="2"/>
        <w:jc w:val="center"/>
      </w:pPr>
      <w:r>
        <w:rPr>
          <w:sz w:val="20"/>
        </w:rPr>
        <w:t xml:space="preserve">Ключевые показатели социально-экономического развития</w:t>
      </w:r>
    </w:p>
    <w:p>
      <w:pPr>
        <w:pStyle w:val="2"/>
        <w:jc w:val="center"/>
      </w:pPr>
      <w:r>
        <w:rPr>
          <w:sz w:val="20"/>
        </w:rPr>
        <w:t xml:space="preserve">муниципальных образований Курской области в 2018 году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3"/>
        <w:gridCol w:w="2154"/>
        <w:gridCol w:w="2665"/>
        <w:gridCol w:w="1417"/>
        <w:gridCol w:w="2665"/>
      </w:tblGrid>
      <w:tr>
        <w:tc>
          <w:tcPr>
            <w:tcW w:w="563" w:type="dxa"/>
            <w:vAlign w:val="center"/>
          </w:tcPr>
          <w:p>
            <w:pPr>
              <w:pStyle w:val="0"/>
              <w:jc w:val="center"/>
            </w:pPr>
            <w:r>
              <w:rPr>
                <w:sz w:val="20"/>
              </w:rPr>
              <w:t xml:space="preserve">N</w:t>
            </w:r>
          </w:p>
        </w:tc>
        <w:tc>
          <w:tcPr>
            <w:tcW w:w="2154" w:type="dxa"/>
            <w:vAlign w:val="center"/>
          </w:tcPr>
          <w:p>
            <w:pPr>
              <w:pStyle w:val="0"/>
              <w:jc w:val="center"/>
            </w:pPr>
            <w:r>
              <w:rPr>
                <w:sz w:val="20"/>
              </w:rPr>
              <w:t xml:space="preserve">Наименование</w:t>
            </w:r>
          </w:p>
        </w:tc>
        <w:tc>
          <w:tcPr>
            <w:tcW w:w="2665" w:type="dxa"/>
            <w:vAlign w:val="center"/>
          </w:tcPr>
          <w:p>
            <w:pPr>
              <w:pStyle w:val="0"/>
              <w:jc w:val="center"/>
            </w:pPr>
            <w:r>
              <w:rPr>
                <w:sz w:val="20"/>
              </w:rPr>
              <w:t xml:space="preserve">Объем отгруженной продукции, млрд. рублей</w:t>
            </w:r>
          </w:p>
          <w:p>
            <w:pPr>
              <w:pStyle w:val="0"/>
              <w:jc w:val="center"/>
            </w:pPr>
            <w:r>
              <w:rPr>
                <w:sz w:val="20"/>
              </w:rPr>
              <w:t xml:space="preserve">(отгружено товаров собственного производства, выполнено работ и услуг собственными силами (без субъектов малого предпринимательства)</w:t>
            </w:r>
          </w:p>
        </w:tc>
        <w:tc>
          <w:tcPr>
            <w:tcW w:w="1417" w:type="dxa"/>
            <w:vAlign w:val="center"/>
          </w:tcPr>
          <w:p>
            <w:pPr>
              <w:pStyle w:val="0"/>
              <w:jc w:val="center"/>
            </w:pPr>
            <w:r>
              <w:rPr>
                <w:sz w:val="20"/>
              </w:rPr>
              <w:t xml:space="preserve">Среднемесячная заработная плата (кроме МСП), тыс. рублей</w:t>
            </w:r>
          </w:p>
        </w:tc>
        <w:tc>
          <w:tcPr>
            <w:tcW w:w="2665" w:type="dxa"/>
            <w:vAlign w:val="center"/>
          </w:tcPr>
          <w:p>
            <w:pPr>
              <w:pStyle w:val="0"/>
              <w:jc w:val="center"/>
            </w:pPr>
            <w:r>
              <w:rPr>
                <w:sz w:val="20"/>
              </w:rPr>
              <w:t xml:space="preserve">Объем инвестиций в основной капитал, осуществляемых организациями, находящимися на территории муниципального образования (без субъектов малого предпринимательства)</w:t>
            </w:r>
          </w:p>
          <w:p>
            <w:pPr>
              <w:pStyle w:val="0"/>
              <w:jc w:val="center"/>
            </w:pPr>
            <w:r>
              <w:rPr>
                <w:sz w:val="20"/>
              </w:rPr>
              <w:t xml:space="preserve">млн. рублей</w:t>
            </w:r>
          </w:p>
        </w:tc>
      </w:tr>
      <w:tr>
        <w:tc>
          <w:tcPr>
            <w:tcW w:w="563" w:type="dxa"/>
            <w:vAlign w:val="center"/>
          </w:tcPr>
          <w:p>
            <w:pPr>
              <w:pStyle w:val="0"/>
            </w:pPr>
            <w:r>
              <w:rPr>
                <w:sz w:val="20"/>
              </w:rPr>
            </w:r>
          </w:p>
        </w:tc>
        <w:tc>
          <w:tcPr>
            <w:tcW w:w="2154" w:type="dxa"/>
            <w:vAlign w:val="center"/>
          </w:tcPr>
          <w:p>
            <w:pPr>
              <w:pStyle w:val="0"/>
              <w:jc w:val="both"/>
            </w:pPr>
            <w:r>
              <w:rPr>
                <w:sz w:val="20"/>
              </w:rPr>
              <w:t xml:space="preserve">Курская область</w:t>
            </w:r>
          </w:p>
        </w:tc>
        <w:tc>
          <w:tcPr>
            <w:tcW w:w="2665" w:type="dxa"/>
            <w:vAlign w:val="center"/>
          </w:tcPr>
          <w:p>
            <w:pPr>
              <w:pStyle w:val="0"/>
              <w:jc w:val="right"/>
            </w:pPr>
            <w:r>
              <w:rPr>
                <w:sz w:val="20"/>
              </w:rPr>
              <w:t xml:space="preserve">470,0</w:t>
            </w:r>
          </w:p>
        </w:tc>
        <w:tc>
          <w:tcPr>
            <w:tcW w:w="1417" w:type="dxa"/>
            <w:vAlign w:val="center"/>
          </w:tcPr>
          <w:p>
            <w:pPr>
              <w:pStyle w:val="0"/>
              <w:jc w:val="right"/>
            </w:pPr>
            <w:r>
              <w:rPr>
                <w:sz w:val="20"/>
              </w:rPr>
              <w:t xml:space="preserve">31,8</w:t>
            </w:r>
          </w:p>
        </w:tc>
        <w:tc>
          <w:tcPr>
            <w:tcW w:w="2665" w:type="dxa"/>
            <w:vAlign w:val="center"/>
          </w:tcPr>
          <w:p>
            <w:pPr>
              <w:pStyle w:val="0"/>
              <w:jc w:val="right"/>
            </w:pPr>
            <w:r>
              <w:rPr>
                <w:sz w:val="20"/>
              </w:rPr>
              <w:t xml:space="preserve">93200,3</w:t>
            </w:r>
          </w:p>
        </w:tc>
      </w:tr>
      <w:tr>
        <w:tc>
          <w:tcPr>
            <w:tcW w:w="563" w:type="dxa"/>
            <w:vAlign w:val="center"/>
          </w:tcPr>
          <w:p>
            <w:pPr>
              <w:pStyle w:val="0"/>
              <w:jc w:val="both"/>
            </w:pPr>
            <w:r>
              <w:rPr>
                <w:sz w:val="20"/>
              </w:rPr>
              <w:t xml:space="preserve">I</w:t>
            </w:r>
          </w:p>
        </w:tc>
        <w:tc>
          <w:tcPr>
            <w:tcW w:w="2154" w:type="dxa"/>
            <w:vAlign w:val="center"/>
          </w:tcPr>
          <w:p>
            <w:pPr>
              <w:pStyle w:val="0"/>
              <w:jc w:val="both"/>
            </w:pPr>
            <w:r>
              <w:rPr>
                <w:sz w:val="20"/>
              </w:rPr>
              <w:t xml:space="preserve">Город Курск</w:t>
            </w:r>
          </w:p>
        </w:tc>
        <w:tc>
          <w:tcPr>
            <w:tcW w:w="2665" w:type="dxa"/>
            <w:vAlign w:val="center"/>
          </w:tcPr>
          <w:p>
            <w:pPr>
              <w:pStyle w:val="0"/>
              <w:jc w:val="right"/>
            </w:pPr>
            <w:r>
              <w:rPr>
                <w:sz w:val="20"/>
              </w:rPr>
              <w:t xml:space="preserve">149,10</w:t>
            </w:r>
          </w:p>
        </w:tc>
        <w:tc>
          <w:tcPr>
            <w:tcW w:w="1417" w:type="dxa"/>
            <w:vAlign w:val="center"/>
          </w:tcPr>
          <w:p>
            <w:pPr>
              <w:pStyle w:val="0"/>
              <w:jc w:val="right"/>
            </w:pPr>
            <w:r>
              <w:rPr>
                <w:sz w:val="20"/>
              </w:rPr>
              <w:t xml:space="preserve">32,8</w:t>
            </w:r>
          </w:p>
        </w:tc>
        <w:tc>
          <w:tcPr>
            <w:tcW w:w="2665" w:type="dxa"/>
            <w:vAlign w:val="center"/>
          </w:tcPr>
          <w:p>
            <w:pPr>
              <w:pStyle w:val="0"/>
              <w:jc w:val="right"/>
            </w:pPr>
            <w:r>
              <w:rPr>
                <w:sz w:val="20"/>
              </w:rPr>
              <w:t xml:space="preserve">16537,7</w:t>
            </w:r>
          </w:p>
        </w:tc>
      </w:tr>
      <w:tr>
        <w:tc>
          <w:tcPr>
            <w:tcW w:w="563" w:type="dxa"/>
            <w:vAlign w:val="center"/>
          </w:tcPr>
          <w:p>
            <w:pPr>
              <w:pStyle w:val="0"/>
              <w:jc w:val="both"/>
            </w:pPr>
            <w:r>
              <w:rPr>
                <w:sz w:val="20"/>
              </w:rPr>
              <w:t xml:space="preserve">II</w:t>
            </w:r>
          </w:p>
        </w:tc>
        <w:tc>
          <w:tcPr>
            <w:tcW w:w="2154" w:type="dxa"/>
            <w:vAlign w:val="center"/>
          </w:tcPr>
          <w:p>
            <w:pPr>
              <w:pStyle w:val="0"/>
              <w:jc w:val="both"/>
            </w:pPr>
            <w:r>
              <w:rPr>
                <w:sz w:val="20"/>
              </w:rPr>
              <w:t xml:space="preserve">Город Железногорск</w:t>
            </w:r>
          </w:p>
        </w:tc>
        <w:tc>
          <w:tcPr>
            <w:tcW w:w="2665" w:type="dxa"/>
            <w:vAlign w:val="center"/>
          </w:tcPr>
          <w:p>
            <w:pPr>
              <w:pStyle w:val="0"/>
              <w:jc w:val="right"/>
            </w:pPr>
            <w:r>
              <w:rPr>
                <w:sz w:val="20"/>
              </w:rPr>
              <w:t xml:space="preserve">136,15</w:t>
            </w:r>
          </w:p>
        </w:tc>
        <w:tc>
          <w:tcPr>
            <w:tcW w:w="1417" w:type="dxa"/>
            <w:vAlign w:val="center"/>
          </w:tcPr>
          <w:p>
            <w:pPr>
              <w:pStyle w:val="0"/>
              <w:jc w:val="right"/>
            </w:pPr>
            <w:r>
              <w:rPr>
                <w:sz w:val="20"/>
              </w:rPr>
              <w:t xml:space="preserve">34,2</w:t>
            </w:r>
          </w:p>
        </w:tc>
        <w:tc>
          <w:tcPr>
            <w:tcW w:w="2665" w:type="dxa"/>
            <w:vAlign w:val="center"/>
          </w:tcPr>
          <w:p>
            <w:pPr>
              <w:pStyle w:val="0"/>
              <w:jc w:val="right"/>
            </w:pPr>
            <w:r>
              <w:rPr>
                <w:sz w:val="20"/>
              </w:rPr>
              <w:t xml:space="preserve">5045</w:t>
            </w:r>
          </w:p>
        </w:tc>
      </w:tr>
      <w:tr>
        <w:tc>
          <w:tcPr>
            <w:tcW w:w="563" w:type="dxa"/>
            <w:vAlign w:val="center"/>
          </w:tcPr>
          <w:p>
            <w:pPr>
              <w:pStyle w:val="0"/>
              <w:jc w:val="both"/>
            </w:pPr>
            <w:r>
              <w:rPr>
                <w:sz w:val="20"/>
              </w:rPr>
              <w:t xml:space="preserve">III</w:t>
            </w:r>
          </w:p>
        </w:tc>
        <w:tc>
          <w:tcPr>
            <w:tcW w:w="2154" w:type="dxa"/>
            <w:vAlign w:val="center"/>
          </w:tcPr>
          <w:p>
            <w:pPr>
              <w:pStyle w:val="0"/>
              <w:jc w:val="both"/>
            </w:pPr>
            <w:r>
              <w:rPr>
                <w:sz w:val="20"/>
              </w:rPr>
              <w:t xml:space="preserve">Город Курчатов</w:t>
            </w:r>
          </w:p>
        </w:tc>
        <w:tc>
          <w:tcPr>
            <w:tcW w:w="2665" w:type="dxa"/>
            <w:vAlign w:val="center"/>
          </w:tcPr>
          <w:p>
            <w:pPr>
              <w:pStyle w:val="0"/>
              <w:jc w:val="right"/>
            </w:pPr>
            <w:r>
              <w:rPr>
                <w:sz w:val="20"/>
              </w:rPr>
              <w:t xml:space="preserve">47,09</w:t>
            </w:r>
          </w:p>
        </w:tc>
        <w:tc>
          <w:tcPr>
            <w:tcW w:w="1417" w:type="dxa"/>
            <w:vAlign w:val="center"/>
          </w:tcPr>
          <w:p>
            <w:pPr>
              <w:pStyle w:val="0"/>
              <w:jc w:val="right"/>
            </w:pPr>
            <w:r>
              <w:rPr>
                <w:sz w:val="20"/>
              </w:rPr>
              <w:t xml:space="preserve">45,5</w:t>
            </w:r>
          </w:p>
        </w:tc>
        <w:tc>
          <w:tcPr>
            <w:tcW w:w="2665" w:type="dxa"/>
            <w:vAlign w:val="center"/>
          </w:tcPr>
          <w:p>
            <w:pPr>
              <w:pStyle w:val="0"/>
              <w:jc w:val="right"/>
            </w:pPr>
            <w:r>
              <w:rPr>
                <w:sz w:val="20"/>
              </w:rPr>
              <w:t xml:space="preserve">36539,5</w:t>
            </w:r>
          </w:p>
        </w:tc>
      </w:tr>
      <w:tr>
        <w:tc>
          <w:tcPr>
            <w:tcW w:w="563" w:type="dxa"/>
            <w:vAlign w:val="center"/>
          </w:tcPr>
          <w:p>
            <w:pPr>
              <w:pStyle w:val="0"/>
              <w:jc w:val="both"/>
            </w:pPr>
            <w:r>
              <w:rPr>
                <w:sz w:val="20"/>
              </w:rPr>
              <w:t xml:space="preserve">IV</w:t>
            </w:r>
          </w:p>
        </w:tc>
        <w:tc>
          <w:tcPr>
            <w:tcW w:w="2154" w:type="dxa"/>
            <w:vAlign w:val="center"/>
          </w:tcPr>
          <w:p>
            <w:pPr>
              <w:pStyle w:val="0"/>
              <w:jc w:val="both"/>
            </w:pPr>
            <w:r>
              <w:rPr>
                <w:sz w:val="20"/>
              </w:rPr>
              <w:t xml:space="preserve">Город Щигры</w:t>
            </w:r>
          </w:p>
        </w:tc>
        <w:tc>
          <w:tcPr>
            <w:tcW w:w="2665" w:type="dxa"/>
            <w:vAlign w:val="center"/>
          </w:tcPr>
          <w:p>
            <w:pPr>
              <w:pStyle w:val="0"/>
              <w:jc w:val="right"/>
            </w:pPr>
            <w:r>
              <w:rPr>
                <w:sz w:val="20"/>
              </w:rPr>
              <w:t xml:space="preserve">6,23</w:t>
            </w:r>
          </w:p>
        </w:tc>
        <w:tc>
          <w:tcPr>
            <w:tcW w:w="1417" w:type="dxa"/>
            <w:vAlign w:val="center"/>
          </w:tcPr>
          <w:p>
            <w:pPr>
              <w:pStyle w:val="0"/>
              <w:jc w:val="right"/>
            </w:pPr>
            <w:r>
              <w:rPr>
                <w:sz w:val="20"/>
              </w:rPr>
              <w:t xml:space="preserve">25,0</w:t>
            </w:r>
          </w:p>
        </w:tc>
        <w:tc>
          <w:tcPr>
            <w:tcW w:w="2665" w:type="dxa"/>
            <w:vAlign w:val="center"/>
          </w:tcPr>
          <w:p>
            <w:pPr>
              <w:pStyle w:val="0"/>
              <w:jc w:val="right"/>
            </w:pPr>
            <w:r>
              <w:rPr>
                <w:sz w:val="20"/>
              </w:rPr>
              <w:t xml:space="preserve">1049,2</w:t>
            </w:r>
          </w:p>
        </w:tc>
      </w:tr>
      <w:tr>
        <w:tc>
          <w:tcPr>
            <w:tcW w:w="563" w:type="dxa"/>
            <w:vAlign w:val="center"/>
          </w:tcPr>
          <w:p>
            <w:pPr>
              <w:pStyle w:val="0"/>
              <w:jc w:val="both"/>
            </w:pPr>
            <w:r>
              <w:rPr>
                <w:sz w:val="20"/>
              </w:rPr>
              <w:t xml:space="preserve">V</w:t>
            </w:r>
          </w:p>
        </w:tc>
        <w:tc>
          <w:tcPr>
            <w:tcW w:w="2154" w:type="dxa"/>
            <w:vAlign w:val="center"/>
          </w:tcPr>
          <w:p>
            <w:pPr>
              <w:pStyle w:val="0"/>
              <w:jc w:val="both"/>
            </w:pPr>
            <w:r>
              <w:rPr>
                <w:sz w:val="20"/>
              </w:rPr>
              <w:t xml:space="preserve">Город Льгов</w:t>
            </w:r>
          </w:p>
        </w:tc>
        <w:tc>
          <w:tcPr>
            <w:tcW w:w="2665" w:type="dxa"/>
            <w:vAlign w:val="center"/>
          </w:tcPr>
          <w:p>
            <w:pPr>
              <w:pStyle w:val="0"/>
              <w:jc w:val="right"/>
            </w:pPr>
            <w:r>
              <w:rPr>
                <w:sz w:val="20"/>
              </w:rPr>
              <w:t xml:space="preserve">3,33</w:t>
            </w:r>
          </w:p>
        </w:tc>
        <w:tc>
          <w:tcPr>
            <w:tcW w:w="1417" w:type="dxa"/>
            <w:vAlign w:val="center"/>
          </w:tcPr>
          <w:p>
            <w:pPr>
              <w:pStyle w:val="0"/>
              <w:jc w:val="right"/>
            </w:pPr>
            <w:r>
              <w:rPr>
                <w:sz w:val="20"/>
              </w:rPr>
              <w:t xml:space="preserve">26,5</w:t>
            </w:r>
          </w:p>
        </w:tc>
        <w:tc>
          <w:tcPr>
            <w:tcW w:w="2665" w:type="dxa"/>
            <w:vAlign w:val="center"/>
          </w:tcPr>
          <w:p>
            <w:pPr>
              <w:pStyle w:val="0"/>
              <w:jc w:val="right"/>
            </w:pPr>
            <w:r>
              <w:rPr>
                <w:sz w:val="20"/>
              </w:rPr>
              <w:t xml:space="preserve">317,5</w:t>
            </w:r>
          </w:p>
        </w:tc>
      </w:tr>
      <w:tr>
        <w:tc>
          <w:tcPr>
            <w:tcW w:w="563" w:type="dxa"/>
            <w:vAlign w:val="center"/>
          </w:tcPr>
          <w:p>
            <w:pPr>
              <w:pStyle w:val="0"/>
              <w:jc w:val="both"/>
            </w:pPr>
            <w:r>
              <w:rPr>
                <w:sz w:val="20"/>
              </w:rPr>
              <w:t xml:space="preserve">1</w:t>
            </w:r>
          </w:p>
        </w:tc>
        <w:tc>
          <w:tcPr>
            <w:tcW w:w="2154" w:type="dxa"/>
            <w:vAlign w:val="center"/>
          </w:tcPr>
          <w:p>
            <w:pPr>
              <w:pStyle w:val="0"/>
              <w:jc w:val="both"/>
            </w:pPr>
            <w:r>
              <w:rPr>
                <w:sz w:val="20"/>
              </w:rPr>
              <w:t xml:space="preserve">Пристенский район</w:t>
            </w:r>
          </w:p>
        </w:tc>
        <w:tc>
          <w:tcPr>
            <w:tcW w:w="2665" w:type="dxa"/>
            <w:vAlign w:val="center"/>
          </w:tcPr>
          <w:p>
            <w:pPr>
              <w:pStyle w:val="0"/>
              <w:jc w:val="right"/>
            </w:pPr>
            <w:r>
              <w:rPr>
                <w:sz w:val="20"/>
              </w:rPr>
              <w:t xml:space="preserve">13,09</w:t>
            </w:r>
          </w:p>
        </w:tc>
        <w:tc>
          <w:tcPr>
            <w:tcW w:w="1417" w:type="dxa"/>
            <w:vAlign w:val="center"/>
          </w:tcPr>
          <w:p>
            <w:pPr>
              <w:pStyle w:val="0"/>
              <w:jc w:val="right"/>
            </w:pPr>
            <w:r>
              <w:rPr>
                <w:sz w:val="20"/>
              </w:rPr>
              <w:t xml:space="preserve">28,9</w:t>
            </w:r>
          </w:p>
        </w:tc>
        <w:tc>
          <w:tcPr>
            <w:tcW w:w="2665" w:type="dxa"/>
            <w:vAlign w:val="center"/>
          </w:tcPr>
          <w:p>
            <w:pPr>
              <w:pStyle w:val="0"/>
              <w:jc w:val="right"/>
            </w:pPr>
            <w:r>
              <w:rPr>
                <w:sz w:val="20"/>
              </w:rPr>
              <w:t xml:space="preserve">3824,9</w:t>
            </w:r>
          </w:p>
        </w:tc>
      </w:tr>
      <w:tr>
        <w:tc>
          <w:tcPr>
            <w:tcW w:w="563" w:type="dxa"/>
            <w:vAlign w:val="center"/>
          </w:tcPr>
          <w:p>
            <w:pPr>
              <w:pStyle w:val="0"/>
              <w:jc w:val="both"/>
            </w:pPr>
            <w:r>
              <w:rPr>
                <w:sz w:val="20"/>
              </w:rPr>
              <w:t xml:space="preserve">2</w:t>
            </w:r>
          </w:p>
        </w:tc>
        <w:tc>
          <w:tcPr>
            <w:tcW w:w="2154" w:type="dxa"/>
            <w:vAlign w:val="center"/>
          </w:tcPr>
          <w:p>
            <w:pPr>
              <w:pStyle w:val="0"/>
              <w:jc w:val="both"/>
            </w:pPr>
            <w:r>
              <w:rPr>
                <w:sz w:val="20"/>
              </w:rPr>
              <w:t xml:space="preserve">Суджанский район</w:t>
            </w:r>
          </w:p>
        </w:tc>
        <w:tc>
          <w:tcPr>
            <w:tcW w:w="2665" w:type="dxa"/>
            <w:vAlign w:val="center"/>
          </w:tcPr>
          <w:p>
            <w:pPr>
              <w:pStyle w:val="0"/>
              <w:jc w:val="right"/>
            </w:pPr>
            <w:r>
              <w:rPr>
                <w:sz w:val="20"/>
              </w:rPr>
              <w:t xml:space="preserve">11,93</w:t>
            </w:r>
          </w:p>
        </w:tc>
        <w:tc>
          <w:tcPr>
            <w:tcW w:w="1417" w:type="dxa"/>
            <w:vAlign w:val="center"/>
          </w:tcPr>
          <w:p>
            <w:pPr>
              <w:pStyle w:val="0"/>
              <w:jc w:val="right"/>
            </w:pPr>
            <w:r>
              <w:rPr>
                <w:sz w:val="20"/>
              </w:rPr>
              <w:t xml:space="preserve">28,3</w:t>
            </w:r>
          </w:p>
        </w:tc>
        <w:tc>
          <w:tcPr>
            <w:tcW w:w="2665" w:type="dxa"/>
            <w:vAlign w:val="center"/>
          </w:tcPr>
          <w:p>
            <w:pPr>
              <w:pStyle w:val="0"/>
              <w:jc w:val="right"/>
            </w:pPr>
            <w:r>
              <w:rPr>
                <w:sz w:val="20"/>
              </w:rPr>
              <w:t xml:space="preserve">858,7</w:t>
            </w:r>
          </w:p>
        </w:tc>
      </w:tr>
      <w:tr>
        <w:tc>
          <w:tcPr>
            <w:tcW w:w="563" w:type="dxa"/>
            <w:vAlign w:val="center"/>
          </w:tcPr>
          <w:p>
            <w:pPr>
              <w:pStyle w:val="0"/>
              <w:jc w:val="both"/>
            </w:pPr>
            <w:r>
              <w:rPr>
                <w:sz w:val="20"/>
              </w:rPr>
              <w:t xml:space="preserve">3</w:t>
            </w:r>
          </w:p>
        </w:tc>
        <w:tc>
          <w:tcPr>
            <w:tcW w:w="2154" w:type="dxa"/>
            <w:vAlign w:val="center"/>
          </w:tcPr>
          <w:p>
            <w:pPr>
              <w:pStyle w:val="0"/>
              <w:jc w:val="both"/>
            </w:pPr>
            <w:r>
              <w:rPr>
                <w:sz w:val="20"/>
              </w:rPr>
              <w:t xml:space="preserve">Конышевский район</w:t>
            </w:r>
          </w:p>
        </w:tc>
        <w:tc>
          <w:tcPr>
            <w:tcW w:w="2665" w:type="dxa"/>
            <w:vAlign w:val="center"/>
          </w:tcPr>
          <w:p>
            <w:pPr>
              <w:pStyle w:val="0"/>
              <w:jc w:val="right"/>
            </w:pPr>
            <w:r>
              <w:rPr>
                <w:sz w:val="20"/>
              </w:rPr>
              <w:t xml:space="preserve">9,98</w:t>
            </w:r>
          </w:p>
        </w:tc>
        <w:tc>
          <w:tcPr>
            <w:tcW w:w="1417" w:type="dxa"/>
            <w:vAlign w:val="center"/>
          </w:tcPr>
          <w:p>
            <w:pPr>
              <w:pStyle w:val="0"/>
              <w:jc w:val="right"/>
            </w:pPr>
            <w:r>
              <w:rPr>
                <w:sz w:val="20"/>
              </w:rPr>
              <w:t xml:space="preserve">30,0</w:t>
            </w:r>
          </w:p>
        </w:tc>
        <w:tc>
          <w:tcPr>
            <w:tcW w:w="2665" w:type="dxa"/>
            <w:vAlign w:val="center"/>
          </w:tcPr>
          <w:p>
            <w:pPr>
              <w:pStyle w:val="0"/>
              <w:jc w:val="right"/>
            </w:pPr>
            <w:r>
              <w:rPr>
                <w:sz w:val="20"/>
              </w:rPr>
              <w:t xml:space="preserve">3534,2</w:t>
            </w:r>
          </w:p>
        </w:tc>
      </w:tr>
      <w:tr>
        <w:tc>
          <w:tcPr>
            <w:tcW w:w="563" w:type="dxa"/>
            <w:vAlign w:val="center"/>
          </w:tcPr>
          <w:p>
            <w:pPr>
              <w:pStyle w:val="0"/>
              <w:jc w:val="both"/>
            </w:pPr>
            <w:r>
              <w:rPr>
                <w:sz w:val="20"/>
              </w:rPr>
              <w:t xml:space="preserve">4</w:t>
            </w:r>
          </w:p>
        </w:tc>
        <w:tc>
          <w:tcPr>
            <w:tcW w:w="2154" w:type="dxa"/>
            <w:vAlign w:val="center"/>
          </w:tcPr>
          <w:p>
            <w:pPr>
              <w:pStyle w:val="0"/>
              <w:jc w:val="both"/>
            </w:pPr>
            <w:r>
              <w:rPr>
                <w:sz w:val="20"/>
              </w:rPr>
              <w:t xml:space="preserve">Курский район</w:t>
            </w:r>
          </w:p>
        </w:tc>
        <w:tc>
          <w:tcPr>
            <w:tcW w:w="2665" w:type="dxa"/>
            <w:vAlign w:val="center"/>
          </w:tcPr>
          <w:p>
            <w:pPr>
              <w:pStyle w:val="0"/>
              <w:jc w:val="right"/>
            </w:pPr>
            <w:r>
              <w:rPr>
                <w:sz w:val="20"/>
              </w:rPr>
              <w:t xml:space="preserve">9,15</w:t>
            </w:r>
          </w:p>
        </w:tc>
        <w:tc>
          <w:tcPr>
            <w:tcW w:w="1417" w:type="dxa"/>
            <w:vAlign w:val="center"/>
          </w:tcPr>
          <w:p>
            <w:pPr>
              <w:pStyle w:val="0"/>
              <w:jc w:val="right"/>
            </w:pPr>
            <w:r>
              <w:rPr>
                <w:sz w:val="20"/>
              </w:rPr>
              <w:t xml:space="preserve">27,7</w:t>
            </w:r>
          </w:p>
        </w:tc>
        <w:tc>
          <w:tcPr>
            <w:tcW w:w="2665" w:type="dxa"/>
            <w:vAlign w:val="center"/>
          </w:tcPr>
          <w:p>
            <w:pPr>
              <w:pStyle w:val="0"/>
              <w:jc w:val="right"/>
            </w:pPr>
            <w:r>
              <w:rPr>
                <w:sz w:val="20"/>
              </w:rPr>
              <w:t xml:space="preserve">2088,9</w:t>
            </w:r>
          </w:p>
        </w:tc>
      </w:tr>
      <w:tr>
        <w:tc>
          <w:tcPr>
            <w:tcW w:w="563" w:type="dxa"/>
            <w:vAlign w:val="center"/>
          </w:tcPr>
          <w:p>
            <w:pPr>
              <w:pStyle w:val="0"/>
              <w:jc w:val="both"/>
            </w:pPr>
            <w:r>
              <w:rPr>
                <w:sz w:val="20"/>
              </w:rPr>
              <w:t xml:space="preserve">5</w:t>
            </w:r>
          </w:p>
        </w:tc>
        <w:tc>
          <w:tcPr>
            <w:tcW w:w="2154" w:type="dxa"/>
            <w:vAlign w:val="center"/>
          </w:tcPr>
          <w:p>
            <w:pPr>
              <w:pStyle w:val="0"/>
              <w:jc w:val="both"/>
            </w:pPr>
            <w:r>
              <w:rPr>
                <w:sz w:val="20"/>
              </w:rPr>
              <w:t xml:space="preserve">Горшеченский район</w:t>
            </w:r>
          </w:p>
        </w:tc>
        <w:tc>
          <w:tcPr>
            <w:tcW w:w="2665" w:type="dxa"/>
            <w:vAlign w:val="center"/>
          </w:tcPr>
          <w:p>
            <w:pPr>
              <w:pStyle w:val="0"/>
              <w:jc w:val="right"/>
            </w:pPr>
            <w:r>
              <w:rPr>
                <w:sz w:val="20"/>
              </w:rPr>
              <w:t xml:space="preserve">9,00</w:t>
            </w:r>
          </w:p>
        </w:tc>
        <w:tc>
          <w:tcPr>
            <w:tcW w:w="1417" w:type="dxa"/>
            <w:vAlign w:val="center"/>
          </w:tcPr>
          <w:p>
            <w:pPr>
              <w:pStyle w:val="0"/>
              <w:jc w:val="right"/>
            </w:pPr>
            <w:r>
              <w:rPr>
                <w:sz w:val="20"/>
              </w:rPr>
              <w:t xml:space="preserve">28,2</w:t>
            </w:r>
          </w:p>
        </w:tc>
        <w:tc>
          <w:tcPr>
            <w:tcW w:w="2665" w:type="dxa"/>
            <w:vAlign w:val="center"/>
          </w:tcPr>
          <w:p>
            <w:pPr>
              <w:pStyle w:val="0"/>
              <w:jc w:val="right"/>
            </w:pPr>
            <w:r>
              <w:rPr>
                <w:sz w:val="20"/>
              </w:rPr>
              <w:t xml:space="preserve">259,3</w:t>
            </w:r>
          </w:p>
        </w:tc>
      </w:tr>
      <w:tr>
        <w:tc>
          <w:tcPr>
            <w:tcW w:w="563" w:type="dxa"/>
            <w:vAlign w:val="center"/>
          </w:tcPr>
          <w:p>
            <w:pPr>
              <w:pStyle w:val="0"/>
              <w:jc w:val="both"/>
            </w:pPr>
            <w:r>
              <w:rPr>
                <w:sz w:val="20"/>
              </w:rPr>
              <w:t xml:space="preserve">6</w:t>
            </w:r>
          </w:p>
        </w:tc>
        <w:tc>
          <w:tcPr>
            <w:tcW w:w="2154" w:type="dxa"/>
            <w:vAlign w:val="center"/>
          </w:tcPr>
          <w:p>
            <w:pPr>
              <w:pStyle w:val="0"/>
              <w:jc w:val="both"/>
            </w:pPr>
            <w:r>
              <w:rPr>
                <w:sz w:val="20"/>
              </w:rPr>
              <w:t xml:space="preserve">Касторенский район</w:t>
            </w:r>
          </w:p>
        </w:tc>
        <w:tc>
          <w:tcPr>
            <w:tcW w:w="2665" w:type="dxa"/>
            <w:vAlign w:val="center"/>
          </w:tcPr>
          <w:p>
            <w:pPr>
              <w:pStyle w:val="0"/>
              <w:jc w:val="right"/>
            </w:pPr>
            <w:r>
              <w:rPr>
                <w:sz w:val="20"/>
              </w:rPr>
              <w:t xml:space="preserve">7,67</w:t>
            </w:r>
          </w:p>
        </w:tc>
        <w:tc>
          <w:tcPr>
            <w:tcW w:w="1417" w:type="dxa"/>
            <w:vAlign w:val="center"/>
          </w:tcPr>
          <w:p>
            <w:pPr>
              <w:pStyle w:val="0"/>
              <w:jc w:val="right"/>
            </w:pPr>
            <w:r>
              <w:rPr>
                <w:sz w:val="20"/>
              </w:rPr>
              <w:t xml:space="preserve">26,8</w:t>
            </w:r>
          </w:p>
        </w:tc>
        <w:tc>
          <w:tcPr>
            <w:tcW w:w="2665" w:type="dxa"/>
            <w:vAlign w:val="center"/>
          </w:tcPr>
          <w:p>
            <w:pPr>
              <w:pStyle w:val="0"/>
              <w:jc w:val="right"/>
            </w:pPr>
            <w:r>
              <w:rPr>
                <w:sz w:val="20"/>
              </w:rPr>
              <w:t xml:space="preserve">703</w:t>
            </w:r>
          </w:p>
        </w:tc>
      </w:tr>
      <w:tr>
        <w:tc>
          <w:tcPr>
            <w:tcW w:w="563" w:type="dxa"/>
            <w:vAlign w:val="center"/>
          </w:tcPr>
          <w:p>
            <w:pPr>
              <w:pStyle w:val="0"/>
              <w:jc w:val="both"/>
            </w:pPr>
            <w:r>
              <w:rPr>
                <w:sz w:val="20"/>
              </w:rPr>
              <w:t xml:space="preserve">7</w:t>
            </w:r>
          </w:p>
        </w:tc>
        <w:tc>
          <w:tcPr>
            <w:tcW w:w="2154" w:type="dxa"/>
            <w:vAlign w:val="center"/>
          </w:tcPr>
          <w:p>
            <w:pPr>
              <w:pStyle w:val="0"/>
              <w:jc w:val="both"/>
            </w:pPr>
            <w:r>
              <w:rPr>
                <w:sz w:val="20"/>
              </w:rPr>
              <w:t xml:space="preserve">Рыльский район</w:t>
            </w:r>
          </w:p>
        </w:tc>
        <w:tc>
          <w:tcPr>
            <w:tcW w:w="2665" w:type="dxa"/>
            <w:vAlign w:val="center"/>
          </w:tcPr>
          <w:p>
            <w:pPr>
              <w:pStyle w:val="0"/>
              <w:jc w:val="right"/>
            </w:pPr>
            <w:r>
              <w:rPr>
                <w:sz w:val="20"/>
              </w:rPr>
              <w:t xml:space="preserve">6,82</w:t>
            </w:r>
          </w:p>
        </w:tc>
        <w:tc>
          <w:tcPr>
            <w:tcW w:w="1417" w:type="dxa"/>
            <w:vAlign w:val="center"/>
          </w:tcPr>
          <w:p>
            <w:pPr>
              <w:pStyle w:val="0"/>
              <w:jc w:val="right"/>
            </w:pPr>
            <w:r>
              <w:rPr>
                <w:sz w:val="20"/>
              </w:rPr>
              <w:t xml:space="preserve">25,4</w:t>
            </w:r>
          </w:p>
        </w:tc>
        <w:tc>
          <w:tcPr>
            <w:tcW w:w="2665" w:type="dxa"/>
            <w:vAlign w:val="center"/>
          </w:tcPr>
          <w:p>
            <w:pPr>
              <w:pStyle w:val="0"/>
              <w:jc w:val="right"/>
            </w:pPr>
            <w:r>
              <w:rPr>
                <w:sz w:val="20"/>
              </w:rPr>
              <w:t xml:space="preserve">2062,6</w:t>
            </w:r>
          </w:p>
        </w:tc>
      </w:tr>
      <w:tr>
        <w:tc>
          <w:tcPr>
            <w:tcW w:w="563" w:type="dxa"/>
            <w:vAlign w:val="center"/>
          </w:tcPr>
          <w:p>
            <w:pPr>
              <w:pStyle w:val="0"/>
              <w:jc w:val="both"/>
            </w:pPr>
            <w:r>
              <w:rPr>
                <w:sz w:val="20"/>
              </w:rPr>
              <w:t xml:space="preserve">8</w:t>
            </w:r>
          </w:p>
        </w:tc>
        <w:tc>
          <w:tcPr>
            <w:tcW w:w="2154" w:type="dxa"/>
            <w:vAlign w:val="center"/>
          </w:tcPr>
          <w:p>
            <w:pPr>
              <w:pStyle w:val="0"/>
              <w:jc w:val="both"/>
            </w:pPr>
            <w:r>
              <w:rPr>
                <w:sz w:val="20"/>
              </w:rPr>
              <w:t xml:space="preserve">Советский район</w:t>
            </w:r>
          </w:p>
        </w:tc>
        <w:tc>
          <w:tcPr>
            <w:tcW w:w="2665" w:type="dxa"/>
            <w:vAlign w:val="center"/>
          </w:tcPr>
          <w:p>
            <w:pPr>
              <w:pStyle w:val="0"/>
              <w:jc w:val="right"/>
            </w:pPr>
            <w:r>
              <w:rPr>
                <w:sz w:val="20"/>
              </w:rPr>
              <w:t xml:space="preserve">6,34</w:t>
            </w:r>
          </w:p>
        </w:tc>
        <w:tc>
          <w:tcPr>
            <w:tcW w:w="1417" w:type="dxa"/>
            <w:vAlign w:val="center"/>
          </w:tcPr>
          <w:p>
            <w:pPr>
              <w:pStyle w:val="0"/>
              <w:jc w:val="right"/>
            </w:pPr>
            <w:r>
              <w:rPr>
                <w:sz w:val="20"/>
              </w:rPr>
              <w:t xml:space="preserve">27,0</w:t>
            </w:r>
          </w:p>
        </w:tc>
        <w:tc>
          <w:tcPr>
            <w:tcW w:w="2665" w:type="dxa"/>
            <w:vAlign w:val="center"/>
          </w:tcPr>
          <w:p>
            <w:pPr>
              <w:pStyle w:val="0"/>
              <w:jc w:val="right"/>
            </w:pPr>
            <w:r>
              <w:rPr>
                <w:sz w:val="20"/>
              </w:rPr>
              <w:t xml:space="preserve">762,2</w:t>
            </w:r>
          </w:p>
        </w:tc>
      </w:tr>
      <w:tr>
        <w:tc>
          <w:tcPr>
            <w:tcW w:w="563" w:type="dxa"/>
            <w:vAlign w:val="center"/>
          </w:tcPr>
          <w:p>
            <w:pPr>
              <w:pStyle w:val="0"/>
              <w:jc w:val="both"/>
            </w:pPr>
            <w:r>
              <w:rPr>
                <w:sz w:val="20"/>
              </w:rPr>
              <w:t xml:space="preserve">9</w:t>
            </w:r>
          </w:p>
        </w:tc>
        <w:tc>
          <w:tcPr>
            <w:tcW w:w="2154" w:type="dxa"/>
            <w:vAlign w:val="center"/>
          </w:tcPr>
          <w:p>
            <w:pPr>
              <w:pStyle w:val="0"/>
              <w:jc w:val="both"/>
            </w:pPr>
            <w:r>
              <w:rPr>
                <w:sz w:val="20"/>
              </w:rPr>
              <w:t xml:space="preserve">Золотухинский район</w:t>
            </w:r>
          </w:p>
        </w:tc>
        <w:tc>
          <w:tcPr>
            <w:tcW w:w="2665" w:type="dxa"/>
            <w:vAlign w:val="center"/>
          </w:tcPr>
          <w:p>
            <w:pPr>
              <w:pStyle w:val="0"/>
              <w:jc w:val="right"/>
            </w:pPr>
            <w:r>
              <w:rPr>
                <w:sz w:val="20"/>
              </w:rPr>
              <w:t xml:space="preserve">5,79</w:t>
            </w:r>
          </w:p>
        </w:tc>
        <w:tc>
          <w:tcPr>
            <w:tcW w:w="1417" w:type="dxa"/>
            <w:vAlign w:val="center"/>
          </w:tcPr>
          <w:p>
            <w:pPr>
              <w:pStyle w:val="0"/>
              <w:jc w:val="right"/>
            </w:pPr>
            <w:r>
              <w:rPr>
                <w:sz w:val="20"/>
              </w:rPr>
              <w:t xml:space="preserve">26,4</w:t>
            </w:r>
          </w:p>
        </w:tc>
        <w:tc>
          <w:tcPr>
            <w:tcW w:w="2665" w:type="dxa"/>
            <w:vAlign w:val="center"/>
          </w:tcPr>
          <w:p>
            <w:pPr>
              <w:pStyle w:val="0"/>
              <w:jc w:val="right"/>
            </w:pPr>
            <w:r>
              <w:rPr>
                <w:sz w:val="20"/>
              </w:rPr>
              <w:t xml:space="preserve">1710,6</w:t>
            </w:r>
          </w:p>
        </w:tc>
      </w:tr>
      <w:tr>
        <w:tc>
          <w:tcPr>
            <w:tcW w:w="563" w:type="dxa"/>
            <w:vAlign w:val="center"/>
          </w:tcPr>
          <w:p>
            <w:pPr>
              <w:pStyle w:val="0"/>
              <w:jc w:val="both"/>
            </w:pPr>
            <w:r>
              <w:rPr>
                <w:sz w:val="20"/>
              </w:rPr>
              <w:t xml:space="preserve">10</w:t>
            </w:r>
          </w:p>
        </w:tc>
        <w:tc>
          <w:tcPr>
            <w:tcW w:w="2154" w:type="dxa"/>
            <w:vAlign w:val="center"/>
          </w:tcPr>
          <w:p>
            <w:pPr>
              <w:pStyle w:val="0"/>
              <w:jc w:val="both"/>
            </w:pPr>
            <w:r>
              <w:rPr>
                <w:sz w:val="20"/>
              </w:rPr>
              <w:t xml:space="preserve">Глушковский район</w:t>
            </w:r>
          </w:p>
        </w:tc>
        <w:tc>
          <w:tcPr>
            <w:tcW w:w="2665" w:type="dxa"/>
            <w:vAlign w:val="center"/>
          </w:tcPr>
          <w:p>
            <w:pPr>
              <w:pStyle w:val="0"/>
              <w:jc w:val="right"/>
            </w:pPr>
            <w:r>
              <w:rPr>
                <w:sz w:val="20"/>
              </w:rPr>
              <w:t xml:space="preserve">5,65</w:t>
            </w:r>
          </w:p>
        </w:tc>
        <w:tc>
          <w:tcPr>
            <w:tcW w:w="1417" w:type="dxa"/>
            <w:vAlign w:val="center"/>
          </w:tcPr>
          <w:p>
            <w:pPr>
              <w:pStyle w:val="0"/>
              <w:jc w:val="right"/>
            </w:pPr>
            <w:r>
              <w:rPr>
                <w:sz w:val="20"/>
              </w:rPr>
              <w:t xml:space="preserve">25,1</w:t>
            </w:r>
          </w:p>
        </w:tc>
        <w:tc>
          <w:tcPr>
            <w:tcW w:w="2665" w:type="dxa"/>
            <w:vAlign w:val="center"/>
          </w:tcPr>
          <w:p>
            <w:pPr>
              <w:pStyle w:val="0"/>
              <w:jc w:val="right"/>
            </w:pPr>
            <w:r>
              <w:rPr>
                <w:sz w:val="20"/>
              </w:rPr>
              <w:t xml:space="preserve">729,9</w:t>
            </w:r>
          </w:p>
        </w:tc>
      </w:tr>
      <w:tr>
        <w:tc>
          <w:tcPr>
            <w:tcW w:w="563" w:type="dxa"/>
            <w:vAlign w:val="center"/>
          </w:tcPr>
          <w:p>
            <w:pPr>
              <w:pStyle w:val="0"/>
              <w:jc w:val="both"/>
            </w:pPr>
            <w:r>
              <w:rPr>
                <w:sz w:val="20"/>
              </w:rPr>
              <w:t xml:space="preserve">11</w:t>
            </w:r>
          </w:p>
        </w:tc>
        <w:tc>
          <w:tcPr>
            <w:tcW w:w="2154" w:type="dxa"/>
            <w:vAlign w:val="center"/>
          </w:tcPr>
          <w:p>
            <w:pPr>
              <w:pStyle w:val="0"/>
              <w:jc w:val="both"/>
            </w:pPr>
            <w:r>
              <w:rPr>
                <w:sz w:val="20"/>
              </w:rPr>
              <w:t xml:space="preserve">Кореневский район</w:t>
            </w:r>
          </w:p>
        </w:tc>
        <w:tc>
          <w:tcPr>
            <w:tcW w:w="2665" w:type="dxa"/>
            <w:vAlign w:val="center"/>
          </w:tcPr>
          <w:p>
            <w:pPr>
              <w:pStyle w:val="0"/>
              <w:jc w:val="right"/>
            </w:pPr>
            <w:r>
              <w:rPr>
                <w:sz w:val="20"/>
              </w:rPr>
              <w:t xml:space="preserve">5,32</w:t>
            </w:r>
          </w:p>
        </w:tc>
        <w:tc>
          <w:tcPr>
            <w:tcW w:w="1417" w:type="dxa"/>
            <w:vAlign w:val="center"/>
          </w:tcPr>
          <w:p>
            <w:pPr>
              <w:pStyle w:val="0"/>
              <w:jc w:val="right"/>
            </w:pPr>
            <w:r>
              <w:rPr>
                <w:sz w:val="20"/>
              </w:rPr>
              <w:t xml:space="preserve">27,7</w:t>
            </w:r>
          </w:p>
        </w:tc>
        <w:tc>
          <w:tcPr>
            <w:tcW w:w="2665" w:type="dxa"/>
            <w:vAlign w:val="center"/>
          </w:tcPr>
          <w:p>
            <w:pPr>
              <w:pStyle w:val="0"/>
              <w:jc w:val="right"/>
            </w:pPr>
            <w:r>
              <w:rPr>
                <w:sz w:val="20"/>
              </w:rPr>
              <w:t xml:space="preserve">505,7</w:t>
            </w:r>
          </w:p>
        </w:tc>
      </w:tr>
      <w:tr>
        <w:tc>
          <w:tcPr>
            <w:tcW w:w="563" w:type="dxa"/>
            <w:vAlign w:val="center"/>
          </w:tcPr>
          <w:p>
            <w:pPr>
              <w:pStyle w:val="0"/>
              <w:jc w:val="both"/>
            </w:pPr>
            <w:r>
              <w:rPr>
                <w:sz w:val="20"/>
              </w:rPr>
              <w:t xml:space="preserve">12</w:t>
            </w:r>
          </w:p>
        </w:tc>
        <w:tc>
          <w:tcPr>
            <w:tcW w:w="2154" w:type="dxa"/>
            <w:vAlign w:val="center"/>
          </w:tcPr>
          <w:p>
            <w:pPr>
              <w:pStyle w:val="0"/>
              <w:jc w:val="both"/>
            </w:pPr>
            <w:r>
              <w:rPr>
                <w:sz w:val="20"/>
              </w:rPr>
              <w:t xml:space="preserve">Железногорский район</w:t>
            </w:r>
          </w:p>
        </w:tc>
        <w:tc>
          <w:tcPr>
            <w:tcW w:w="2665" w:type="dxa"/>
            <w:vAlign w:val="center"/>
          </w:tcPr>
          <w:p>
            <w:pPr>
              <w:pStyle w:val="0"/>
              <w:jc w:val="right"/>
            </w:pPr>
            <w:r>
              <w:rPr>
                <w:sz w:val="20"/>
              </w:rPr>
              <w:t xml:space="preserve">5,02</w:t>
            </w:r>
          </w:p>
        </w:tc>
        <w:tc>
          <w:tcPr>
            <w:tcW w:w="1417" w:type="dxa"/>
            <w:vAlign w:val="center"/>
          </w:tcPr>
          <w:p>
            <w:pPr>
              <w:pStyle w:val="0"/>
              <w:jc w:val="right"/>
            </w:pPr>
            <w:r>
              <w:rPr>
                <w:sz w:val="20"/>
              </w:rPr>
              <w:t xml:space="preserve">31,0</w:t>
            </w:r>
          </w:p>
        </w:tc>
        <w:tc>
          <w:tcPr>
            <w:tcW w:w="2665" w:type="dxa"/>
            <w:vAlign w:val="center"/>
          </w:tcPr>
          <w:p>
            <w:pPr>
              <w:pStyle w:val="0"/>
              <w:jc w:val="right"/>
            </w:pPr>
            <w:r>
              <w:rPr>
                <w:sz w:val="20"/>
              </w:rPr>
              <w:t xml:space="preserve">2501,4</w:t>
            </w:r>
          </w:p>
        </w:tc>
      </w:tr>
      <w:tr>
        <w:tc>
          <w:tcPr>
            <w:tcW w:w="563" w:type="dxa"/>
            <w:vAlign w:val="center"/>
          </w:tcPr>
          <w:p>
            <w:pPr>
              <w:pStyle w:val="0"/>
              <w:jc w:val="both"/>
            </w:pPr>
            <w:r>
              <w:rPr>
                <w:sz w:val="20"/>
              </w:rPr>
              <w:t xml:space="preserve">13</w:t>
            </w:r>
          </w:p>
        </w:tc>
        <w:tc>
          <w:tcPr>
            <w:tcW w:w="2154" w:type="dxa"/>
            <w:vAlign w:val="center"/>
          </w:tcPr>
          <w:p>
            <w:pPr>
              <w:pStyle w:val="0"/>
              <w:jc w:val="both"/>
            </w:pPr>
            <w:r>
              <w:rPr>
                <w:sz w:val="20"/>
              </w:rPr>
              <w:t xml:space="preserve">Дмитриевский район</w:t>
            </w:r>
          </w:p>
        </w:tc>
        <w:tc>
          <w:tcPr>
            <w:tcW w:w="2665" w:type="dxa"/>
            <w:vAlign w:val="center"/>
          </w:tcPr>
          <w:p>
            <w:pPr>
              <w:pStyle w:val="0"/>
              <w:jc w:val="right"/>
            </w:pPr>
            <w:r>
              <w:rPr>
                <w:sz w:val="20"/>
              </w:rPr>
              <w:t xml:space="preserve">4,59</w:t>
            </w:r>
          </w:p>
        </w:tc>
        <w:tc>
          <w:tcPr>
            <w:tcW w:w="1417" w:type="dxa"/>
            <w:vAlign w:val="center"/>
          </w:tcPr>
          <w:p>
            <w:pPr>
              <w:pStyle w:val="0"/>
              <w:jc w:val="right"/>
            </w:pPr>
            <w:r>
              <w:rPr>
                <w:sz w:val="20"/>
              </w:rPr>
              <w:t xml:space="preserve">26,2</w:t>
            </w:r>
          </w:p>
        </w:tc>
        <w:tc>
          <w:tcPr>
            <w:tcW w:w="2665" w:type="dxa"/>
            <w:vAlign w:val="center"/>
          </w:tcPr>
          <w:p>
            <w:pPr>
              <w:pStyle w:val="0"/>
              <w:jc w:val="right"/>
            </w:pPr>
            <w:r>
              <w:rPr>
                <w:sz w:val="20"/>
              </w:rPr>
              <w:t xml:space="preserve">488,8</w:t>
            </w:r>
          </w:p>
        </w:tc>
      </w:tr>
      <w:tr>
        <w:tc>
          <w:tcPr>
            <w:tcW w:w="563" w:type="dxa"/>
            <w:vAlign w:val="center"/>
          </w:tcPr>
          <w:p>
            <w:pPr>
              <w:pStyle w:val="0"/>
              <w:jc w:val="both"/>
            </w:pPr>
            <w:r>
              <w:rPr>
                <w:sz w:val="20"/>
              </w:rPr>
              <w:t xml:space="preserve">14</w:t>
            </w:r>
          </w:p>
        </w:tc>
        <w:tc>
          <w:tcPr>
            <w:tcW w:w="2154" w:type="dxa"/>
            <w:vAlign w:val="center"/>
          </w:tcPr>
          <w:p>
            <w:pPr>
              <w:pStyle w:val="0"/>
              <w:jc w:val="both"/>
            </w:pPr>
            <w:r>
              <w:rPr>
                <w:sz w:val="20"/>
              </w:rPr>
              <w:t xml:space="preserve">Мантуровский район</w:t>
            </w:r>
          </w:p>
        </w:tc>
        <w:tc>
          <w:tcPr>
            <w:tcW w:w="2665" w:type="dxa"/>
            <w:vAlign w:val="center"/>
          </w:tcPr>
          <w:p>
            <w:pPr>
              <w:pStyle w:val="0"/>
              <w:jc w:val="right"/>
            </w:pPr>
            <w:r>
              <w:rPr>
                <w:sz w:val="20"/>
              </w:rPr>
              <w:t xml:space="preserve">4,34</w:t>
            </w:r>
          </w:p>
        </w:tc>
        <w:tc>
          <w:tcPr>
            <w:tcW w:w="1417" w:type="dxa"/>
            <w:vAlign w:val="center"/>
          </w:tcPr>
          <w:p>
            <w:pPr>
              <w:pStyle w:val="0"/>
              <w:jc w:val="right"/>
            </w:pPr>
            <w:r>
              <w:rPr>
                <w:sz w:val="20"/>
              </w:rPr>
              <w:t xml:space="preserve">32,1</w:t>
            </w:r>
          </w:p>
        </w:tc>
        <w:tc>
          <w:tcPr>
            <w:tcW w:w="2665" w:type="dxa"/>
            <w:vAlign w:val="center"/>
          </w:tcPr>
          <w:p>
            <w:pPr>
              <w:pStyle w:val="0"/>
              <w:jc w:val="right"/>
            </w:pPr>
            <w:r>
              <w:rPr>
                <w:sz w:val="20"/>
              </w:rPr>
              <w:t xml:space="preserve">1386,4</w:t>
            </w:r>
          </w:p>
        </w:tc>
      </w:tr>
      <w:tr>
        <w:tc>
          <w:tcPr>
            <w:tcW w:w="563" w:type="dxa"/>
            <w:vAlign w:val="center"/>
          </w:tcPr>
          <w:p>
            <w:pPr>
              <w:pStyle w:val="0"/>
              <w:jc w:val="both"/>
            </w:pPr>
            <w:r>
              <w:rPr>
                <w:sz w:val="20"/>
              </w:rPr>
              <w:t xml:space="preserve">15</w:t>
            </w:r>
          </w:p>
        </w:tc>
        <w:tc>
          <w:tcPr>
            <w:tcW w:w="2154" w:type="dxa"/>
            <w:vAlign w:val="center"/>
          </w:tcPr>
          <w:p>
            <w:pPr>
              <w:pStyle w:val="0"/>
              <w:jc w:val="both"/>
            </w:pPr>
            <w:r>
              <w:rPr>
                <w:sz w:val="20"/>
              </w:rPr>
              <w:t xml:space="preserve">Беловский район</w:t>
            </w:r>
          </w:p>
        </w:tc>
        <w:tc>
          <w:tcPr>
            <w:tcW w:w="2665" w:type="dxa"/>
            <w:vAlign w:val="center"/>
          </w:tcPr>
          <w:p>
            <w:pPr>
              <w:pStyle w:val="0"/>
              <w:jc w:val="right"/>
            </w:pPr>
            <w:r>
              <w:rPr>
                <w:sz w:val="20"/>
              </w:rPr>
              <w:t xml:space="preserve">4,15</w:t>
            </w:r>
          </w:p>
        </w:tc>
        <w:tc>
          <w:tcPr>
            <w:tcW w:w="1417" w:type="dxa"/>
            <w:vAlign w:val="center"/>
          </w:tcPr>
          <w:p>
            <w:pPr>
              <w:pStyle w:val="0"/>
              <w:jc w:val="right"/>
            </w:pPr>
            <w:r>
              <w:rPr>
                <w:sz w:val="20"/>
              </w:rPr>
              <w:t xml:space="preserve">26,0</w:t>
            </w:r>
          </w:p>
        </w:tc>
        <w:tc>
          <w:tcPr>
            <w:tcW w:w="2665" w:type="dxa"/>
            <w:vAlign w:val="center"/>
          </w:tcPr>
          <w:p>
            <w:pPr>
              <w:pStyle w:val="0"/>
              <w:jc w:val="right"/>
            </w:pPr>
            <w:r>
              <w:rPr>
                <w:sz w:val="20"/>
              </w:rPr>
              <w:t xml:space="preserve">1809,2</w:t>
            </w:r>
          </w:p>
        </w:tc>
      </w:tr>
      <w:tr>
        <w:tc>
          <w:tcPr>
            <w:tcW w:w="563" w:type="dxa"/>
            <w:vAlign w:val="center"/>
          </w:tcPr>
          <w:p>
            <w:pPr>
              <w:pStyle w:val="0"/>
              <w:jc w:val="both"/>
            </w:pPr>
            <w:r>
              <w:rPr>
                <w:sz w:val="20"/>
              </w:rPr>
              <w:t xml:space="preserve">16</w:t>
            </w:r>
          </w:p>
        </w:tc>
        <w:tc>
          <w:tcPr>
            <w:tcW w:w="2154" w:type="dxa"/>
            <w:vAlign w:val="center"/>
          </w:tcPr>
          <w:p>
            <w:pPr>
              <w:pStyle w:val="0"/>
              <w:jc w:val="both"/>
            </w:pPr>
            <w:r>
              <w:rPr>
                <w:sz w:val="20"/>
              </w:rPr>
              <w:t xml:space="preserve">Фатежский район</w:t>
            </w:r>
          </w:p>
        </w:tc>
        <w:tc>
          <w:tcPr>
            <w:tcW w:w="2665" w:type="dxa"/>
            <w:vAlign w:val="center"/>
          </w:tcPr>
          <w:p>
            <w:pPr>
              <w:pStyle w:val="0"/>
              <w:jc w:val="right"/>
            </w:pPr>
            <w:r>
              <w:rPr>
                <w:sz w:val="20"/>
              </w:rPr>
              <w:t xml:space="preserve">4,09</w:t>
            </w:r>
          </w:p>
        </w:tc>
        <w:tc>
          <w:tcPr>
            <w:tcW w:w="1417" w:type="dxa"/>
            <w:vAlign w:val="center"/>
          </w:tcPr>
          <w:p>
            <w:pPr>
              <w:pStyle w:val="0"/>
              <w:jc w:val="right"/>
            </w:pPr>
            <w:r>
              <w:rPr>
                <w:sz w:val="20"/>
              </w:rPr>
              <w:t xml:space="preserve">26,9</w:t>
            </w:r>
          </w:p>
        </w:tc>
        <w:tc>
          <w:tcPr>
            <w:tcW w:w="2665" w:type="dxa"/>
            <w:vAlign w:val="center"/>
          </w:tcPr>
          <w:p>
            <w:pPr>
              <w:pStyle w:val="0"/>
              <w:jc w:val="right"/>
            </w:pPr>
            <w:r>
              <w:rPr>
                <w:sz w:val="20"/>
              </w:rPr>
              <w:t xml:space="preserve">3607,4</w:t>
            </w:r>
          </w:p>
        </w:tc>
      </w:tr>
      <w:tr>
        <w:tc>
          <w:tcPr>
            <w:tcW w:w="563" w:type="dxa"/>
            <w:vAlign w:val="center"/>
          </w:tcPr>
          <w:p>
            <w:pPr>
              <w:pStyle w:val="0"/>
              <w:jc w:val="both"/>
            </w:pPr>
            <w:r>
              <w:rPr>
                <w:sz w:val="20"/>
              </w:rPr>
              <w:t xml:space="preserve">17</w:t>
            </w:r>
          </w:p>
        </w:tc>
        <w:tc>
          <w:tcPr>
            <w:tcW w:w="2154" w:type="dxa"/>
            <w:vAlign w:val="center"/>
          </w:tcPr>
          <w:p>
            <w:pPr>
              <w:pStyle w:val="0"/>
              <w:jc w:val="both"/>
            </w:pPr>
            <w:r>
              <w:rPr>
                <w:sz w:val="20"/>
              </w:rPr>
              <w:t xml:space="preserve">Медвенский район</w:t>
            </w:r>
          </w:p>
        </w:tc>
        <w:tc>
          <w:tcPr>
            <w:tcW w:w="2665" w:type="dxa"/>
            <w:vAlign w:val="center"/>
          </w:tcPr>
          <w:p>
            <w:pPr>
              <w:pStyle w:val="0"/>
              <w:jc w:val="right"/>
            </w:pPr>
            <w:r>
              <w:rPr>
                <w:sz w:val="20"/>
              </w:rPr>
              <w:t xml:space="preserve">2,93</w:t>
            </w:r>
          </w:p>
        </w:tc>
        <w:tc>
          <w:tcPr>
            <w:tcW w:w="1417" w:type="dxa"/>
            <w:vAlign w:val="center"/>
          </w:tcPr>
          <w:p>
            <w:pPr>
              <w:pStyle w:val="0"/>
              <w:jc w:val="right"/>
            </w:pPr>
            <w:r>
              <w:rPr>
                <w:sz w:val="20"/>
              </w:rPr>
              <w:t xml:space="preserve">34,7</w:t>
            </w:r>
          </w:p>
        </w:tc>
        <w:tc>
          <w:tcPr>
            <w:tcW w:w="2665" w:type="dxa"/>
            <w:vAlign w:val="center"/>
          </w:tcPr>
          <w:p>
            <w:pPr>
              <w:pStyle w:val="0"/>
              <w:jc w:val="right"/>
            </w:pPr>
            <w:r>
              <w:rPr>
                <w:sz w:val="20"/>
              </w:rPr>
              <w:t xml:space="preserve">489,9</w:t>
            </w:r>
          </w:p>
        </w:tc>
      </w:tr>
      <w:tr>
        <w:tc>
          <w:tcPr>
            <w:tcW w:w="563" w:type="dxa"/>
            <w:vAlign w:val="center"/>
          </w:tcPr>
          <w:p>
            <w:pPr>
              <w:pStyle w:val="0"/>
              <w:jc w:val="both"/>
            </w:pPr>
            <w:r>
              <w:rPr>
                <w:sz w:val="20"/>
              </w:rPr>
              <w:t xml:space="preserve">18</w:t>
            </w:r>
          </w:p>
        </w:tc>
        <w:tc>
          <w:tcPr>
            <w:tcW w:w="2154" w:type="dxa"/>
            <w:vAlign w:val="center"/>
          </w:tcPr>
          <w:p>
            <w:pPr>
              <w:pStyle w:val="0"/>
              <w:jc w:val="both"/>
            </w:pPr>
            <w:r>
              <w:rPr>
                <w:sz w:val="20"/>
              </w:rPr>
              <w:t xml:space="preserve">Обоянский район</w:t>
            </w:r>
          </w:p>
        </w:tc>
        <w:tc>
          <w:tcPr>
            <w:tcW w:w="2665" w:type="dxa"/>
            <w:vAlign w:val="center"/>
          </w:tcPr>
          <w:p>
            <w:pPr>
              <w:pStyle w:val="0"/>
              <w:jc w:val="right"/>
            </w:pPr>
            <w:r>
              <w:rPr>
                <w:sz w:val="20"/>
              </w:rPr>
              <w:t xml:space="preserve">2,60</w:t>
            </w:r>
          </w:p>
        </w:tc>
        <w:tc>
          <w:tcPr>
            <w:tcW w:w="1417" w:type="dxa"/>
            <w:vAlign w:val="center"/>
          </w:tcPr>
          <w:p>
            <w:pPr>
              <w:pStyle w:val="0"/>
              <w:jc w:val="right"/>
            </w:pPr>
            <w:r>
              <w:rPr>
                <w:sz w:val="20"/>
              </w:rPr>
              <w:t xml:space="preserve">25,4</w:t>
            </w:r>
          </w:p>
        </w:tc>
        <w:tc>
          <w:tcPr>
            <w:tcW w:w="2665" w:type="dxa"/>
            <w:vAlign w:val="center"/>
          </w:tcPr>
          <w:p>
            <w:pPr>
              <w:pStyle w:val="0"/>
              <w:jc w:val="right"/>
            </w:pPr>
            <w:r>
              <w:rPr>
                <w:sz w:val="20"/>
              </w:rPr>
              <w:t xml:space="preserve">604,7</w:t>
            </w:r>
          </w:p>
        </w:tc>
      </w:tr>
      <w:tr>
        <w:tc>
          <w:tcPr>
            <w:tcW w:w="563" w:type="dxa"/>
            <w:vAlign w:val="center"/>
          </w:tcPr>
          <w:p>
            <w:pPr>
              <w:pStyle w:val="0"/>
              <w:jc w:val="both"/>
            </w:pPr>
            <w:r>
              <w:rPr>
                <w:sz w:val="20"/>
              </w:rPr>
              <w:t xml:space="preserve">19</w:t>
            </w:r>
          </w:p>
        </w:tc>
        <w:tc>
          <w:tcPr>
            <w:tcW w:w="2154" w:type="dxa"/>
            <w:vAlign w:val="center"/>
          </w:tcPr>
          <w:p>
            <w:pPr>
              <w:pStyle w:val="0"/>
              <w:jc w:val="both"/>
            </w:pPr>
            <w:r>
              <w:rPr>
                <w:sz w:val="20"/>
              </w:rPr>
              <w:t xml:space="preserve">Солнцевский район</w:t>
            </w:r>
          </w:p>
        </w:tc>
        <w:tc>
          <w:tcPr>
            <w:tcW w:w="2665" w:type="dxa"/>
            <w:vAlign w:val="center"/>
          </w:tcPr>
          <w:p>
            <w:pPr>
              <w:pStyle w:val="0"/>
              <w:jc w:val="right"/>
            </w:pPr>
            <w:r>
              <w:rPr>
                <w:sz w:val="20"/>
              </w:rPr>
              <w:t xml:space="preserve">2,01</w:t>
            </w:r>
          </w:p>
        </w:tc>
        <w:tc>
          <w:tcPr>
            <w:tcW w:w="1417" w:type="dxa"/>
            <w:vAlign w:val="center"/>
          </w:tcPr>
          <w:p>
            <w:pPr>
              <w:pStyle w:val="0"/>
              <w:jc w:val="right"/>
            </w:pPr>
            <w:r>
              <w:rPr>
                <w:sz w:val="20"/>
              </w:rPr>
              <w:t xml:space="preserve">25,6</w:t>
            </w:r>
          </w:p>
        </w:tc>
        <w:tc>
          <w:tcPr>
            <w:tcW w:w="2665" w:type="dxa"/>
            <w:vAlign w:val="center"/>
          </w:tcPr>
          <w:p>
            <w:pPr>
              <w:pStyle w:val="0"/>
              <w:jc w:val="right"/>
            </w:pPr>
            <w:r>
              <w:rPr>
                <w:sz w:val="20"/>
              </w:rPr>
              <w:t xml:space="preserve">314,4</w:t>
            </w:r>
          </w:p>
        </w:tc>
      </w:tr>
      <w:tr>
        <w:tc>
          <w:tcPr>
            <w:tcW w:w="563" w:type="dxa"/>
            <w:vAlign w:val="center"/>
          </w:tcPr>
          <w:p>
            <w:pPr>
              <w:pStyle w:val="0"/>
              <w:jc w:val="both"/>
            </w:pPr>
            <w:r>
              <w:rPr>
                <w:sz w:val="20"/>
              </w:rPr>
              <w:t xml:space="preserve">20</w:t>
            </w:r>
          </w:p>
        </w:tc>
        <w:tc>
          <w:tcPr>
            <w:tcW w:w="2154" w:type="dxa"/>
            <w:vAlign w:val="center"/>
          </w:tcPr>
          <w:p>
            <w:pPr>
              <w:pStyle w:val="0"/>
              <w:jc w:val="both"/>
            </w:pPr>
            <w:r>
              <w:rPr>
                <w:sz w:val="20"/>
              </w:rPr>
              <w:t xml:space="preserve">Щигровский район</w:t>
            </w:r>
          </w:p>
        </w:tc>
        <w:tc>
          <w:tcPr>
            <w:tcW w:w="2665" w:type="dxa"/>
            <w:vAlign w:val="center"/>
          </w:tcPr>
          <w:p>
            <w:pPr>
              <w:pStyle w:val="0"/>
              <w:jc w:val="right"/>
            </w:pPr>
            <w:r>
              <w:rPr>
                <w:sz w:val="20"/>
              </w:rPr>
              <w:t xml:space="preserve">1,90</w:t>
            </w:r>
          </w:p>
        </w:tc>
        <w:tc>
          <w:tcPr>
            <w:tcW w:w="1417" w:type="dxa"/>
            <w:vAlign w:val="center"/>
          </w:tcPr>
          <w:p>
            <w:pPr>
              <w:pStyle w:val="0"/>
              <w:jc w:val="right"/>
            </w:pPr>
            <w:r>
              <w:rPr>
                <w:sz w:val="20"/>
              </w:rPr>
              <w:t xml:space="preserve">27,6</w:t>
            </w:r>
          </w:p>
        </w:tc>
        <w:tc>
          <w:tcPr>
            <w:tcW w:w="2665" w:type="dxa"/>
            <w:vAlign w:val="center"/>
          </w:tcPr>
          <w:p>
            <w:pPr>
              <w:pStyle w:val="0"/>
              <w:jc w:val="right"/>
            </w:pPr>
            <w:r>
              <w:rPr>
                <w:sz w:val="20"/>
              </w:rPr>
              <w:t xml:space="preserve">580,9</w:t>
            </w:r>
          </w:p>
        </w:tc>
      </w:tr>
      <w:tr>
        <w:tc>
          <w:tcPr>
            <w:tcW w:w="563" w:type="dxa"/>
            <w:vAlign w:val="center"/>
          </w:tcPr>
          <w:p>
            <w:pPr>
              <w:pStyle w:val="0"/>
              <w:jc w:val="both"/>
            </w:pPr>
            <w:r>
              <w:rPr>
                <w:sz w:val="20"/>
              </w:rPr>
              <w:t xml:space="preserve">21</w:t>
            </w:r>
          </w:p>
        </w:tc>
        <w:tc>
          <w:tcPr>
            <w:tcW w:w="2154" w:type="dxa"/>
            <w:vAlign w:val="center"/>
          </w:tcPr>
          <w:p>
            <w:pPr>
              <w:pStyle w:val="0"/>
              <w:jc w:val="both"/>
            </w:pPr>
            <w:r>
              <w:rPr>
                <w:sz w:val="20"/>
              </w:rPr>
              <w:t xml:space="preserve">Черемисиновский район</w:t>
            </w:r>
          </w:p>
        </w:tc>
        <w:tc>
          <w:tcPr>
            <w:tcW w:w="2665" w:type="dxa"/>
            <w:vAlign w:val="center"/>
          </w:tcPr>
          <w:p>
            <w:pPr>
              <w:pStyle w:val="0"/>
              <w:jc w:val="right"/>
            </w:pPr>
            <w:r>
              <w:rPr>
                <w:sz w:val="20"/>
              </w:rPr>
              <w:t xml:space="preserve">1,43</w:t>
            </w:r>
          </w:p>
        </w:tc>
        <w:tc>
          <w:tcPr>
            <w:tcW w:w="1417" w:type="dxa"/>
            <w:vAlign w:val="center"/>
          </w:tcPr>
          <w:p>
            <w:pPr>
              <w:pStyle w:val="0"/>
              <w:jc w:val="right"/>
            </w:pPr>
            <w:r>
              <w:rPr>
                <w:sz w:val="20"/>
              </w:rPr>
              <w:t xml:space="preserve">27,7</w:t>
            </w:r>
          </w:p>
        </w:tc>
        <w:tc>
          <w:tcPr>
            <w:tcW w:w="2665" w:type="dxa"/>
            <w:vAlign w:val="center"/>
          </w:tcPr>
          <w:p>
            <w:pPr>
              <w:pStyle w:val="0"/>
              <w:jc w:val="right"/>
            </w:pPr>
            <w:r>
              <w:rPr>
                <w:sz w:val="20"/>
              </w:rPr>
              <w:t xml:space="preserve">113</w:t>
            </w:r>
          </w:p>
        </w:tc>
      </w:tr>
      <w:tr>
        <w:tc>
          <w:tcPr>
            <w:tcW w:w="563" w:type="dxa"/>
            <w:vAlign w:val="center"/>
          </w:tcPr>
          <w:p>
            <w:pPr>
              <w:pStyle w:val="0"/>
              <w:jc w:val="both"/>
            </w:pPr>
            <w:r>
              <w:rPr>
                <w:sz w:val="20"/>
              </w:rPr>
              <w:t xml:space="preserve">22</w:t>
            </w:r>
          </w:p>
        </w:tc>
        <w:tc>
          <w:tcPr>
            <w:tcW w:w="2154" w:type="dxa"/>
            <w:vAlign w:val="center"/>
          </w:tcPr>
          <w:p>
            <w:pPr>
              <w:pStyle w:val="0"/>
              <w:jc w:val="both"/>
            </w:pPr>
            <w:r>
              <w:rPr>
                <w:sz w:val="20"/>
              </w:rPr>
              <w:t xml:space="preserve">Хомутовский район</w:t>
            </w:r>
          </w:p>
        </w:tc>
        <w:tc>
          <w:tcPr>
            <w:tcW w:w="2665" w:type="dxa"/>
            <w:vAlign w:val="center"/>
          </w:tcPr>
          <w:p>
            <w:pPr>
              <w:pStyle w:val="0"/>
              <w:jc w:val="right"/>
            </w:pPr>
            <w:r>
              <w:rPr>
                <w:sz w:val="20"/>
              </w:rPr>
              <w:t xml:space="preserve">1,34</w:t>
            </w:r>
          </w:p>
        </w:tc>
        <w:tc>
          <w:tcPr>
            <w:tcW w:w="1417" w:type="dxa"/>
            <w:vAlign w:val="center"/>
          </w:tcPr>
          <w:p>
            <w:pPr>
              <w:pStyle w:val="0"/>
              <w:jc w:val="right"/>
            </w:pPr>
            <w:r>
              <w:rPr>
                <w:sz w:val="20"/>
              </w:rPr>
              <w:t xml:space="preserve">24,9</w:t>
            </w:r>
          </w:p>
        </w:tc>
        <w:tc>
          <w:tcPr>
            <w:tcW w:w="2665" w:type="dxa"/>
            <w:vAlign w:val="center"/>
          </w:tcPr>
          <w:p>
            <w:pPr>
              <w:pStyle w:val="0"/>
              <w:jc w:val="right"/>
            </w:pPr>
            <w:r>
              <w:rPr>
                <w:sz w:val="20"/>
              </w:rPr>
              <w:t xml:space="preserve">370,8</w:t>
            </w:r>
          </w:p>
        </w:tc>
      </w:tr>
      <w:tr>
        <w:tc>
          <w:tcPr>
            <w:tcW w:w="563" w:type="dxa"/>
            <w:vAlign w:val="center"/>
          </w:tcPr>
          <w:p>
            <w:pPr>
              <w:pStyle w:val="0"/>
              <w:jc w:val="both"/>
            </w:pPr>
            <w:r>
              <w:rPr>
                <w:sz w:val="20"/>
              </w:rPr>
              <w:t xml:space="preserve">23</w:t>
            </w:r>
          </w:p>
        </w:tc>
        <w:tc>
          <w:tcPr>
            <w:tcW w:w="2154" w:type="dxa"/>
            <w:vAlign w:val="center"/>
          </w:tcPr>
          <w:p>
            <w:pPr>
              <w:pStyle w:val="0"/>
              <w:jc w:val="both"/>
            </w:pPr>
            <w:r>
              <w:rPr>
                <w:sz w:val="20"/>
              </w:rPr>
              <w:t xml:space="preserve">Тимский район</w:t>
            </w:r>
          </w:p>
        </w:tc>
        <w:tc>
          <w:tcPr>
            <w:tcW w:w="2665" w:type="dxa"/>
            <w:vAlign w:val="center"/>
          </w:tcPr>
          <w:p>
            <w:pPr>
              <w:pStyle w:val="0"/>
              <w:jc w:val="right"/>
            </w:pPr>
            <w:r>
              <w:rPr>
                <w:sz w:val="20"/>
              </w:rPr>
              <w:t xml:space="preserve">0,87</w:t>
            </w:r>
          </w:p>
        </w:tc>
        <w:tc>
          <w:tcPr>
            <w:tcW w:w="1417" w:type="dxa"/>
            <w:vAlign w:val="center"/>
          </w:tcPr>
          <w:p>
            <w:pPr>
              <w:pStyle w:val="0"/>
              <w:jc w:val="right"/>
            </w:pPr>
            <w:r>
              <w:rPr>
                <w:sz w:val="20"/>
              </w:rPr>
              <w:t xml:space="preserve">24,1</w:t>
            </w:r>
          </w:p>
        </w:tc>
        <w:tc>
          <w:tcPr>
            <w:tcW w:w="2665" w:type="dxa"/>
            <w:vAlign w:val="center"/>
          </w:tcPr>
          <w:p>
            <w:pPr>
              <w:pStyle w:val="0"/>
              <w:jc w:val="right"/>
            </w:pPr>
            <w:r>
              <w:rPr>
                <w:sz w:val="20"/>
              </w:rPr>
              <w:t xml:space="preserve">62,4</w:t>
            </w:r>
          </w:p>
        </w:tc>
      </w:tr>
      <w:tr>
        <w:tc>
          <w:tcPr>
            <w:tcW w:w="563" w:type="dxa"/>
            <w:vAlign w:val="center"/>
          </w:tcPr>
          <w:p>
            <w:pPr>
              <w:pStyle w:val="0"/>
              <w:jc w:val="both"/>
            </w:pPr>
            <w:r>
              <w:rPr>
                <w:sz w:val="20"/>
              </w:rPr>
              <w:t xml:space="preserve">24</w:t>
            </w:r>
          </w:p>
        </w:tc>
        <w:tc>
          <w:tcPr>
            <w:tcW w:w="2154" w:type="dxa"/>
            <w:vAlign w:val="center"/>
          </w:tcPr>
          <w:p>
            <w:pPr>
              <w:pStyle w:val="0"/>
              <w:jc w:val="both"/>
            </w:pPr>
            <w:r>
              <w:rPr>
                <w:sz w:val="20"/>
              </w:rPr>
              <w:t xml:space="preserve">Большесолдатский район</w:t>
            </w:r>
          </w:p>
        </w:tc>
        <w:tc>
          <w:tcPr>
            <w:tcW w:w="2665" w:type="dxa"/>
            <w:vAlign w:val="center"/>
          </w:tcPr>
          <w:p>
            <w:pPr>
              <w:pStyle w:val="0"/>
              <w:jc w:val="right"/>
            </w:pPr>
            <w:r>
              <w:rPr>
                <w:sz w:val="20"/>
              </w:rPr>
              <w:t xml:space="preserve">0,83</w:t>
            </w:r>
          </w:p>
        </w:tc>
        <w:tc>
          <w:tcPr>
            <w:tcW w:w="1417" w:type="dxa"/>
            <w:vAlign w:val="center"/>
          </w:tcPr>
          <w:p>
            <w:pPr>
              <w:pStyle w:val="0"/>
              <w:jc w:val="right"/>
            </w:pPr>
            <w:r>
              <w:rPr>
                <w:sz w:val="20"/>
              </w:rPr>
              <w:t xml:space="preserve">26,6</w:t>
            </w:r>
          </w:p>
        </w:tc>
        <w:tc>
          <w:tcPr>
            <w:tcW w:w="2665" w:type="dxa"/>
            <w:vAlign w:val="center"/>
          </w:tcPr>
          <w:p>
            <w:pPr>
              <w:pStyle w:val="0"/>
              <w:jc w:val="right"/>
            </w:pPr>
            <w:r>
              <w:rPr>
                <w:sz w:val="20"/>
              </w:rPr>
              <w:t xml:space="preserve">683,5</w:t>
            </w:r>
          </w:p>
        </w:tc>
      </w:tr>
      <w:tr>
        <w:tc>
          <w:tcPr>
            <w:tcW w:w="563" w:type="dxa"/>
            <w:vAlign w:val="center"/>
          </w:tcPr>
          <w:p>
            <w:pPr>
              <w:pStyle w:val="0"/>
              <w:jc w:val="both"/>
            </w:pPr>
            <w:r>
              <w:rPr>
                <w:sz w:val="20"/>
              </w:rPr>
              <w:t xml:space="preserve">25</w:t>
            </w:r>
          </w:p>
        </w:tc>
        <w:tc>
          <w:tcPr>
            <w:tcW w:w="2154" w:type="dxa"/>
            <w:vAlign w:val="center"/>
          </w:tcPr>
          <w:p>
            <w:pPr>
              <w:pStyle w:val="0"/>
              <w:jc w:val="both"/>
            </w:pPr>
            <w:r>
              <w:rPr>
                <w:sz w:val="20"/>
              </w:rPr>
              <w:t xml:space="preserve">Льговский район</w:t>
            </w:r>
          </w:p>
        </w:tc>
        <w:tc>
          <w:tcPr>
            <w:tcW w:w="2665" w:type="dxa"/>
            <w:vAlign w:val="center"/>
          </w:tcPr>
          <w:p>
            <w:pPr>
              <w:pStyle w:val="0"/>
              <w:jc w:val="right"/>
            </w:pPr>
            <w:r>
              <w:rPr>
                <w:sz w:val="20"/>
              </w:rPr>
              <w:t xml:space="preserve">0,61</w:t>
            </w:r>
          </w:p>
        </w:tc>
        <w:tc>
          <w:tcPr>
            <w:tcW w:w="1417" w:type="dxa"/>
            <w:vAlign w:val="center"/>
          </w:tcPr>
          <w:p>
            <w:pPr>
              <w:pStyle w:val="0"/>
              <w:jc w:val="right"/>
            </w:pPr>
            <w:r>
              <w:rPr>
                <w:sz w:val="20"/>
              </w:rPr>
              <w:t xml:space="preserve">23,1</w:t>
            </w:r>
          </w:p>
        </w:tc>
        <w:tc>
          <w:tcPr>
            <w:tcW w:w="2665" w:type="dxa"/>
            <w:vAlign w:val="center"/>
          </w:tcPr>
          <w:p>
            <w:pPr>
              <w:pStyle w:val="0"/>
              <w:jc w:val="right"/>
            </w:pPr>
            <w:r>
              <w:rPr>
                <w:sz w:val="20"/>
              </w:rPr>
              <w:t xml:space="preserve">82,2</w:t>
            </w:r>
          </w:p>
        </w:tc>
      </w:tr>
      <w:tr>
        <w:tc>
          <w:tcPr>
            <w:tcW w:w="563" w:type="dxa"/>
            <w:vAlign w:val="center"/>
          </w:tcPr>
          <w:p>
            <w:pPr>
              <w:pStyle w:val="0"/>
              <w:jc w:val="both"/>
            </w:pPr>
            <w:r>
              <w:rPr>
                <w:sz w:val="20"/>
              </w:rPr>
              <w:t xml:space="preserve">26</w:t>
            </w:r>
          </w:p>
        </w:tc>
        <w:tc>
          <w:tcPr>
            <w:tcW w:w="2154" w:type="dxa"/>
            <w:vAlign w:val="center"/>
          </w:tcPr>
          <w:p>
            <w:pPr>
              <w:pStyle w:val="0"/>
              <w:jc w:val="both"/>
            </w:pPr>
            <w:r>
              <w:rPr>
                <w:sz w:val="20"/>
              </w:rPr>
              <w:t xml:space="preserve">Октябрьский район</w:t>
            </w:r>
          </w:p>
        </w:tc>
        <w:tc>
          <w:tcPr>
            <w:tcW w:w="2665" w:type="dxa"/>
            <w:vAlign w:val="center"/>
          </w:tcPr>
          <w:p>
            <w:pPr>
              <w:pStyle w:val="0"/>
              <w:jc w:val="right"/>
            </w:pPr>
            <w:r>
              <w:rPr>
                <w:sz w:val="20"/>
              </w:rPr>
              <w:t xml:space="preserve">0,35</w:t>
            </w:r>
          </w:p>
        </w:tc>
        <w:tc>
          <w:tcPr>
            <w:tcW w:w="1417" w:type="dxa"/>
            <w:vAlign w:val="center"/>
          </w:tcPr>
          <w:p>
            <w:pPr>
              <w:pStyle w:val="0"/>
              <w:jc w:val="right"/>
            </w:pPr>
            <w:r>
              <w:rPr>
                <w:sz w:val="20"/>
              </w:rPr>
              <w:t xml:space="preserve">28,1</w:t>
            </w:r>
          </w:p>
        </w:tc>
        <w:tc>
          <w:tcPr>
            <w:tcW w:w="2665" w:type="dxa"/>
            <w:vAlign w:val="center"/>
          </w:tcPr>
          <w:p>
            <w:pPr>
              <w:pStyle w:val="0"/>
              <w:jc w:val="right"/>
            </w:pPr>
            <w:r>
              <w:rPr>
                <w:sz w:val="20"/>
              </w:rPr>
              <w:t xml:space="preserve">2975</w:t>
            </w:r>
          </w:p>
        </w:tc>
      </w:tr>
      <w:tr>
        <w:tc>
          <w:tcPr>
            <w:tcW w:w="563" w:type="dxa"/>
            <w:vAlign w:val="center"/>
          </w:tcPr>
          <w:p>
            <w:pPr>
              <w:pStyle w:val="0"/>
              <w:jc w:val="both"/>
            </w:pPr>
            <w:r>
              <w:rPr>
                <w:sz w:val="20"/>
              </w:rPr>
              <w:t xml:space="preserve">27</w:t>
            </w:r>
          </w:p>
        </w:tc>
        <w:tc>
          <w:tcPr>
            <w:tcW w:w="2154" w:type="dxa"/>
            <w:vAlign w:val="center"/>
          </w:tcPr>
          <w:p>
            <w:pPr>
              <w:pStyle w:val="0"/>
              <w:jc w:val="both"/>
            </w:pPr>
            <w:r>
              <w:rPr>
                <w:sz w:val="20"/>
              </w:rPr>
              <w:t xml:space="preserve">Курчатовский район</w:t>
            </w:r>
          </w:p>
        </w:tc>
        <w:tc>
          <w:tcPr>
            <w:tcW w:w="2665" w:type="dxa"/>
            <w:vAlign w:val="center"/>
          </w:tcPr>
          <w:p>
            <w:pPr>
              <w:pStyle w:val="0"/>
              <w:jc w:val="right"/>
            </w:pPr>
            <w:r>
              <w:rPr>
                <w:sz w:val="20"/>
              </w:rPr>
              <w:t xml:space="preserve">0,32</w:t>
            </w:r>
          </w:p>
        </w:tc>
        <w:tc>
          <w:tcPr>
            <w:tcW w:w="1417" w:type="dxa"/>
            <w:vAlign w:val="center"/>
          </w:tcPr>
          <w:p>
            <w:pPr>
              <w:pStyle w:val="0"/>
              <w:jc w:val="right"/>
            </w:pPr>
            <w:r>
              <w:rPr>
                <w:sz w:val="20"/>
              </w:rPr>
              <w:t xml:space="preserve">24,8</w:t>
            </w:r>
          </w:p>
        </w:tc>
        <w:tc>
          <w:tcPr>
            <w:tcW w:w="2665" w:type="dxa"/>
            <w:vAlign w:val="center"/>
          </w:tcPr>
          <w:p>
            <w:pPr>
              <w:pStyle w:val="0"/>
              <w:jc w:val="right"/>
            </w:pPr>
            <w:r>
              <w:rPr>
                <w:sz w:val="20"/>
              </w:rPr>
              <w:t xml:space="preserve">360,7</w:t>
            </w:r>
          </w:p>
        </w:tc>
      </w:tr>
      <w:tr>
        <w:tc>
          <w:tcPr>
            <w:tcW w:w="563" w:type="dxa"/>
            <w:vAlign w:val="center"/>
          </w:tcPr>
          <w:p>
            <w:pPr>
              <w:pStyle w:val="0"/>
              <w:jc w:val="both"/>
            </w:pPr>
            <w:r>
              <w:rPr>
                <w:sz w:val="20"/>
              </w:rPr>
              <w:t xml:space="preserve">28</w:t>
            </w:r>
          </w:p>
        </w:tc>
        <w:tc>
          <w:tcPr>
            <w:tcW w:w="2154" w:type="dxa"/>
            <w:vAlign w:val="center"/>
          </w:tcPr>
          <w:p>
            <w:pPr>
              <w:pStyle w:val="0"/>
              <w:jc w:val="both"/>
            </w:pPr>
            <w:r>
              <w:rPr>
                <w:sz w:val="20"/>
              </w:rPr>
              <w:t xml:space="preserve">Поныровский район</w:t>
            </w:r>
          </w:p>
        </w:tc>
        <w:tc>
          <w:tcPr>
            <w:tcW w:w="2665" w:type="dxa"/>
            <w:vAlign w:val="center"/>
          </w:tcPr>
          <w:p>
            <w:pPr>
              <w:pStyle w:val="0"/>
              <w:jc w:val="right"/>
            </w:pPr>
            <w:r>
              <w:rPr>
                <w:sz w:val="20"/>
              </w:rPr>
              <w:t xml:space="preserve">0,24</w:t>
            </w:r>
          </w:p>
        </w:tc>
        <w:tc>
          <w:tcPr>
            <w:tcW w:w="1417" w:type="dxa"/>
            <w:vAlign w:val="center"/>
          </w:tcPr>
          <w:p>
            <w:pPr>
              <w:pStyle w:val="0"/>
              <w:jc w:val="right"/>
            </w:pPr>
            <w:r>
              <w:rPr>
                <w:sz w:val="20"/>
              </w:rPr>
              <w:t xml:space="preserve">24,4</w:t>
            </w:r>
          </w:p>
        </w:tc>
        <w:tc>
          <w:tcPr>
            <w:tcW w:w="2665" w:type="dxa"/>
            <w:vAlign w:val="center"/>
          </w:tcPr>
          <w:p>
            <w:pPr>
              <w:pStyle w:val="0"/>
              <w:jc w:val="right"/>
            </w:pPr>
            <w:r>
              <w:rPr>
                <w:sz w:val="20"/>
              </w:rPr>
              <w:t xml:space="preserve">240,6</w:t>
            </w:r>
          </w:p>
        </w:tc>
      </w:tr>
    </w:tbl>
    <w:p>
      <w:pPr>
        <w:pStyle w:val="0"/>
        <w:jc w:val="both"/>
      </w:pPr>
      <w:r>
        <w:rPr>
          <w:sz w:val="20"/>
        </w:rPr>
      </w:r>
    </w:p>
    <w:p>
      <w:pPr>
        <w:pStyle w:val="0"/>
        <w:ind w:firstLine="540"/>
        <w:jc w:val="both"/>
      </w:pPr>
      <w:r>
        <w:rPr>
          <w:sz w:val="20"/>
        </w:rPr>
        <w:t xml:space="preserve">Источник: Мониторинг социально-экономического развития Курской области в разрезе районов и городов за 2018 год, Администрация Курской области.</w:t>
      </w:r>
    </w:p>
    <w:p>
      <w:pPr>
        <w:pStyle w:val="0"/>
        <w:jc w:val="both"/>
      </w:pPr>
      <w:r>
        <w:rPr>
          <w:sz w:val="20"/>
        </w:rPr>
      </w:r>
    </w:p>
    <w:p>
      <w:pPr>
        <w:pStyle w:val="2"/>
        <w:outlineLvl w:val="2"/>
        <w:ind w:firstLine="540"/>
        <w:jc w:val="both"/>
      </w:pPr>
      <w:r>
        <w:rPr>
          <w:sz w:val="20"/>
        </w:rPr>
        <w:t xml:space="preserve">Город Курск</w:t>
      </w:r>
    </w:p>
    <w:p>
      <w:pPr>
        <w:pStyle w:val="0"/>
        <w:jc w:val="both"/>
      </w:pPr>
      <w:r>
        <w:rPr>
          <w:sz w:val="20"/>
        </w:rPr>
      </w:r>
    </w:p>
    <w:p>
      <w:pPr>
        <w:pStyle w:val="0"/>
        <w:ind w:firstLine="540"/>
        <w:jc w:val="both"/>
      </w:pPr>
      <w:r>
        <w:rPr>
          <w:sz w:val="20"/>
        </w:rPr>
        <w:t xml:space="preserve">Город Курск является административным центром Курской области. Город занимает площадь 199,2 кв. км. Численность населения города по данным на 1 января 2019 года составляет 449,6 тыс. человек &lt;1&gt; (42-е место среди городов России) &lt;2&gt;. Численность населения агломерации Курска составляет около 800 тыс. человек.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Согласно данным Курскстата, URL: </w:t>
      </w:r>
      <w:r>
        <w:rPr>
          <w:sz w:val="20"/>
        </w:rPr>
        <w:t xml:space="preserve">http://kurskstat.gks.ru/wps/wcm/connect/rosstat_ts/kurskstat/resources/ddc623004fa17a7bb12dbd9b972d8349/%D1%87%D0%B8%D1%81%D0%BB%D0%B5%D0%BD%D0%BD%D0%BE%D1%81%D1%82%D1%8C_2019.pdf</w:t>
      </w:r>
      <w:r>
        <w:rPr>
          <w:sz w:val="20"/>
        </w:rPr>
        <w:t xml:space="preserve">.</w:t>
      </w:r>
    </w:p>
    <w:p>
      <w:pPr>
        <w:pStyle w:val="0"/>
        <w:spacing w:before="200" w:line-rule="auto"/>
        <w:ind w:firstLine="540"/>
        <w:jc w:val="both"/>
      </w:pPr>
      <w:r>
        <w:rPr>
          <w:sz w:val="20"/>
        </w:rPr>
        <w:t xml:space="preserve">&lt;2&gt; По данным Росстата за 2018 год.</w:t>
      </w:r>
    </w:p>
    <w:p>
      <w:pPr>
        <w:pStyle w:val="0"/>
        <w:jc w:val="both"/>
      </w:pPr>
      <w:r>
        <w:rPr>
          <w:sz w:val="20"/>
        </w:rPr>
      </w:r>
    </w:p>
    <w:p>
      <w:pPr>
        <w:pStyle w:val="0"/>
        <w:ind w:firstLine="540"/>
        <w:jc w:val="both"/>
      </w:pPr>
      <w:r>
        <w:rPr>
          <w:sz w:val="20"/>
        </w:rPr>
        <w:t xml:space="preserve">Город Курск является крупным транспортным узлом Центрального Федерального округа и отличается выгодным экономико-географическим положением. Расстояние от Москвы до Курска составляет 530 км. В непосредственной близости к Курску находятся такие областные центры, как Орел, Белгород и Воронеж, а также Брянск. Курск находится на расстоянии около 115 км от границы с Украиной.</w:t>
      </w:r>
    </w:p>
    <w:p>
      <w:pPr>
        <w:pStyle w:val="0"/>
        <w:spacing w:before="200" w:line-rule="auto"/>
        <w:ind w:firstLine="540"/>
        <w:jc w:val="both"/>
      </w:pPr>
      <w:r>
        <w:rPr>
          <w:sz w:val="20"/>
        </w:rPr>
        <w:t xml:space="preserve">Через Курск проходят европейские автомобильные маршруты Е105 (Киркенес - Ялта) и Е38 (Глухов - Шымкент). Также город находится на двух важных железнодорожных путях: Москва - Харьков и Воронеж - Киев. В 7 км от центра города находится международный аэропорт Восточный.</w:t>
      </w:r>
    </w:p>
    <w:p>
      <w:pPr>
        <w:pStyle w:val="0"/>
        <w:spacing w:before="200" w:line-rule="auto"/>
        <w:ind w:firstLine="540"/>
        <w:jc w:val="both"/>
      </w:pPr>
      <w:r>
        <w:rPr>
          <w:sz w:val="20"/>
        </w:rPr>
        <w:t xml:space="preserve">Курск обладает развитым и диверсифицированным научно-образовательным комплексом. В городе насчитывается более десятка ООВО, крупнейшими и наиболее известными из которых являются:</w:t>
      </w:r>
    </w:p>
    <w:p>
      <w:pPr>
        <w:pStyle w:val="0"/>
        <w:spacing w:before="200" w:line-rule="auto"/>
        <w:ind w:firstLine="540"/>
        <w:jc w:val="both"/>
      </w:pPr>
      <w:r>
        <w:rPr>
          <w:sz w:val="20"/>
        </w:rPr>
        <w:t xml:space="preserve">Курский государственный медицинский университет (КГМУ),</w:t>
      </w:r>
    </w:p>
    <w:p>
      <w:pPr>
        <w:pStyle w:val="0"/>
        <w:spacing w:before="200" w:line-rule="auto"/>
        <w:ind w:firstLine="540"/>
        <w:jc w:val="both"/>
      </w:pPr>
      <w:r>
        <w:rPr>
          <w:sz w:val="20"/>
        </w:rPr>
        <w:t xml:space="preserve">Курский государственный университет (КГУ),</w:t>
      </w:r>
    </w:p>
    <w:p>
      <w:pPr>
        <w:pStyle w:val="0"/>
        <w:spacing w:before="200" w:line-rule="auto"/>
        <w:ind w:firstLine="540"/>
        <w:jc w:val="both"/>
      </w:pPr>
      <w:r>
        <w:rPr>
          <w:sz w:val="20"/>
        </w:rPr>
        <w:t xml:space="preserve">Курская государственная сельскохозяйственная академия им. проф. И.И. Иванова (КГСХА),</w:t>
      </w:r>
    </w:p>
    <w:p>
      <w:pPr>
        <w:pStyle w:val="0"/>
        <w:spacing w:before="200" w:line-rule="auto"/>
        <w:ind w:firstLine="540"/>
        <w:jc w:val="both"/>
      </w:pPr>
      <w:r>
        <w:rPr>
          <w:sz w:val="20"/>
        </w:rPr>
        <w:t xml:space="preserve">Юго-Западный государственный университет (ЮЗГУ).</w:t>
      </w:r>
    </w:p>
    <w:p>
      <w:pPr>
        <w:pStyle w:val="0"/>
        <w:spacing w:before="200" w:line-rule="auto"/>
        <w:ind w:firstLine="540"/>
        <w:jc w:val="both"/>
      </w:pPr>
      <w:r>
        <w:rPr>
          <w:sz w:val="20"/>
        </w:rPr>
        <w:t xml:space="preserve">В городе также имеется около полутора десятков научно-исследовательских учреждений, в их числе ФГУП "18 Центральный научно-исследовательский институт" Министерства обороны Российской Федерации, ФГБНУ "Курский федеральный аграрный научный центр", Льговская опытно-селекционная станция.</w:t>
      </w:r>
    </w:p>
    <w:p>
      <w:pPr>
        <w:pStyle w:val="0"/>
        <w:spacing w:before="200" w:line-rule="auto"/>
        <w:ind w:firstLine="540"/>
        <w:jc w:val="both"/>
      </w:pPr>
      <w:r>
        <w:rPr>
          <w:sz w:val="20"/>
        </w:rPr>
        <w:t xml:space="preserve">Курск традиционно является важным центром пищевой промышленности; в городе также развиты машиностроение, электротехническая промышленность, химическое производство, целлюлозно-бумажное производство, добыча полезных ископаемых. К числу крупнейших предприятий города относятся:</w:t>
      </w:r>
    </w:p>
    <w:p>
      <w:pPr>
        <w:pStyle w:val="0"/>
        <w:spacing w:before="200" w:line-rule="auto"/>
        <w:ind w:firstLine="540"/>
        <w:jc w:val="both"/>
      </w:pPr>
      <w:r>
        <w:rPr>
          <w:sz w:val="20"/>
        </w:rPr>
        <w:t xml:space="preserve">АО "Авиаавтоматика" им. В.В. Тарасова",</w:t>
      </w:r>
    </w:p>
    <w:p>
      <w:pPr>
        <w:pStyle w:val="0"/>
        <w:spacing w:before="200" w:line-rule="auto"/>
        <w:ind w:firstLine="540"/>
        <w:jc w:val="both"/>
      </w:pPr>
      <w:r>
        <w:rPr>
          <w:sz w:val="20"/>
        </w:rPr>
        <w:t xml:space="preserve">АО "Счетмаш",</w:t>
      </w:r>
    </w:p>
    <w:p>
      <w:pPr>
        <w:pStyle w:val="0"/>
        <w:spacing w:before="200" w:line-rule="auto"/>
        <w:ind w:firstLine="540"/>
        <w:jc w:val="both"/>
      </w:pPr>
      <w:r>
        <w:rPr>
          <w:sz w:val="20"/>
        </w:rPr>
        <w:t xml:space="preserve">Курский завод "Маяк" - филиал АО "ННПО им. М.В. Фрунзе",</w:t>
      </w:r>
    </w:p>
    <w:p>
      <w:pPr>
        <w:pStyle w:val="0"/>
        <w:spacing w:before="200" w:line-rule="auto"/>
        <w:ind w:firstLine="540"/>
        <w:jc w:val="both"/>
      </w:pPr>
      <w:r>
        <w:rPr>
          <w:sz w:val="20"/>
        </w:rPr>
        <w:t xml:space="preserve">Курская производственная аккумуляторная площадка (ООО "ИСТОК+", ООО "Курский аккумуляторный завод"),</w:t>
      </w:r>
    </w:p>
    <w:p>
      <w:pPr>
        <w:pStyle w:val="0"/>
        <w:spacing w:before="200" w:line-rule="auto"/>
        <w:ind w:firstLine="540"/>
        <w:jc w:val="both"/>
      </w:pPr>
      <w:r>
        <w:rPr>
          <w:sz w:val="20"/>
        </w:rPr>
        <w:t xml:space="preserve">АО "Курский электроаппаратный завод",</w:t>
      </w:r>
    </w:p>
    <w:p>
      <w:pPr>
        <w:pStyle w:val="0"/>
        <w:spacing w:before="200" w:line-rule="auto"/>
        <w:ind w:firstLine="540"/>
        <w:jc w:val="both"/>
      </w:pPr>
      <w:r>
        <w:rPr>
          <w:sz w:val="20"/>
        </w:rPr>
        <w:t xml:space="preserve">ОАО "Курскрезинотехника",</w:t>
      </w:r>
    </w:p>
    <w:p>
      <w:pPr>
        <w:pStyle w:val="0"/>
        <w:spacing w:before="200" w:line-rule="auto"/>
        <w:ind w:firstLine="540"/>
        <w:jc w:val="both"/>
      </w:pPr>
      <w:r>
        <w:rPr>
          <w:sz w:val="20"/>
        </w:rPr>
        <w:t xml:space="preserve">ООО НПО "Композит",</w:t>
      </w:r>
    </w:p>
    <w:p>
      <w:pPr>
        <w:pStyle w:val="0"/>
        <w:spacing w:before="200" w:line-rule="auto"/>
        <w:ind w:firstLine="540"/>
        <w:jc w:val="both"/>
      </w:pPr>
      <w:r>
        <w:rPr>
          <w:sz w:val="20"/>
        </w:rPr>
        <w:t xml:space="preserve">ООО "Курскхимволокно",</w:t>
      </w:r>
    </w:p>
    <w:p>
      <w:pPr>
        <w:pStyle w:val="0"/>
        <w:spacing w:before="200" w:line-rule="auto"/>
        <w:ind w:firstLine="540"/>
        <w:jc w:val="both"/>
      </w:pPr>
      <w:r>
        <w:rPr>
          <w:sz w:val="20"/>
        </w:rPr>
        <w:t xml:space="preserve">АО "Курский завод крупнопанельного домостроения им. А.Ф. Дериглазова" и другие.</w:t>
      </w:r>
    </w:p>
    <w:p>
      <w:pPr>
        <w:pStyle w:val="0"/>
        <w:spacing w:before="200" w:line-rule="auto"/>
        <w:ind w:firstLine="540"/>
        <w:jc w:val="both"/>
      </w:pPr>
      <w:r>
        <w:rPr>
          <w:sz w:val="20"/>
        </w:rPr>
        <w:t xml:space="preserve">В Курске были основаны две крупные торговые сети:</w:t>
      </w:r>
    </w:p>
    <w:p>
      <w:pPr>
        <w:pStyle w:val="0"/>
        <w:spacing w:before="200" w:line-rule="auto"/>
        <w:ind w:firstLine="540"/>
        <w:jc w:val="both"/>
      </w:pPr>
      <w:r>
        <w:rPr>
          <w:sz w:val="20"/>
        </w:rPr>
        <w:t xml:space="preserve">Корпорация "ГРИНН" (гипермаркеты "Линия"),</w:t>
      </w:r>
    </w:p>
    <w:p>
      <w:pPr>
        <w:pStyle w:val="0"/>
        <w:spacing w:before="200" w:line-rule="auto"/>
        <w:ind w:firstLine="540"/>
        <w:jc w:val="both"/>
      </w:pPr>
      <w:r>
        <w:rPr>
          <w:sz w:val="20"/>
        </w:rPr>
        <w:t xml:space="preserve">ГК "Промресурс" (гипермаркеты "Европа").</w:t>
      </w:r>
    </w:p>
    <w:p>
      <w:pPr>
        <w:pStyle w:val="0"/>
        <w:spacing w:before="200" w:line-rule="auto"/>
        <w:ind w:firstLine="540"/>
        <w:jc w:val="both"/>
      </w:pPr>
      <w:r>
        <w:rPr>
          <w:sz w:val="20"/>
        </w:rPr>
        <w:t xml:space="preserve">Крупные предприятия пищевой и перерабатывающей промышленности:</w:t>
      </w:r>
    </w:p>
    <w:p>
      <w:pPr>
        <w:pStyle w:val="0"/>
        <w:spacing w:before="200" w:line-rule="auto"/>
        <w:ind w:firstLine="540"/>
        <w:jc w:val="both"/>
      </w:pPr>
      <w:r>
        <w:rPr>
          <w:sz w:val="20"/>
        </w:rPr>
        <w:t xml:space="preserve">АО "КОНТИ-РУС",</w:t>
      </w:r>
    </w:p>
    <w:p>
      <w:pPr>
        <w:pStyle w:val="0"/>
        <w:spacing w:before="200" w:line-rule="auto"/>
        <w:ind w:firstLine="540"/>
        <w:jc w:val="both"/>
      </w:pPr>
      <w:r>
        <w:rPr>
          <w:sz w:val="20"/>
        </w:rPr>
        <w:t xml:space="preserve">ЗАО "Курский КХП",</w:t>
      </w:r>
    </w:p>
    <w:p>
      <w:pPr>
        <w:pStyle w:val="0"/>
        <w:spacing w:before="200" w:line-rule="auto"/>
        <w:ind w:firstLine="540"/>
        <w:jc w:val="both"/>
      </w:pPr>
      <w:r>
        <w:rPr>
          <w:sz w:val="20"/>
        </w:rPr>
        <w:t xml:space="preserve">ООО "Корпорация Курская хлебная база N 24",</w:t>
      </w:r>
    </w:p>
    <w:p>
      <w:pPr>
        <w:pStyle w:val="0"/>
        <w:spacing w:before="200" w:line-rule="auto"/>
        <w:ind w:firstLine="540"/>
        <w:jc w:val="both"/>
      </w:pPr>
      <w:r>
        <w:rPr>
          <w:sz w:val="20"/>
        </w:rPr>
        <w:t xml:space="preserve">ООО "Курское молоко",</w:t>
      </w:r>
    </w:p>
    <w:p>
      <w:pPr>
        <w:pStyle w:val="0"/>
        <w:spacing w:before="200" w:line-rule="auto"/>
        <w:ind w:firstLine="540"/>
        <w:jc w:val="both"/>
      </w:pPr>
      <w:r>
        <w:rPr>
          <w:sz w:val="20"/>
        </w:rPr>
        <w:t xml:space="preserve">ОАО "Курский хладокомбинат",</w:t>
      </w:r>
    </w:p>
    <w:p>
      <w:pPr>
        <w:pStyle w:val="0"/>
        <w:spacing w:before="200" w:line-rule="auto"/>
        <w:ind w:firstLine="540"/>
        <w:jc w:val="both"/>
      </w:pPr>
      <w:r>
        <w:rPr>
          <w:sz w:val="20"/>
        </w:rPr>
        <w:t xml:space="preserve">ООО ГК "Молочная артель",</w:t>
      </w:r>
    </w:p>
    <w:p>
      <w:pPr>
        <w:pStyle w:val="0"/>
        <w:spacing w:before="200" w:line-rule="auto"/>
        <w:ind w:firstLine="540"/>
        <w:jc w:val="both"/>
      </w:pPr>
      <w:r>
        <w:rPr>
          <w:sz w:val="20"/>
        </w:rPr>
        <w:t xml:space="preserve">ОАО "Курскмакаронпром",</w:t>
      </w:r>
    </w:p>
    <w:p>
      <w:pPr>
        <w:pStyle w:val="0"/>
        <w:spacing w:before="200" w:line-rule="auto"/>
        <w:ind w:firstLine="540"/>
        <w:jc w:val="both"/>
      </w:pPr>
      <w:r>
        <w:rPr>
          <w:sz w:val="20"/>
        </w:rPr>
        <w:t xml:space="preserve">ОАО "Курскхлеб",</w:t>
      </w:r>
    </w:p>
    <w:p>
      <w:pPr>
        <w:pStyle w:val="0"/>
        <w:spacing w:before="200" w:line-rule="auto"/>
        <w:ind w:firstLine="540"/>
        <w:jc w:val="both"/>
      </w:pPr>
      <w:r>
        <w:rPr>
          <w:sz w:val="20"/>
        </w:rPr>
        <w:t xml:space="preserve">АО "Проект "Свежий хлеб",</w:t>
      </w:r>
    </w:p>
    <w:p>
      <w:pPr>
        <w:pStyle w:val="0"/>
        <w:spacing w:before="200" w:line-rule="auto"/>
        <w:ind w:firstLine="540"/>
        <w:jc w:val="both"/>
      </w:pPr>
      <w:r>
        <w:rPr>
          <w:sz w:val="20"/>
        </w:rPr>
        <w:t xml:space="preserve">ООО "Курская Пивоваренная Компания",</w:t>
      </w:r>
    </w:p>
    <w:p>
      <w:pPr>
        <w:pStyle w:val="0"/>
        <w:spacing w:before="200" w:line-rule="auto"/>
        <w:ind w:firstLine="540"/>
        <w:jc w:val="both"/>
      </w:pPr>
      <w:r>
        <w:rPr>
          <w:sz w:val="20"/>
        </w:rPr>
        <w:t xml:space="preserve">ООО "Грейнрус - Курский Солод".</w:t>
      </w:r>
    </w:p>
    <w:p>
      <w:pPr>
        <w:pStyle w:val="0"/>
        <w:spacing w:before="200" w:line-rule="auto"/>
        <w:ind w:firstLine="540"/>
        <w:jc w:val="both"/>
      </w:pPr>
      <w:r>
        <w:rPr>
          <w:sz w:val="20"/>
        </w:rPr>
        <w:t xml:space="preserve">В 2017 году в Курске работали более 23 тыс. субъектов малого и среднего предпринимательства, из них 9,3 тыс. малых и средних предприятий и 14,0 тыс. индивидуальных предпринимателей. Почти половина всех субъектов малого и среднего предпринимательства осуществляет деятельность в сфере оптовой и розничной торговли (47,5%). Популярными среди предпринимателей также являются такие сферы, как операции с недвижимым имуществом, аренда и предоставление услуг (15,1% субъектов малого и среднего предпринимательства), транспорт и связь (10,7%), обрабатывающие производства (8,4%), строительство (8,3%).</w:t>
      </w:r>
    </w:p>
    <w:p>
      <w:pPr>
        <w:pStyle w:val="0"/>
        <w:spacing w:before="200" w:line-rule="auto"/>
        <w:ind w:firstLine="540"/>
        <w:jc w:val="both"/>
      </w:pPr>
      <w:r>
        <w:rPr>
          <w:sz w:val="20"/>
        </w:rPr>
        <w:t xml:space="preserve">В 2018 году завершилась реализация Комплексной программы социально-экономического развития города Курска, которая была рассчитана на 2014 - 2018 гг. В 2019 году утверждена Стратегия социально-экономического развития города Курска на 2019 - 2030 годы.</w:t>
      </w:r>
    </w:p>
    <w:p>
      <w:pPr>
        <w:pStyle w:val="0"/>
        <w:spacing w:before="200" w:line-rule="auto"/>
        <w:ind w:firstLine="540"/>
        <w:jc w:val="both"/>
      </w:pPr>
      <w:r>
        <w:rPr>
          <w:sz w:val="20"/>
        </w:rPr>
        <w:t xml:space="preserve">В городе реализованы муниципальные программы "Развитие образования в городе Курске на 2014 - 2018 годы" и "Градостроительство и инвестиционная деятельность в городе Курске на 2016 - 2018 годы", продолжается реализация 17 муниципальных программ, в том числе:</w:t>
      </w:r>
    </w:p>
    <w:p>
      <w:pPr>
        <w:pStyle w:val="0"/>
        <w:spacing w:before="200" w:line-rule="auto"/>
        <w:ind w:firstLine="540"/>
        <w:jc w:val="both"/>
      </w:pPr>
      <w:r>
        <w:rPr>
          <w:sz w:val="20"/>
        </w:rPr>
        <w:t xml:space="preserve">"Формирование современной городской среды в муниципальном образовании "Город Курск" на 2018 - 2022 годы";</w:t>
      </w:r>
    </w:p>
    <w:p>
      <w:pPr>
        <w:pStyle w:val="0"/>
        <w:spacing w:before="200" w:line-rule="auto"/>
        <w:ind w:firstLine="540"/>
        <w:jc w:val="both"/>
      </w:pPr>
      <w:r>
        <w:rPr>
          <w:sz w:val="20"/>
        </w:rPr>
        <w:t xml:space="preserve">"Энергосбережение и повышение энергетической эффективности на территории муниципального образования "Город Курск" на 2010 - 2015 годы и на перспективу до 2020 года";</w:t>
      </w:r>
    </w:p>
    <w:p>
      <w:pPr>
        <w:pStyle w:val="0"/>
        <w:spacing w:before="200" w:line-rule="auto"/>
        <w:ind w:firstLine="540"/>
        <w:jc w:val="both"/>
      </w:pPr>
      <w:r>
        <w:rPr>
          <w:sz w:val="20"/>
        </w:rPr>
        <w:t xml:space="preserve">"Развитие транспортной системы, обеспечение перевозки пассажиров в городе Курске и безопасности дорожного движения в 2016 - 2020 годах" и другие.</w:t>
      </w:r>
    </w:p>
    <w:p>
      <w:pPr>
        <w:pStyle w:val="0"/>
        <w:jc w:val="both"/>
      </w:pPr>
      <w:r>
        <w:rPr>
          <w:sz w:val="20"/>
        </w:rPr>
      </w:r>
    </w:p>
    <w:p>
      <w:pPr>
        <w:pStyle w:val="2"/>
        <w:outlineLvl w:val="2"/>
        <w:ind w:firstLine="540"/>
        <w:jc w:val="both"/>
      </w:pPr>
      <w:r>
        <w:rPr>
          <w:sz w:val="20"/>
        </w:rPr>
        <w:t xml:space="preserve">Город Железногорск</w:t>
      </w:r>
    </w:p>
    <w:p>
      <w:pPr>
        <w:pStyle w:val="0"/>
        <w:jc w:val="both"/>
      </w:pPr>
      <w:r>
        <w:rPr>
          <w:sz w:val="20"/>
        </w:rPr>
      </w:r>
    </w:p>
    <w:p>
      <w:pPr>
        <w:pStyle w:val="0"/>
        <w:ind w:firstLine="540"/>
        <w:jc w:val="both"/>
      </w:pPr>
      <w:r>
        <w:rPr>
          <w:sz w:val="20"/>
        </w:rPr>
        <w:t xml:space="preserve">Город Железногорск является административным центром Железногорского района Курской области, при этом он не входит в состав района и имеет статус городского округа. По данным на 1 января 2019 года, в Железногорске проживает 100,5 тыс. человек. В последние семь лет численность населения города стабильно растет. В настоящее время по численности населения Железногорск является вторым городом в Курской области после г. Курска.</w:t>
      </w:r>
    </w:p>
    <w:p>
      <w:pPr>
        <w:pStyle w:val="0"/>
        <w:spacing w:before="200" w:line-rule="auto"/>
        <w:ind w:firstLine="540"/>
        <w:jc w:val="both"/>
      </w:pPr>
      <w:r>
        <w:rPr>
          <w:sz w:val="20"/>
        </w:rPr>
        <w:t xml:space="preserve">Железногорск имеет достаточно выгодное экономико-географическое положение и является самым северным городом Курской области. Он находится на расстоянии 90 км от г. Курска. Рядом с городом находится железнодорожная станция Михайловский рудник (ветка Орел - Льгов). Через город проходит автомобильная дорога А142.</w:t>
      </w:r>
    </w:p>
    <w:p>
      <w:pPr>
        <w:pStyle w:val="0"/>
        <w:spacing w:before="200" w:line-rule="auto"/>
        <w:ind w:firstLine="540"/>
        <w:jc w:val="both"/>
      </w:pPr>
      <w:r>
        <w:rPr>
          <w:sz w:val="20"/>
        </w:rPr>
        <w:t xml:space="preserve">Градообразующим предприятием города является АО "Михайловский ГОК им. А.В. Варичева", которое занимает второе в России место по объему производства железорудного сырья. Помимо этого, в городе имеется около двух десятков промышленных предприятий, в том числе:</w:t>
      </w:r>
    </w:p>
    <w:p>
      <w:pPr>
        <w:pStyle w:val="0"/>
        <w:spacing w:before="200" w:line-rule="auto"/>
        <w:ind w:firstLine="540"/>
        <w:jc w:val="both"/>
      </w:pPr>
      <w:r>
        <w:rPr>
          <w:sz w:val="20"/>
        </w:rPr>
        <w:t xml:space="preserve">АО "Железногорский кирпичный завод",</w:t>
      </w:r>
    </w:p>
    <w:p>
      <w:pPr>
        <w:pStyle w:val="0"/>
        <w:spacing w:before="200" w:line-rule="auto"/>
        <w:ind w:firstLine="540"/>
        <w:jc w:val="both"/>
      </w:pPr>
      <w:r>
        <w:rPr>
          <w:sz w:val="20"/>
        </w:rPr>
        <w:t xml:space="preserve">Группа предприятий "ГОТЭК",</w:t>
      </w:r>
    </w:p>
    <w:p>
      <w:pPr>
        <w:pStyle w:val="0"/>
        <w:spacing w:before="200" w:line-rule="auto"/>
        <w:ind w:firstLine="540"/>
        <w:jc w:val="both"/>
      </w:pPr>
      <w:r>
        <w:rPr>
          <w:sz w:val="20"/>
        </w:rPr>
        <w:t xml:space="preserve">АО "Специализированный застройщик ЗЖБИ-3",</w:t>
      </w:r>
    </w:p>
    <w:p>
      <w:pPr>
        <w:pStyle w:val="0"/>
        <w:spacing w:before="200" w:line-rule="auto"/>
        <w:ind w:firstLine="540"/>
        <w:jc w:val="both"/>
      </w:pPr>
      <w:r>
        <w:rPr>
          <w:sz w:val="20"/>
        </w:rPr>
        <w:t xml:space="preserve">Железногорский филиал АО "Проект "Свежий хлеб",</w:t>
      </w:r>
    </w:p>
    <w:p>
      <w:pPr>
        <w:pStyle w:val="0"/>
        <w:spacing w:before="200" w:line-rule="auto"/>
        <w:ind w:firstLine="540"/>
        <w:jc w:val="both"/>
      </w:pPr>
      <w:r>
        <w:rPr>
          <w:sz w:val="20"/>
        </w:rPr>
        <w:t xml:space="preserve">ООО ПО "ВАГОНМАШ",</w:t>
      </w:r>
    </w:p>
    <w:p>
      <w:pPr>
        <w:pStyle w:val="0"/>
        <w:spacing w:before="200" w:line-rule="auto"/>
        <w:ind w:firstLine="540"/>
        <w:jc w:val="both"/>
      </w:pPr>
      <w:r>
        <w:rPr>
          <w:sz w:val="20"/>
        </w:rPr>
        <w:t xml:space="preserve">АО "ТД "Кварц",</w:t>
      </w:r>
    </w:p>
    <w:p>
      <w:pPr>
        <w:pStyle w:val="0"/>
        <w:spacing w:before="200" w:line-rule="auto"/>
        <w:ind w:firstLine="540"/>
        <w:jc w:val="both"/>
      </w:pPr>
      <w:r>
        <w:rPr>
          <w:sz w:val="20"/>
        </w:rPr>
        <w:t xml:space="preserve">АО "Рудоавтоматика им. В.В. Сафошина",</w:t>
      </w:r>
    </w:p>
    <w:p>
      <w:pPr>
        <w:pStyle w:val="0"/>
        <w:spacing w:before="200" w:line-rule="auto"/>
        <w:ind w:firstLine="540"/>
        <w:jc w:val="both"/>
      </w:pPr>
      <w:r>
        <w:rPr>
          <w:sz w:val="20"/>
        </w:rPr>
        <w:t xml:space="preserve">ООО "Нипромтекс".</w:t>
      </w:r>
    </w:p>
    <w:p>
      <w:pPr>
        <w:pStyle w:val="0"/>
        <w:spacing w:before="200" w:line-rule="auto"/>
        <w:ind w:firstLine="540"/>
        <w:jc w:val="both"/>
      </w:pPr>
      <w:r>
        <w:rPr>
          <w:sz w:val="20"/>
        </w:rPr>
        <w:t xml:space="preserve">В 2014 году город Железногорск был включен в категорию "Монопрофильные муниципальные образования Российской Федерации (моногорода), в которых имеются риски ухудшения социально-экономического положения".</w:t>
      </w:r>
    </w:p>
    <w:p>
      <w:pPr>
        <w:pStyle w:val="0"/>
        <w:spacing w:before="200" w:line-rule="auto"/>
        <w:ind w:firstLine="540"/>
        <w:jc w:val="both"/>
      </w:pPr>
      <w:r>
        <w:rPr>
          <w:sz w:val="20"/>
        </w:rPr>
        <w:t xml:space="preserve">На территории города Железногорска имеются представительства Орловского государственного технического университета, Курского государственного университета, филиал Курского института менеджмента, экономики и бизнеса.</w:t>
      </w:r>
    </w:p>
    <w:p>
      <w:pPr>
        <w:pStyle w:val="0"/>
        <w:spacing w:before="200" w:line-rule="auto"/>
        <w:ind w:firstLine="540"/>
        <w:jc w:val="both"/>
      </w:pPr>
      <w:r>
        <w:rPr>
          <w:sz w:val="20"/>
        </w:rPr>
        <w:t xml:space="preserve">Система среднего профессионального образования в городе Железногорске представлена тремя колледжами: ОБПОУ "Железногорский горно-металлургический колледж", ОБПОУ "Железногорский политехнический колледж" ОБПОУ "Железногорский художественный колледж имени А.А. Дейнеки".</w:t>
      </w:r>
    </w:p>
    <w:p>
      <w:pPr>
        <w:pStyle w:val="0"/>
        <w:jc w:val="both"/>
      </w:pPr>
      <w:r>
        <w:rPr>
          <w:sz w:val="20"/>
        </w:rPr>
      </w:r>
    </w:p>
    <w:p>
      <w:pPr>
        <w:pStyle w:val="2"/>
        <w:outlineLvl w:val="2"/>
        <w:ind w:firstLine="540"/>
        <w:jc w:val="both"/>
      </w:pPr>
      <w:r>
        <w:rPr>
          <w:sz w:val="20"/>
        </w:rPr>
        <w:t xml:space="preserve">Город Курчатов</w:t>
      </w:r>
    </w:p>
    <w:p>
      <w:pPr>
        <w:pStyle w:val="0"/>
        <w:jc w:val="both"/>
      </w:pPr>
      <w:r>
        <w:rPr>
          <w:sz w:val="20"/>
        </w:rPr>
      </w:r>
    </w:p>
    <w:p>
      <w:pPr>
        <w:pStyle w:val="0"/>
        <w:ind w:firstLine="540"/>
        <w:jc w:val="both"/>
      </w:pPr>
      <w:r>
        <w:rPr>
          <w:sz w:val="20"/>
        </w:rPr>
        <w:t xml:space="preserve">Город Курчатов является административным центром Курчатовского района Курской области, но при этом не входит в состав района и образует самостоятельное муниципальное образование со статусом городского округа. По данным на 1 января 2019 года, в городе проживает 38,2 тыс. человек, из них людей трудоспособного возраста - 21,3 тыс. человек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Данные Курскстата на 1 января 2018 года.</w:t>
      </w:r>
    </w:p>
    <w:p>
      <w:pPr>
        <w:pStyle w:val="0"/>
        <w:jc w:val="both"/>
      </w:pPr>
      <w:r>
        <w:rPr>
          <w:sz w:val="20"/>
        </w:rPr>
      </w:r>
    </w:p>
    <w:p>
      <w:pPr>
        <w:pStyle w:val="0"/>
        <w:ind w:firstLine="540"/>
        <w:jc w:val="both"/>
      </w:pPr>
      <w:r>
        <w:rPr>
          <w:sz w:val="20"/>
        </w:rPr>
        <w:t xml:space="preserve">Город Курчатов характеризуется достаточно хорошим транспортным сообщением. Он связан с Курском автомобильной дорогой Р-199, а также двухпутной железной дорогой. Помимо этого, город Курчатов связан однопутной железной дорогой с городом Льговом. На территории города находятся две железнодорожные станции: станция Курчатов и станция 428 км.</w:t>
      </w:r>
    </w:p>
    <w:p>
      <w:pPr>
        <w:pStyle w:val="0"/>
        <w:spacing w:before="200" w:line-rule="auto"/>
        <w:ind w:firstLine="540"/>
        <w:jc w:val="both"/>
      </w:pPr>
      <w:r>
        <w:rPr>
          <w:sz w:val="20"/>
        </w:rPr>
        <w:t xml:space="preserve">Ключевым предприятием города является Курская АЭС, в связи со строительством которой и был основан город Курчатов. АЭС была построена в 1976 - 1985 гг.; в настоящее время она состоит из четырех действующих энергоблоков мощностью 1 ГВт каждый. Город Курчатов является единственным городом Курской области, где средняя заработная плата превышает 40 тыс. рублей в месяц, благодаря наличию АЭС и большого числа высококвалифицированных наемных работников.</w:t>
      </w:r>
    </w:p>
    <w:p>
      <w:pPr>
        <w:pStyle w:val="0"/>
        <w:jc w:val="both"/>
      </w:pPr>
      <w:r>
        <w:rPr>
          <w:sz w:val="20"/>
        </w:rPr>
      </w:r>
    </w:p>
    <w:p>
      <w:pPr>
        <w:pStyle w:val="2"/>
        <w:outlineLvl w:val="2"/>
        <w:ind w:firstLine="540"/>
        <w:jc w:val="both"/>
      </w:pPr>
      <w:r>
        <w:rPr>
          <w:sz w:val="20"/>
        </w:rPr>
        <w:t xml:space="preserve">Город Щигры</w:t>
      </w:r>
    </w:p>
    <w:p>
      <w:pPr>
        <w:pStyle w:val="0"/>
        <w:jc w:val="both"/>
      </w:pPr>
      <w:r>
        <w:rPr>
          <w:sz w:val="20"/>
        </w:rPr>
      </w:r>
    </w:p>
    <w:p>
      <w:pPr>
        <w:pStyle w:val="0"/>
        <w:ind w:firstLine="540"/>
        <w:jc w:val="both"/>
      </w:pPr>
      <w:r>
        <w:rPr>
          <w:sz w:val="20"/>
        </w:rPr>
        <w:t xml:space="preserve">Город Щигры является городом областного значения, который образует муниципальное образование со статусом городского округа. Численность его населения на 1 января 2019 года составила 15,1 тыс. человек.</w:t>
      </w:r>
    </w:p>
    <w:p>
      <w:pPr>
        <w:pStyle w:val="0"/>
        <w:spacing w:before="200" w:line-rule="auto"/>
        <w:ind w:firstLine="540"/>
        <w:jc w:val="both"/>
      </w:pPr>
      <w:r>
        <w:rPr>
          <w:sz w:val="20"/>
        </w:rPr>
        <w:t xml:space="preserve">Город находится в 60 км от Курска. В городе имеются две железнодорожные станции - Щигры (поезда дальнего следования и пригородные поезда) и Удобрительная (пригородные поезда).</w:t>
      </w:r>
    </w:p>
    <w:p>
      <w:pPr>
        <w:pStyle w:val="0"/>
        <w:spacing w:before="200" w:line-rule="auto"/>
        <w:ind w:firstLine="540"/>
        <w:jc w:val="both"/>
      </w:pPr>
      <w:r>
        <w:rPr>
          <w:sz w:val="20"/>
        </w:rPr>
        <w:t xml:space="preserve">В г. Щигры имеются предприятия пищевой промышленности (мясохладобойня ООО "ГлобалТрейд", АО "Щигровский КХП", филиал АО "Проект "Свежий хлеб"), производство напольных покрытий ООО "Резипол", буровых установок АО "Геомаш", а также ООО "Щигровская перопуховая фабрика". Работают компании, специализирующиеся на ремонте и строительстве. В городе отсутствуют высшие учебные заведения, однако имеются филиалы техникума и колледжа - филиал Советского социально-аграрного техникума имени В.М. Клыкова и филиал Курского базового медицинского колледжа. Город имеет богатую историю и входит в Перечень исторических городов России.</w:t>
      </w:r>
    </w:p>
    <w:p>
      <w:pPr>
        <w:pStyle w:val="0"/>
        <w:jc w:val="both"/>
      </w:pPr>
      <w:r>
        <w:rPr>
          <w:sz w:val="20"/>
        </w:rPr>
      </w:r>
    </w:p>
    <w:p>
      <w:pPr>
        <w:pStyle w:val="2"/>
        <w:outlineLvl w:val="2"/>
        <w:ind w:firstLine="540"/>
        <w:jc w:val="both"/>
      </w:pPr>
      <w:r>
        <w:rPr>
          <w:sz w:val="20"/>
        </w:rPr>
        <w:t xml:space="preserve">Город Льгов</w:t>
      </w:r>
    </w:p>
    <w:p>
      <w:pPr>
        <w:pStyle w:val="0"/>
        <w:jc w:val="both"/>
      </w:pPr>
      <w:r>
        <w:rPr>
          <w:sz w:val="20"/>
        </w:rPr>
      </w:r>
    </w:p>
    <w:p>
      <w:pPr>
        <w:pStyle w:val="0"/>
        <w:ind w:firstLine="540"/>
        <w:jc w:val="both"/>
      </w:pPr>
      <w:r>
        <w:rPr>
          <w:sz w:val="20"/>
        </w:rPr>
        <w:t xml:space="preserve">Город Льгов является городом областного значения, который образует муниципальное образование со статусом городского округа. Численность его населения на 1 января 2019 года составила 18,4 тыс. человек.</w:t>
      </w:r>
    </w:p>
    <w:p>
      <w:pPr>
        <w:pStyle w:val="0"/>
        <w:spacing w:before="200" w:line-rule="auto"/>
        <w:ind w:firstLine="540"/>
        <w:jc w:val="both"/>
      </w:pPr>
      <w:r>
        <w:rPr>
          <w:sz w:val="20"/>
        </w:rPr>
        <w:t xml:space="preserve">Город расположен в 80 км от Курска. В Льгове находится крупный железнодорожный узел - город связан железной дорогой с Курском, Брянском, Орлом, Москвой, Киевом и Харьковом. В городе имеется три железнодорожных станции: Льгов-1 Киевский (основная), Льгов-2 Смоленский и Шерекино.</w:t>
      </w:r>
    </w:p>
    <w:p>
      <w:pPr>
        <w:pStyle w:val="0"/>
        <w:spacing w:before="200" w:line-rule="auto"/>
        <w:ind w:firstLine="540"/>
        <w:jc w:val="both"/>
      </w:pPr>
      <w:r>
        <w:rPr>
          <w:sz w:val="20"/>
        </w:rPr>
        <w:t xml:space="preserve">Ключевой отраслью в городе является пищевая промышленность. В городе функционируют предприятия пищевой промышленности:</w:t>
      </w:r>
    </w:p>
    <w:p>
      <w:pPr>
        <w:pStyle w:val="0"/>
        <w:spacing w:before="200" w:line-rule="auto"/>
        <w:ind w:firstLine="540"/>
        <w:jc w:val="both"/>
      </w:pPr>
      <w:r>
        <w:rPr>
          <w:sz w:val="20"/>
        </w:rPr>
        <w:t xml:space="preserve">Филиал ООО "Торговый дом Агроинновация СК Льговский",</w:t>
      </w:r>
    </w:p>
    <w:p>
      <w:pPr>
        <w:pStyle w:val="0"/>
        <w:spacing w:before="200" w:line-rule="auto"/>
        <w:ind w:firstLine="540"/>
        <w:jc w:val="both"/>
      </w:pPr>
      <w:r>
        <w:rPr>
          <w:sz w:val="20"/>
        </w:rPr>
        <w:t xml:space="preserve">ОАО "Льговский хлебозавод",</w:t>
      </w:r>
    </w:p>
    <w:p>
      <w:pPr>
        <w:pStyle w:val="0"/>
        <w:spacing w:before="200" w:line-rule="auto"/>
        <w:ind w:firstLine="540"/>
        <w:jc w:val="both"/>
      </w:pPr>
      <w:r>
        <w:rPr>
          <w:sz w:val="20"/>
        </w:rPr>
        <w:t xml:space="preserve">ООО ТД "Агроинновация" (молочно-консервный комбинат).</w:t>
      </w:r>
    </w:p>
    <w:p>
      <w:pPr>
        <w:pStyle w:val="0"/>
        <w:spacing w:before="200" w:line-rule="auto"/>
        <w:ind w:firstLine="540"/>
        <w:jc w:val="both"/>
      </w:pPr>
      <w:r>
        <w:rPr>
          <w:sz w:val="20"/>
        </w:rPr>
        <w:t xml:space="preserve">В городе работают три средних специальных учебных учреждения: Льговский филиал ОБПОУ "КБМК" (медколледж), Льговский филиал ОБПОУ "Курский монтажный техникум" и Льговский филиал техникума РОСИ.</w:t>
      </w:r>
    </w:p>
    <w:p>
      <w:pPr>
        <w:pStyle w:val="0"/>
        <w:spacing w:before="200" w:line-rule="auto"/>
        <w:ind w:firstLine="540"/>
        <w:jc w:val="both"/>
      </w:pPr>
      <w:r>
        <w:rPr>
          <w:sz w:val="20"/>
        </w:rPr>
        <w:t xml:space="preserve">Льгов является одним из самых старых городов Курской области (впервые упоминается под названием "Ольгов" в Ипатьевской летописи в 1152 году). В городе до сих пор сохранились такие народные промыслы, как плетение из ивового прута и бондарный промысел.</w:t>
      </w:r>
    </w:p>
    <w:p>
      <w:pPr>
        <w:pStyle w:val="0"/>
        <w:jc w:val="both"/>
      </w:pPr>
      <w:r>
        <w:rPr>
          <w:sz w:val="20"/>
        </w:rPr>
      </w:r>
    </w:p>
    <w:p>
      <w:pPr>
        <w:pStyle w:val="2"/>
        <w:outlineLvl w:val="2"/>
        <w:ind w:firstLine="540"/>
        <w:jc w:val="both"/>
      </w:pPr>
      <w:r>
        <w:rPr>
          <w:sz w:val="20"/>
        </w:rPr>
        <w:t xml:space="preserve">Горшеченский район</w:t>
      </w:r>
    </w:p>
    <w:p>
      <w:pPr>
        <w:pStyle w:val="0"/>
        <w:jc w:val="both"/>
      </w:pPr>
      <w:r>
        <w:rPr>
          <w:sz w:val="20"/>
        </w:rPr>
      </w:r>
    </w:p>
    <w:p>
      <w:pPr>
        <w:pStyle w:val="0"/>
        <w:ind w:firstLine="540"/>
        <w:jc w:val="both"/>
      </w:pPr>
      <w:r>
        <w:rPr>
          <w:sz w:val="20"/>
        </w:rPr>
        <w:t xml:space="preserve">По данным на 1 января 2019 года, численность населения Горшеченского района составила 15,2 тыс. человек, из них почти две трети - сельское население. Центром Горшеченского района является поселок городского типа Горшечное (численность населения - 6,3 тыс. человек).</w:t>
      </w:r>
    </w:p>
    <w:p>
      <w:pPr>
        <w:pStyle w:val="0"/>
        <w:spacing w:before="200" w:line-rule="auto"/>
        <w:ind w:firstLine="540"/>
        <w:jc w:val="both"/>
      </w:pPr>
      <w:r>
        <w:rPr>
          <w:sz w:val="20"/>
        </w:rPr>
        <w:t xml:space="preserve">Горшеченский район находится на границе Курской области с Белгородской и Воронежской областями. Через него проходит автомобильная дорога федерального значения А144. Также по территории района проходит участок Юго-Восточной железной дороги (Касторное - Старый Оскол).</w:t>
      </w:r>
    </w:p>
    <w:p>
      <w:pPr>
        <w:pStyle w:val="0"/>
        <w:spacing w:before="200" w:line-rule="auto"/>
        <w:ind w:firstLine="540"/>
        <w:jc w:val="both"/>
      </w:pPr>
      <w:r>
        <w:rPr>
          <w:sz w:val="20"/>
        </w:rPr>
        <w:t xml:space="preserve">В районе развит агропромышленный комплекс. Работает современный технологический птицеводческий комплекс, включающий производство и переработку мяса птицы мощностью до 120 тыс. тонн в год, имеется рыбхоз, лесхоз и нефтебаза. Также на территории района расположены 70 фермерских хозяйств.</w:t>
      </w:r>
    </w:p>
    <w:p>
      <w:pPr>
        <w:pStyle w:val="0"/>
        <w:jc w:val="both"/>
      </w:pPr>
      <w:r>
        <w:rPr>
          <w:sz w:val="20"/>
        </w:rPr>
      </w:r>
    </w:p>
    <w:p>
      <w:pPr>
        <w:pStyle w:val="2"/>
        <w:outlineLvl w:val="2"/>
        <w:ind w:firstLine="540"/>
        <w:jc w:val="both"/>
      </w:pPr>
      <w:r>
        <w:rPr>
          <w:sz w:val="20"/>
        </w:rPr>
        <w:t xml:space="preserve">Пристенский район</w:t>
      </w:r>
    </w:p>
    <w:p>
      <w:pPr>
        <w:pStyle w:val="0"/>
        <w:jc w:val="both"/>
      </w:pPr>
      <w:r>
        <w:rPr>
          <w:sz w:val="20"/>
        </w:rPr>
      </w:r>
    </w:p>
    <w:p>
      <w:pPr>
        <w:pStyle w:val="0"/>
        <w:ind w:firstLine="540"/>
        <w:jc w:val="both"/>
      </w:pPr>
      <w:r>
        <w:rPr>
          <w:sz w:val="20"/>
        </w:rPr>
        <w:t xml:space="preserve">По состоянию на 1 января 2019 года в Пристенском районе проживало 14,9 тыс. человек (половина является городскими жителями, половина - сельскими). Административным центром Пристенского муниципального района Курской области является поселок городского типа Пристень (население 5,1 тыс. человек). Район граничит с Белгородской областью и имеет автомобильное и железнодорожное сообщение.</w:t>
      </w:r>
    </w:p>
    <w:p>
      <w:pPr>
        <w:pStyle w:val="0"/>
        <w:spacing w:before="200" w:line-rule="auto"/>
        <w:ind w:firstLine="540"/>
        <w:jc w:val="both"/>
      </w:pPr>
      <w:r>
        <w:rPr>
          <w:sz w:val="20"/>
        </w:rPr>
        <w:t xml:space="preserve">Основу экономики района составляют сельское хозяйство и пищевая промышленность. В районе выращиваются зерновые культуры, сахарная свекла, производится молоко, мясо свинины и крупного рогатого скота. Пищевая промышленность представлена производством хлеба, хлебобулочных, кондитерских изделий. Значимыми для муниципального образования предприятиями являются ООО "Свинокомплекс Пристенский", ООО "Возрождение", ООО "Пристенская зерновая компания", ООО "Черновецкие зори", ООО "Золотой колос", ЗАО "Артель".</w:t>
      </w:r>
    </w:p>
    <w:p>
      <w:pPr>
        <w:pStyle w:val="0"/>
        <w:spacing w:before="200" w:line-rule="auto"/>
        <w:ind w:firstLine="540"/>
        <w:jc w:val="both"/>
      </w:pPr>
      <w:r>
        <w:rPr>
          <w:sz w:val="20"/>
        </w:rPr>
        <w:t xml:space="preserve">Малые предприятия Пристенского района работают в таких областях, как торговля, сельское хозяйство, строительство, транспорт и т.д.</w:t>
      </w:r>
    </w:p>
    <w:p>
      <w:pPr>
        <w:pStyle w:val="0"/>
        <w:spacing w:before="200" w:line-rule="auto"/>
        <w:ind w:firstLine="540"/>
        <w:jc w:val="both"/>
      </w:pPr>
      <w:r>
        <w:rPr>
          <w:sz w:val="20"/>
        </w:rPr>
        <w:t xml:space="preserve">В 2014 году введен в эксплуатацию современный ветсанутильзавод ООО "Возрождение". В 2019 году введено предприятие по производству высококачественных кормов для домашних животных класса премиум и суперпремиум обособленного подразделения ЗАО "СК Короча" (компания ООО "АПХ "Мираторг").</w:t>
      </w:r>
    </w:p>
    <w:p>
      <w:pPr>
        <w:pStyle w:val="0"/>
        <w:jc w:val="both"/>
      </w:pPr>
      <w:r>
        <w:rPr>
          <w:sz w:val="20"/>
        </w:rPr>
      </w:r>
    </w:p>
    <w:p>
      <w:pPr>
        <w:pStyle w:val="2"/>
        <w:outlineLvl w:val="2"/>
        <w:ind w:firstLine="540"/>
        <w:jc w:val="both"/>
      </w:pPr>
      <w:r>
        <w:rPr>
          <w:sz w:val="20"/>
        </w:rPr>
        <w:t xml:space="preserve">Суджанский район</w:t>
      </w:r>
    </w:p>
    <w:p>
      <w:pPr>
        <w:pStyle w:val="0"/>
        <w:jc w:val="both"/>
      </w:pPr>
      <w:r>
        <w:rPr>
          <w:sz w:val="20"/>
        </w:rPr>
      </w:r>
    </w:p>
    <w:p>
      <w:pPr>
        <w:pStyle w:val="0"/>
        <w:ind w:firstLine="540"/>
        <w:jc w:val="both"/>
      </w:pPr>
      <w:r>
        <w:rPr>
          <w:sz w:val="20"/>
        </w:rPr>
        <w:t xml:space="preserve">Численность населения Суджанского района на 1 января 2019 года составляет 26,5 тыс. человек, из них в городских условиях проживает лишь около пятой части. Административным центром района является город Суджа с населением 5,7 тыс. человек.</w:t>
      </w:r>
    </w:p>
    <w:p>
      <w:pPr>
        <w:pStyle w:val="0"/>
        <w:spacing w:before="200" w:line-rule="auto"/>
        <w:ind w:firstLine="540"/>
        <w:jc w:val="both"/>
      </w:pPr>
      <w:r>
        <w:rPr>
          <w:sz w:val="20"/>
        </w:rPr>
        <w:t xml:space="preserve">Суджанский район находится на западе Курской области и граничит с Украиной. Имеется как автомобильное, так и железнодорожное сообщение. Через район проходит автомобильная магистраль "Курск - Большое Солдатское - Суджа - Сумы". Также на территории района находятся несколько станций железной дороги "Санкт-Петербург - Льгов - Суджа - Харьков" (станции Левшинка, Гродненский, Локнинский, Курчаниново, Суджа, Конопельки).</w:t>
      </w:r>
    </w:p>
    <w:p>
      <w:pPr>
        <w:pStyle w:val="0"/>
        <w:spacing w:before="200" w:line-rule="auto"/>
        <w:ind w:firstLine="540"/>
        <w:jc w:val="both"/>
      </w:pPr>
      <w:r>
        <w:rPr>
          <w:sz w:val="20"/>
        </w:rPr>
        <w:t xml:space="preserve">На территории района имеются месторождения строительных материалов, таких как песок и глина. Ведутся промышленные разработки мела. Развито сельское хозяйство и производство продуктов питания. Важнейшими предприятиями района являются:</w:t>
      </w:r>
    </w:p>
    <w:p>
      <w:pPr>
        <w:pStyle w:val="0"/>
        <w:spacing w:before="200" w:line-rule="auto"/>
        <w:ind w:firstLine="540"/>
        <w:jc w:val="both"/>
      </w:pPr>
      <w:r>
        <w:rPr>
          <w:sz w:val="20"/>
        </w:rPr>
        <w:t xml:space="preserve">АО "Суджанский маслодельный комбинат",</w:t>
      </w:r>
    </w:p>
    <w:p>
      <w:pPr>
        <w:pStyle w:val="0"/>
        <w:spacing w:before="200" w:line-rule="auto"/>
        <w:ind w:firstLine="540"/>
        <w:jc w:val="both"/>
      </w:pPr>
      <w:r>
        <w:rPr>
          <w:sz w:val="20"/>
        </w:rPr>
        <w:t xml:space="preserve">ЗАО "Суджанский мясокомбинат",</w:t>
      </w:r>
    </w:p>
    <w:p>
      <w:pPr>
        <w:pStyle w:val="0"/>
        <w:spacing w:before="200" w:line-rule="auto"/>
        <w:ind w:firstLine="540"/>
        <w:jc w:val="both"/>
      </w:pPr>
      <w:r>
        <w:rPr>
          <w:sz w:val="20"/>
        </w:rPr>
        <w:t xml:space="preserve">АО "Надежда",</w:t>
      </w:r>
    </w:p>
    <w:p>
      <w:pPr>
        <w:pStyle w:val="0"/>
        <w:spacing w:before="200" w:line-rule="auto"/>
        <w:ind w:firstLine="540"/>
        <w:jc w:val="both"/>
      </w:pPr>
      <w:r>
        <w:rPr>
          <w:sz w:val="20"/>
        </w:rPr>
        <w:t xml:space="preserve">ООО "Агросил",</w:t>
      </w:r>
    </w:p>
    <w:p>
      <w:pPr>
        <w:pStyle w:val="0"/>
        <w:spacing w:before="200" w:line-rule="auto"/>
        <w:ind w:firstLine="540"/>
        <w:jc w:val="both"/>
      </w:pPr>
      <w:r>
        <w:rPr>
          <w:sz w:val="20"/>
        </w:rPr>
        <w:t xml:space="preserve">ОАО "Суджанский завод тракторных агрегатов".</w:t>
      </w:r>
    </w:p>
    <w:p>
      <w:pPr>
        <w:pStyle w:val="0"/>
        <w:jc w:val="both"/>
      </w:pPr>
      <w:r>
        <w:rPr>
          <w:sz w:val="20"/>
        </w:rPr>
      </w:r>
    </w:p>
    <w:p>
      <w:pPr>
        <w:pStyle w:val="2"/>
        <w:outlineLvl w:val="2"/>
        <w:ind w:firstLine="540"/>
        <w:jc w:val="both"/>
      </w:pPr>
      <w:r>
        <w:rPr>
          <w:sz w:val="20"/>
        </w:rPr>
        <w:t xml:space="preserve">Конышевский район</w:t>
      </w:r>
    </w:p>
    <w:p>
      <w:pPr>
        <w:pStyle w:val="0"/>
        <w:jc w:val="both"/>
      </w:pPr>
      <w:r>
        <w:rPr>
          <w:sz w:val="20"/>
        </w:rPr>
      </w:r>
    </w:p>
    <w:p>
      <w:pPr>
        <w:pStyle w:val="0"/>
        <w:ind w:firstLine="540"/>
        <w:jc w:val="both"/>
      </w:pPr>
      <w:r>
        <w:rPr>
          <w:sz w:val="20"/>
        </w:rPr>
        <w:t xml:space="preserve">Конышевский район расположен на северо-западе Курской области. Численность его населения на 1 января 2019 года составляла 8,2 тыс. человек. Административный центр района - поселок городского типа Конышевка (население 3,4 тыс. человек).</w:t>
      </w:r>
    </w:p>
    <w:p>
      <w:pPr>
        <w:pStyle w:val="0"/>
        <w:spacing w:before="200" w:line-rule="auto"/>
        <w:ind w:firstLine="540"/>
        <w:jc w:val="both"/>
      </w:pPr>
      <w:r>
        <w:rPr>
          <w:sz w:val="20"/>
        </w:rPr>
        <w:t xml:space="preserve">Поселок Конышевка находится на расстоянии 110 км от Курска. В районе имеется как автомобильное, так и железнодорожное сообщение с другими регионами России и с Украиной.</w:t>
      </w:r>
    </w:p>
    <w:p>
      <w:pPr>
        <w:pStyle w:val="0"/>
        <w:spacing w:before="200" w:line-rule="auto"/>
        <w:ind w:firstLine="540"/>
        <w:jc w:val="both"/>
      </w:pPr>
      <w:r>
        <w:rPr>
          <w:sz w:val="20"/>
        </w:rPr>
        <w:t xml:space="preserve">Основу экономики региона представляет агропромышленный комплекс. К основным предприятиями можно отнести следующие:</w:t>
      </w:r>
    </w:p>
    <w:p>
      <w:pPr>
        <w:pStyle w:val="0"/>
        <w:spacing w:before="200" w:line-rule="auto"/>
        <w:ind w:firstLine="540"/>
        <w:jc w:val="both"/>
      </w:pPr>
      <w:r>
        <w:rPr>
          <w:sz w:val="20"/>
        </w:rPr>
        <w:t xml:space="preserve">ОАО "Конышевское МСО",</w:t>
      </w:r>
    </w:p>
    <w:p>
      <w:pPr>
        <w:pStyle w:val="0"/>
        <w:spacing w:before="200" w:line-rule="auto"/>
        <w:ind w:firstLine="540"/>
        <w:jc w:val="both"/>
      </w:pPr>
      <w:r>
        <w:rPr>
          <w:sz w:val="20"/>
        </w:rPr>
        <w:t xml:space="preserve">ООО "Агропромкомплектация-Курск",</w:t>
      </w:r>
    </w:p>
    <w:p>
      <w:pPr>
        <w:pStyle w:val="0"/>
        <w:spacing w:before="200" w:line-rule="auto"/>
        <w:ind w:firstLine="540"/>
        <w:jc w:val="both"/>
      </w:pPr>
      <w:r>
        <w:rPr>
          <w:sz w:val="20"/>
        </w:rPr>
        <w:t xml:space="preserve">ООО "Гордость Провинции",</w:t>
      </w:r>
    </w:p>
    <w:p>
      <w:pPr>
        <w:pStyle w:val="0"/>
        <w:spacing w:before="200" w:line-rule="auto"/>
        <w:ind w:firstLine="540"/>
        <w:jc w:val="both"/>
      </w:pPr>
      <w:r>
        <w:rPr>
          <w:sz w:val="20"/>
        </w:rPr>
        <w:t xml:space="preserve">ООО "Альянс-мебель".</w:t>
      </w:r>
    </w:p>
    <w:p>
      <w:pPr>
        <w:pStyle w:val="0"/>
        <w:jc w:val="both"/>
      </w:pPr>
      <w:r>
        <w:rPr>
          <w:sz w:val="20"/>
        </w:rPr>
      </w:r>
    </w:p>
    <w:p>
      <w:pPr>
        <w:pStyle w:val="2"/>
        <w:outlineLvl w:val="2"/>
        <w:ind w:firstLine="540"/>
        <w:jc w:val="both"/>
      </w:pPr>
      <w:r>
        <w:rPr>
          <w:sz w:val="20"/>
        </w:rPr>
        <w:t xml:space="preserve">Курский район</w:t>
      </w:r>
    </w:p>
    <w:p>
      <w:pPr>
        <w:pStyle w:val="0"/>
        <w:jc w:val="both"/>
      </w:pPr>
      <w:r>
        <w:rPr>
          <w:sz w:val="20"/>
        </w:rPr>
      </w:r>
    </w:p>
    <w:p>
      <w:pPr>
        <w:pStyle w:val="0"/>
        <w:ind w:firstLine="540"/>
        <w:jc w:val="both"/>
      </w:pPr>
      <w:r>
        <w:rPr>
          <w:sz w:val="20"/>
        </w:rPr>
        <w:t xml:space="preserve">Курский район находится в центре Курской области, его административным центром в настоящее время является г. Курск. Население Курского района в последние годы растет; 1 января 2019 года его численность составила 57,7 тыс. человек. Курский район является самым крупным в области - его площадь составляет 1654,22 км</w:t>
      </w:r>
      <w:r>
        <w:rPr>
          <w:sz w:val="20"/>
          <w:vertAlign w:val="superscript"/>
        </w:rPr>
        <w:t xml:space="preserve">2</w:t>
      </w:r>
      <w:r>
        <w:rPr>
          <w:sz w:val="20"/>
        </w:rPr>
        <w:t xml:space="preserve">.</w:t>
      </w:r>
    </w:p>
    <w:p>
      <w:pPr>
        <w:pStyle w:val="0"/>
        <w:spacing w:before="200" w:line-rule="auto"/>
        <w:ind w:firstLine="540"/>
        <w:jc w:val="both"/>
      </w:pPr>
      <w:r>
        <w:rPr>
          <w:sz w:val="20"/>
        </w:rPr>
        <w:t xml:space="preserve">Район имеет выгодное экономико-географическое положение, поскольку через него проходят все основные автомагистрали, железные дороги и трубопроводы области.</w:t>
      </w:r>
    </w:p>
    <w:p>
      <w:pPr>
        <w:pStyle w:val="0"/>
        <w:spacing w:before="200" w:line-rule="auto"/>
        <w:ind w:firstLine="540"/>
        <w:jc w:val="both"/>
      </w:pPr>
      <w:r>
        <w:rPr>
          <w:sz w:val="20"/>
        </w:rPr>
        <w:t xml:space="preserve">Курский район специализируется на сельском хозяйстве. На территории района также ведется добыча полезных ископаемых, таких как глина, песок. В Курском районе насчитывается около 250 торговых предприятий.</w:t>
      </w:r>
    </w:p>
    <w:p>
      <w:pPr>
        <w:pStyle w:val="0"/>
        <w:spacing w:before="200" w:line-rule="auto"/>
        <w:ind w:firstLine="540"/>
        <w:jc w:val="both"/>
      </w:pPr>
      <w:r>
        <w:rPr>
          <w:sz w:val="20"/>
        </w:rPr>
        <w:t xml:space="preserve">На территории района находятся: одно из крупных предприятий по производству сыров и масла - ООО "Сырная долина", комплекс по производству культивируемых грибов шампиньонов ООО "Грибная радуга", а также предприятия по убою и переработке скота - ООО МПК "Соловей", ООО МПК "Полянское" и ООО МПК "Подлесное". Кроме того, на территории района находится ООО "КРАЗ".</w:t>
      </w:r>
    </w:p>
    <w:p>
      <w:pPr>
        <w:pStyle w:val="0"/>
        <w:jc w:val="both"/>
      </w:pPr>
      <w:r>
        <w:rPr>
          <w:sz w:val="20"/>
        </w:rPr>
      </w:r>
    </w:p>
    <w:p>
      <w:pPr>
        <w:pStyle w:val="2"/>
        <w:outlineLvl w:val="2"/>
        <w:ind w:firstLine="540"/>
        <w:jc w:val="both"/>
      </w:pPr>
      <w:r>
        <w:rPr>
          <w:sz w:val="20"/>
        </w:rPr>
        <w:t xml:space="preserve">Касторенский район</w:t>
      </w:r>
    </w:p>
    <w:p>
      <w:pPr>
        <w:pStyle w:val="0"/>
        <w:jc w:val="both"/>
      </w:pPr>
      <w:r>
        <w:rPr>
          <w:sz w:val="20"/>
        </w:rPr>
      </w:r>
    </w:p>
    <w:p>
      <w:pPr>
        <w:pStyle w:val="0"/>
        <w:ind w:firstLine="540"/>
        <w:jc w:val="both"/>
      </w:pPr>
      <w:r>
        <w:rPr>
          <w:sz w:val="20"/>
        </w:rPr>
        <w:t xml:space="preserve">Касторенский район расположен на востоке Курской области. Его административным центром является рабочий поселок Касторное. Совокупная численность населения по состоянию на 1 января 2019 года составила 14,5 тыс. человек.</w:t>
      </w:r>
    </w:p>
    <w:p>
      <w:pPr>
        <w:pStyle w:val="0"/>
        <w:spacing w:before="200" w:line-rule="auto"/>
        <w:ind w:firstLine="540"/>
        <w:jc w:val="both"/>
      </w:pPr>
      <w:r>
        <w:rPr>
          <w:sz w:val="20"/>
        </w:rPr>
        <w:t xml:space="preserve">Район граничит с Липецкой и Воронежской областями. В районе развит автомобильный и железнодорожный транспорт (дороги "Москва - Елец - Валуйки - Донецк" и "Воронеж - Курск - Киев"). На территории района расположены три железнодорожные станции, однако в настоящее время лишь одна из них является действующей.</w:t>
      </w:r>
    </w:p>
    <w:p>
      <w:pPr>
        <w:pStyle w:val="0"/>
        <w:spacing w:before="200" w:line-rule="auto"/>
        <w:ind w:firstLine="540"/>
        <w:jc w:val="both"/>
      </w:pPr>
      <w:r>
        <w:rPr>
          <w:sz w:val="20"/>
        </w:rPr>
        <w:t xml:space="preserve">Крупнейшими предприятиями района являются ООО "Промконсервы", ООО "Олымский сахарный завод".</w:t>
      </w:r>
    </w:p>
    <w:p>
      <w:pPr>
        <w:pStyle w:val="0"/>
        <w:spacing w:before="200" w:line-rule="auto"/>
        <w:ind w:firstLine="540"/>
        <w:jc w:val="both"/>
      </w:pPr>
      <w:r>
        <w:rPr>
          <w:sz w:val="20"/>
        </w:rPr>
        <w:t xml:space="preserve">В районе выращиваются зерновые культуры, сахарная свекла, картофель, кормовые культуры. Имеются месторождения строительных материалов, таких как глина, карбонатные породы.</w:t>
      </w:r>
    </w:p>
    <w:p>
      <w:pPr>
        <w:pStyle w:val="0"/>
        <w:jc w:val="both"/>
      </w:pPr>
      <w:r>
        <w:rPr>
          <w:sz w:val="20"/>
        </w:rPr>
      </w:r>
    </w:p>
    <w:p>
      <w:pPr>
        <w:pStyle w:val="2"/>
        <w:outlineLvl w:val="2"/>
        <w:ind w:firstLine="540"/>
        <w:jc w:val="both"/>
      </w:pPr>
      <w:r>
        <w:rPr>
          <w:sz w:val="20"/>
        </w:rPr>
        <w:t xml:space="preserve">Рыльский район</w:t>
      </w:r>
    </w:p>
    <w:p>
      <w:pPr>
        <w:pStyle w:val="0"/>
        <w:jc w:val="both"/>
      </w:pPr>
      <w:r>
        <w:rPr>
          <w:sz w:val="20"/>
        </w:rPr>
      </w:r>
    </w:p>
    <w:p>
      <w:pPr>
        <w:pStyle w:val="0"/>
        <w:ind w:firstLine="540"/>
        <w:jc w:val="both"/>
      </w:pPr>
      <w:r>
        <w:rPr>
          <w:sz w:val="20"/>
        </w:rPr>
        <w:t xml:space="preserve">Рыльский район находится на западе Курской области. Его административным центром является город Рыльск. Общая численность населения Рыльского района на 1 января 2019 года составляет 30,8 тыс. человек. По территории район занимает второе место в области (около 5% всей площади области), лишь незначительно уступая Курскому району.</w:t>
      </w:r>
    </w:p>
    <w:p>
      <w:pPr>
        <w:pStyle w:val="0"/>
        <w:spacing w:before="200" w:line-rule="auto"/>
        <w:ind w:firstLine="540"/>
        <w:jc w:val="both"/>
      </w:pPr>
      <w:r>
        <w:rPr>
          <w:sz w:val="20"/>
        </w:rPr>
        <w:t xml:space="preserve">Район находится на границе с Украиной. Через него проходят автомобильная трасса "Воронеж - Киев", а также железные дороги ("Ворожба - Льгов" и "Хутор Михайловский - Ворожба").</w:t>
      </w:r>
    </w:p>
    <w:p>
      <w:pPr>
        <w:pStyle w:val="0"/>
        <w:spacing w:before="200" w:line-rule="auto"/>
        <w:ind w:firstLine="540"/>
        <w:jc w:val="both"/>
      </w:pPr>
      <w:r>
        <w:rPr>
          <w:sz w:val="20"/>
        </w:rPr>
        <w:t xml:space="preserve">Основой экономики района является сельское хозяйство. Подавляющее большинство площадей района (77%) заняты сельхозугодьями. Рыльский район специализируется на зерновых культурах, сахарной свекле, производстве молока и мяса. К числу важнейших предприятий региона относятся:</w:t>
      </w:r>
    </w:p>
    <w:p>
      <w:pPr>
        <w:pStyle w:val="0"/>
        <w:spacing w:before="200" w:line-rule="auto"/>
        <w:ind w:firstLine="540"/>
        <w:jc w:val="both"/>
      </w:pPr>
      <w:r>
        <w:rPr>
          <w:sz w:val="20"/>
        </w:rPr>
        <w:t xml:space="preserve">ООО "Объединенные кондитеры - финанс",</w:t>
      </w:r>
    </w:p>
    <w:p>
      <w:pPr>
        <w:pStyle w:val="0"/>
        <w:spacing w:before="200" w:line-rule="auto"/>
        <w:ind w:firstLine="540"/>
        <w:jc w:val="both"/>
      </w:pPr>
      <w:r>
        <w:rPr>
          <w:sz w:val="20"/>
        </w:rPr>
        <w:t xml:space="preserve">УК "Русский дом",</w:t>
      </w:r>
    </w:p>
    <w:p>
      <w:pPr>
        <w:pStyle w:val="0"/>
        <w:spacing w:before="200" w:line-rule="auto"/>
        <w:ind w:firstLine="540"/>
        <w:jc w:val="both"/>
      </w:pPr>
      <w:r>
        <w:rPr>
          <w:sz w:val="20"/>
        </w:rPr>
        <w:t xml:space="preserve">ООО "НМ Ингредиенты",</w:t>
      </w:r>
    </w:p>
    <w:p>
      <w:pPr>
        <w:pStyle w:val="0"/>
        <w:spacing w:before="200" w:line-rule="auto"/>
        <w:ind w:firstLine="540"/>
        <w:jc w:val="both"/>
      </w:pPr>
      <w:r>
        <w:rPr>
          <w:sz w:val="20"/>
        </w:rPr>
        <w:t xml:space="preserve">ООО "Промсахар",</w:t>
      </w:r>
    </w:p>
    <w:p>
      <w:pPr>
        <w:pStyle w:val="0"/>
        <w:spacing w:before="200" w:line-rule="auto"/>
        <w:ind w:firstLine="540"/>
        <w:jc w:val="both"/>
      </w:pPr>
      <w:r>
        <w:rPr>
          <w:sz w:val="20"/>
        </w:rPr>
        <w:t xml:space="preserve">ОАО "Глобус".</w:t>
      </w:r>
    </w:p>
    <w:p>
      <w:pPr>
        <w:pStyle w:val="0"/>
        <w:spacing w:before="200" w:line-rule="auto"/>
        <w:ind w:firstLine="540"/>
        <w:jc w:val="both"/>
      </w:pPr>
      <w:r>
        <w:rPr>
          <w:sz w:val="20"/>
        </w:rPr>
        <w:t xml:space="preserve">В районе разработана программа социально-экономического развития на период 2019 - 2023 гг. Целью данного документа является повышение уровня жизни местного населения за счет использования географических и транспортных преимуществ района, освоения природных ресурсов и использования богатого культурно-исторического наследия. Программа предусматривает активное развитие малого и среднего предпринимательства и инфраструктуры его поддержки, а также восстановление объектов культуры и развитие туристического потенциала.</w:t>
      </w:r>
    </w:p>
    <w:p>
      <w:pPr>
        <w:pStyle w:val="0"/>
        <w:spacing w:before="200" w:line-rule="auto"/>
        <w:ind w:firstLine="540"/>
        <w:jc w:val="both"/>
      </w:pPr>
      <w:r>
        <w:rPr>
          <w:sz w:val="20"/>
        </w:rPr>
        <w:t xml:space="preserve">В 2019 - 2023 гг. в Рыльском районе будут реализованы следующие ключевые проекты:</w:t>
      </w:r>
    </w:p>
    <w:p>
      <w:pPr>
        <w:pStyle w:val="0"/>
        <w:spacing w:before="200" w:line-rule="auto"/>
        <w:ind w:firstLine="540"/>
        <w:jc w:val="both"/>
      </w:pPr>
      <w:r>
        <w:rPr>
          <w:sz w:val="20"/>
        </w:rPr>
        <w:t xml:space="preserve">возведение сельскохозяйственного комплекса ООО АПХ "Мираторг",</w:t>
      </w:r>
    </w:p>
    <w:p>
      <w:pPr>
        <w:pStyle w:val="0"/>
        <w:spacing w:before="200" w:line-rule="auto"/>
        <w:ind w:firstLine="540"/>
        <w:jc w:val="both"/>
      </w:pPr>
      <w:r>
        <w:rPr>
          <w:sz w:val="20"/>
        </w:rPr>
        <w:t xml:space="preserve">строительство новых сахароперерабатывающих мощностей на базе ООО "Промсахар",</w:t>
      </w:r>
    </w:p>
    <w:p>
      <w:pPr>
        <w:pStyle w:val="0"/>
        <w:spacing w:before="200" w:line-rule="auto"/>
        <w:ind w:firstLine="540"/>
        <w:jc w:val="both"/>
      </w:pPr>
      <w:r>
        <w:rPr>
          <w:sz w:val="20"/>
        </w:rPr>
        <w:t xml:space="preserve">строительство фермы крупного рогатого скота на 10 тыс. голов холдингом "Объединенные кондитеры";</w:t>
      </w:r>
    </w:p>
    <w:p>
      <w:pPr>
        <w:pStyle w:val="0"/>
        <w:spacing w:before="200" w:line-rule="auto"/>
        <w:ind w:firstLine="540"/>
        <w:jc w:val="both"/>
      </w:pPr>
      <w:r>
        <w:rPr>
          <w:sz w:val="20"/>
        </w:rPr>
        <w:t xml:space="preserve">расширение перечня услуг по обработке дерева ООО "Банищанская Дача".</w:t>
      </w:r>
    </w:p>
    <w:p>
      <w:pPr>
        <w:pStyle w:val="0"/>
        <w:jc w:val="both"/>
      </w:pPr>
      <w:r>
        <w:rPr>
          <w:sz w:val="20"/>
        </w:rPr>
      </w:r>
    </w:p>
    <w:p>
      <w:pPr>
        <w:pStyle w:val="2"/>
        <w:outlineLvl w:val="2"/>
        <w:ind w:firstLine="540"/>
        <w:jc w:val="both"/>
      </w:pPr>
      <w:r>
        <w:rPr>
          <w:sz w:val="20"/>
        </w:rPr>
        <w:t xml:space="preserve">Советский район</w:t>
      </w:r>
    </w:p>
    <w:p>
      <w:pPr>
        <w:pStyle w:val="0"/>
        <w:jc w:val="both"/>
      </w:pPr>
      <w:r>
        <w:rPr>
          <w:sz w:val="20"/>
        </w:rPr>
      </w:r>
    </w:p>
    <w:p>
      <w:pPr>
        <w:pStyle w:val="0"/>
        <w:ind w:firstLine="540"/>
        <w:jc w:val="both"/>
      </w:pPr>
      <w:r>
        <w:rPr>
          <w:sz w:val="20"/>
        </w:rPr>
        <w:t xml:space="preserve">Советский район находится в восточной части Курской области. Его административным центром является поселок городского типа Кшенский. Общая численность населения района на 1 января 2019 года составляет 16,7 тыс. человек. Около трети населения района проживает в административном центре.</w:t>
      </w:r>
    </w:p>
    <w:p>
      <w:pPr>
        <w:pStyle w:val="0"/>
        <w:spacing w:before="200" w:line-rule="auto"/>
        <w:ind w:firstLine="540"/>
        <w:jc w:val="both"/>
      </w:pPr>
      <w:r>
        <w:rPr>
          <w:sz w:val="20"/>
        </w:rPr>
        <w:t xml:space="preserve">Район граничит с Липецкой и Орловской областями. Развит как автомобильный, так и железнодорожный транспорт. Через район проходят автомобильная федеральная трасса А144, а также железные дороги "Курск - Касторная" и "Мармыжи - Верховье".</w:t>
      </w:r>
    </w:p>
    <w:p>
      <w:pPr>
        <w:pStyle w:val="0"/>
        <w:spacing w:before="200" w:line-rule="auto"/>
        <w:ind w:firstLine="540"/>
        <w:jc w:val="both"/>
      </w:pPr>
      <w:r>
        <w:rPr>
          <w:sz w:val="20"/>
        </w:rPr>
        <w:t xml:space="preserve">Ключевой отраслью экономики Советского района является сельское хозяйство.</w:t>
      </w:r>
    </w:p>
    <w:p>
      <w:pPr>
        <w:pStyle w:val="0"/>
        <w:spacing w:before="200" w:line-rule="auto"/>
        <w:ind w:firstLine="540"/>
        <w:jc w:val="both"/>
      </w:pPr>
      <w:r>
        <w:rPr>
          <w:sz w:val="20"/>
        </w:rPr>
        <w:t xml:space="preserve">На территории района находится сахарный завод АО "Кшенский сахарный комбинат" компании ООО ГК "Русагро".</w:t>
      </w:r>
    </w:p>
    <w:p>
      <w:pPr>
        <w:pStyle w:val="0"/>
        <w:jc w:val="both"/>
      </w:pPr>
      <w:r>
        <w:rPr>
          <w:sz w:val="20"/>
        </w:rPr>
      </w:r>
    </w:p>
    <w:p>
      <w:pPr>
        <w:pStyle w:val="2"/>
        <w:outlineLvl w:val="2"/>
        <w:ind w:firstLine="540"/>
        <w:jc w:val="both"/>
      </w:pPr>
      <w:r>
        <w:rPr>
          <w:sz w:val="20"/>
        </w:rPr>
        <w:t xml:space="preserve">Золотухинский район</w:t>
      </w:r>
    </w:p>
    <w:p>
      <w:pPr>
        <w:pStyle w:val="0"/>
        <w:jc w:val="both"/>
      </w:pPr>
      <w:r>
        <w:rPr>
          <w:sz w:val="20"/>
        </w:rPr>
      </w:r>
    </w:p>
    <w:p>
      <w:pPr>
        <w:pStyle w:val="0"/>
        <w:ind w:firstLine="540"/>
        <w:jc w:val="both"/>
      </w:pPr>
      <w:r>
        <w:rPr>
          <w:sz w:val="20"/>
        </w:rPr>
        <w:t xml:space="preserve">Золотухинский район находится на севере Курской области. Его административным центром является поселок городского типа Золотухино. Общая численность населения района на 1 января 2019 года составляет 21,0 тыс. человек.</w:t>
      </w:r>
    </w:p>
    <w:p>
      <w:pPr>
        <w:pStyle w:val="0"/>
        <w:spacing w:before="200" w:line-rule="auto"/>
        <w:ind w:firstLine="540"/>
        <w:jc w:val="both"/>
      </w:pPr>
      <w:r>
        <w:rPr>
          <w:sz w:val="20"/>
        </w:rPr>
        <w:t xml:space="preserve">Золотухинский район граничит с Орловской областью. В районе развит автомобильный и железнодорожный транспорт, также по территории района проходит нефтепровод.</w:t>
      </w:r>
    </w:p>
    <w:p>
      <w:pPr>
        <w:pStyle w:val="0"/>
        <w:spacing w:before="200" w:line-rule="auto"/>
        <w:ind w:firstLine="540"/>
        <w:jc w:val="both"/>
      </w:pPr>
      <w:r>
        <w:rPr>
          <w:sz w:val="20"/>
        </w:rPr>
        <w:t xml:space="preserve">Важнейшими предприятиями региона являются:</w:t>
      </w:r>
    </w:p>
    <w:p>
      <w:pPr>
        <w:pStyle w:val="0"/>
        <w:spacing w:before="200" w:line-rule="auto"/>
        <w:ind w:firstLine="540"/>
        <w:jc w:val="both"/>
      </w:pPr>
      <w:r>
        <w:rPr>
          <w:sz w:val="20"/>
        </w:rPr>
        <w:t xml:space="preserve">ООО "СЭМЗ",</w:t>
      </w:r>
    </w:p>
    <w:p>
      <w:pPr>
        <w:pStyle w:val="0"/>
        <w:spacing w:before="200" w:line-rule="auto"/>
        <w:ind w:firstLine="540"/>
        <w:jc w:val="both"/>
      </w:pPr>
      <w:r>
        <w:rPr>
          <w:sz w:val="20"/>
        </w:rPr>
        <w:t xml:space="preserve">филиал Золотухинский ООО "Курсксахарпром",</w:t>
      </w:r>
    </w:p>
    <w:p>
      <w:pPr>
        <w:pStyle w:val="0"/>
        <w:spacing w:before="200" w:line-rule="auto"/>
        <w:ind w:firstLine="540"/>
        <w:jc w:val="both"/>
      </w:pPr>
      <w:r>
        <w:rPr>
          <w:sz w:val="20"/>
        </w:rPr>
        <w:t xml:space="preserve">ООО "Курские элеваторы",</w:t>
      </w:r>
    </w:p>
    <w:p>
      <w:pPr>
        <w:pStyle w:val="0"/>
        <w:spacing w:before="200" w:line-rule="auto"/>
        <w:ind w:firstLine="540"/>
        <w:jc w:val="both"/>
      </w:pPr>
      <w:r>
        <w:rPr>
          <w:sz w:val="20"/>
        </w:rPr>
        <w:t xml:space="preserve">ООО "Агромарка".</w:t>
      </w:r>
    </w:p>
    <w:p>
      <w:pPr>
        <w:pStyle w:val="0"/>
        <w:jc w:val="both"/>
      </w:pPr>
      <w:r>
        <w:rPr>
          <w:sz w:val="20"/>
        </w:rPr>
      </w:r>
    </w:p>
    <w:p>
      <w:pPr>
        <w:pStyle w:val="2"/>
        <w:outlineLvl w:val="2"/>
        <w:ind w:firstLine="540"/>
        <w:jc w:val="both"/>
      </w:pPr>
      <w:r>
        <w:rPr>
          <w:sz w:val="20"/>
        </w:rPr>
        <w:t xml:space="preserve">Глушковский район</w:t>
      </w:r>
    </w:p>
    <w:p>
      <w:pPr>
        <w:pStyle w:val="0"/>
        <w:jc w:val="both"/>
      </w:pPr>
      <w:r>
        <w:rPr>
          <w:sz w:val="20"/>
        </w:rPr>
      </w:r>
    </w:p>
    <w:p>
      <w:pPr>
        <w:pStyle w:val="0"/>
        <w:ind w:firstLine="540"/>
        <w:jc w:val="both"/>
      </w:pPr>
      <w:r>
        <w:rPr>
          <w:sz w:val="20"/>
        </w:rPr>
        <w:t xml:space="preserve">Глушковский район расположен в юго-западной части Курской области. Административный центр - поселок Глушково. Общая численность населения по состоянию на 1 января 2019 года составляет 18,6 тысяч человек.</w:t>
      </w:r>
    </w:p>
    <w:p>
      <w:pPr>
        <w:pStyle w:val="0"/>
        <w:spacing w:before="200" w:line-rule="auto"/>
        <w:ind w:firstLine="540"/>
        <w:jc w:val="both"/>
      </w:pPr>
      <w:r>
        <w:rPr>
          <w:sz w:val="20"/>
        </w:rPr>
        <w:t xml:space="preserve">Глушковский район граничит с Украиной, общая протяженность границы 103 км.</w:t>
      </w:r>
    </w:p>
    <w:p>
      <w:pPr>
        <w:pStyle w:val="0"/>
        <w:spacing w:before="200" w:line-rule="auto"/>
        <w:ind w:firstLine="540"/>
        <w:jc w:val="both"/>
      </w:pPr>
      <w:r>
        <w:rPr>
          <w:sz w:val="20"/>
        </w:rPr>
        <w:t xml:space="preserve">Ключевой отраслью района является сельское хозяйство. Основное направление - растениеводство (зерновые культуры, сахарная свекла). В районе развито молочное и мясное животноводство. В конце 2015 года в районе открыт тепличный комплекс "АгроПарк", занимающийся выращиванием овощей закрытого грунта. Основные сельхозпредприятия района: ООО "Агрокомплекс Глушковский", ООО "Авангард", ООО "Луч", ООО "Победа", ООО "Рассвет".</w:t>
      </w:r>
    </w:p>
    <w:p>
      <w:pPr>
        <w:pStyle w:val="0"/>
        <w:spacing w:before="200" w:line-rule="auto"/>
        <w:ind w:firstLine="540"/>
        <w:jc w:val="both"/>
      </w:pPr>
      <w:r>
        <w:rPr>
          <w:sz w:val="20"/>
        </w:rPr>
        <w:t xml:space="preserve">Промышленный сектор района представлен предприятиями переработки: ООО "Теткинский сахарный завод", ООО "КурскПродукт", ООО "Глушковский хлеб".</w:t>
      </w:r>
    </w:p>
    <w:p>
      <w:pPr>
        <w:pStyle w:val="0"/>
        <w:jc w:val="both"/>
      </w:pPr>
      <w:r>
        <w:rPr>
          <w:sz w:val="20"/>
        </w:rPr>
      </w:r>
    </w:p>
    <w:p>
      <w:pPr>
        <w:pStyle w:val="2"/>
        <w:outlineLvl w:val="2"/>
        <w:ind w:firstLine="540"/>
        <w:jc w:val="both"/>
      </w:pPr>
      <w:r>
        <w:rPr>
          <w:sz w:val="20"/>
        </w:rPr>
        <w:t xml:space="preserve">Кореневский район</w:t>
      </w:r>
    </w:p>
    <w:p>
      <w:pPr>
        <w:pStyle w:val="0"/>
        <w:jc w:val="both"/>
      </w:pPr>
      <w:r>
        <w:rPr>
          <w:sz w:val="20"/>
        </w:rPr>
      </w:r>
    </w:p>
    <w:p>
      <w:pPr>
        <w:pStyle w:val="0"/>
        <w:ind w:firstLine="540"/>
        <w:jc w:val="both"/>
      </w:pPr>
      <w:r>
        <w:rPr>
          <w:sz w:val="20"/>
        </w:rPr>
        <w:t xml:space="preserve">Кореневский район находится на юго-западе Курской области. Численность его населения на 1 января 2019 года составляет 15,9 тыс. человек. Его центром является поселок городского типа Коренево (население - 5,4 тыс. человек).</w:t>
      </w:r>
    </w:p>
    <w:p>
      <w:pPr>
        <w:pStyle w:val="0"/>
        <w:spacing w:before="200" w:line-rule="auto"/>
        <w:ind w:firstLine="540"/>
        <w:jc w:val="both"/>
      </w:pPr>
      <w:r>
        <w:rPr>
          <w:sz w:val="20"/>
        </w:rPr>
        <w:t xml:space="preserve">Основу экономики Кореневского района составляет сельское хозяйство - выращиваются зерновые культуры, сахарная свекла, картофель, кукуруза, развивается мясное и молочное скотоводство. Также в районе имеется электротехнический завод "Рубильник". Осуществляется добыча песка, глины и мела.</w:t>
      </w:r>
    </w:p>
    <w:p>
      <w:pPr>
        <w:pStyle w:val="0"/>
        <w:spacing w:before="200" w:line-rule="auto"/>
        <w:ind w:firstLine="540"/>
        <w:jc w:val="both"/>
      </w:pPr>
      <w:r>
        <w:rPr>
          <w:sz w:val="20"/>
        </w:rPr>
        <w:t xml:space="preserve">В районе развито автомобильное и железнодорожное сообщение (автомобильная дорога "Киев - Курск - Воронеж"). Основной железнодорожной станцией района является Коренево.</w:t>
      </w:r>
    </w:p>
    <w:p>
      <w:pPr>
        <w:pStyle w:val="0"/>
        <w:spacing w:before="200" w:line-rule="auto"/>
        <w:ind w:firstLine="540"/>
        <w:jc w:val="both"/>
      </w:pPr>
      <w:r>
        <w:rPr>
          <w:sz w:val="20"/>
        </w:rPr>
        <w:t xml:space="preserve">На территории района расположено структурное подразделение ООО "Авангард - Агро-Курск" (солодовенный завод); ООО "Солнечный край" (производство растительного масла и минеральной воды).</w:t>
      </w:r>
    </w:p>
    <w:p>
      <w:pPr>
        <w:pStyle w:val="0"/>
        <w:jc w:val="both"/>
      </w:pPr>
      <w:r>
        <w:rPr>
          <w:sz w:val="20"/>
        </w:rPr>
      </w:r>
    </w:p>
    <w:p>
      <w:pPr>
        <w:pStyle w:val="2"/>
        <w:outlineLvl w:val="2"/>
        <w:ind w:firstLine="540"/>
        <w:jc w:val="both"/>
      </w:pPr>
      <w:r>
        <w:rPr>
          <w:sz w:val="20"/>
        </w:rPr>
        <w:t xml:space="preserve">Фатежский район</w:t>
      </w:r>
    </w:p>
    <w:p>
      <w:pPr>
        <w:pStyle w:val="0"/>
        <w:jc w:val="both"/>
      </w:pPr>
      <w:r>
        <w:rPr>
          <w:sz w:val="20"/>
        </w:rPr>
      </w:r>
    </w:p>
    <w:p>
      <w:pPr>
        <w:pStyle w:val="0"/>
        <w:ind w:firstLine="540"/>
        <w:jc w:val="both"/>
      </w:pPr>
      <w:r>
        <w:rPr>
          <w:sz w:val="20"/>
        </w:rPr>
        <w:t xml:space="preserve">Фатежский район находится на севере Курской области. Численность его населения на 1 января 2019 года составляет 17,7 тыс. человек, которые проживают почти в 200 населенных пунктах. Административным центром района является город Фатеж с населением 6 тыс. человек.</w:t>
      </w:r>
    </w:p>
    <w:p>
      <w:pPr>
        <w:pStyle w:val="0"/>
        <w:spacing w:before="200" w:line-rule="auto"/>
        <w:ind w:firstLine="540"/>
        <w:jc w:val="both"/>
      </w:pPr>
      <w:r>
        <w:rPr>
          <w:sz w:val="20"/>
        </w:rPr>
        <w:t xml:space="preserve">Фатежский район граничит с Орловской областью. Через район проходит автомобильная дорога "Москва - Орел - Курск - Харьков".</w:t>
      </w:r>
    </w:p>
    <w:p>
      <w:pPr>
        <w:pStyle w:val="0"/>
        <w:spacing w:before="200" w:line-rule="auto"/>
        <w:ind w:firstLine="540"/>
        <w:jc w:val="both"/>
      </w:pPr>
      <w:r>
        <w:rPr>
          <w:sz w:val="20"/>
        </w:rPr>
        <w:t xml:space="preserve">В Фатежском районе расположен экспериментальный комбинат детского питания компании "Вимм-Билль-Данн". В сельском хозяйстве осуществляют деятельность по производству зерна и сахарной свеклы структурные подразделения ГК "Продимекс" и АПХ "Мираторг", введена в эксплуатацию ферма закрытого типа с круглогодовым стойловым содержанием высокопродуктивного поголовья мелкого рогатого скота на 30 тысяч голов.</w:t>
      </w:r>
    </w:p>
    <w:p>
      <w:pPr>
        <w:pStyle w:val="0"/>
        <w:jc w:val="both"/>
      </w:pPr>
      <w:r>
        <w:rPr>
          <w:sz w:val="20"/>
        </w:rPr>
      </w:r>
    </w:p>
    <w:p>
      <w:pPr>
        <w:pStyle w:val="2"/>
        <w:outlineLvl w:val="2"/>
        <w:ind w:firstLine="540"/>
        <w:jc w:val="both"/>
      </w:pPr>
      <w:r>
        <w:rPr>
          <w:sz w:val="20"/>
        </w:rPr>
        <w:t xml:space="preserve">Дмитриевский район</w:t>
      </w:r>
    </w:p>
    <w:p>
      <w:pPr>
        <w:pStyle w:val="0"/>
        <w:jc w:val="both"/>
      </w:pPr>
      <w:r>
        <w:rPr>
          <w:sz w:val="20"/>
        </w:rPr>
      </w:r>
    </w:p>
    <w:p>
      <w:pPr>
        <w:pStyle w:val="0"/>
        <w:ind w:firstLine="540"/>
        <w:jc w:val="both"/>
      </w:pPr>
      <w:r>
        <w:rPr>
          <w:sz w:val="20"/>
        </w:rPr>
        <w:t xml:space="preserve">Дмитриевский район расположен на северо-западе Курской области. Его административным центом является город Дмитриев. Численность населения всего района на 1 января 2019 года составляет 14,1 тыс. человек, численность населения административного центра - 6,6 тыс. человек.</w:t>
      </w:r>
    </w:p>
    <w:p>
      <w:pPr>
        <w:pStyle w:val="0"/>
        <w:spacing w:before="200" w:line-rule="auto"/>
        <w:ind w:firstLine="540"/>
        <w:jc w:val="both"/>
      </w:pPr>
      <w:r>
        <w:rPr>
          <w:sz w:val="20"/>
        </w:rPr>
        <w:t xml:space="preserve">Район граничит с Брянской областью. Имеется автомобильное и железнодорожное сообщение. Через район проходит Московская железная дорога (участок "Брянск - Льгов").</w:t>
      </w:r>
    </w:p>
    <w:p>
      <w:pPr>
        <w:pStyle w:val="0"/>
        <w:spacing w:before="200" w:line-rule="auto"/>
        <w:ind w:firstLine="540"/>
        <w:jc w:val="both"/>
      </w:pPr>
      <w:r>
        <w:rPr>
          <w:sz w:val="20"/>
        </w:rPr>
        <w:t xml:space="preserve">Крупными предприятиями района являются:</w:t>
      </w:r>
    </w:p>
    <w:p>
      <w:pPr>
        <w:pStyle w:val="0"/>
        <w:spacing w:before="200" w:line-rule="auto"/>
        <w:ind w:firstLine="540"/>
        <w:jc w:val="both"/>
      </w:pPr>
      <w:r>
        <w:rPr>
          <w:sz w:val="20"/>
        </w:rPr>
        <w:t xml:space="preserve">ЗАО "Дмитриев-АГРО-Инвест",</w:t>
      </w:r>
    </w:p>
    <w:p>
      <w:pPr>
        <w:pStyle w:val="0"/>
        <w:spacing w:before="200" w:line-rule="auto"/>
        <w:ind w:firstLine="540"/>
        <w:jc w:val="both"/>
      </w:pPr>
      <w:r>
        <w:rPr>
          <w:sz w:val="20"/>
        </w:rPr>
        <w:t xml:space="preserve">ОАО "Агрокультура-Курск",</w:t>
      </w:r>
    </w:p>
    <w:p>
      <w:pPr>
        <w:pStyle w:val="0"/>
        <w:spacing w:before="200" w:line-rule="auto"/>
        <w:ind w:firstLine="540"/>
        <w:jc w:val="both"/>
      </w:pPr>
      <w:r>
        <w:rPr>
          <w:sz w:val="20"/>
        </w:rPr>
        <w:t xml:space="preserve">ОАО "Дмитриевский КХП".</w:t>
      </w:r>
    </w:p>
    <w:p>
      <w:pPr>
        <w:pStyle w:val="0"/>
        <w:spacing w:before="200" w:line-rule="auto"/>
        <w:ind w:firstLine="540"/>
        <w:jc w:val="both"/>
      </w:pPr>
      <w:r>
        <w:rPr>
          <w:sz w:val="20"/>
        </w:rPr>
        <w:t xml:space="preserve">В районе имеется учреждение среднего профессионального образования - Дмитриевский сельскохозяйственный техникум.</w:t>
      </w:r>
    </w:p>
    <w:p>
      <w:pPr>
        <w:pStyle w:val="0"/>
        <w:jc w:val="both"/>
      </w:pPr>
      <w:r>
        <w:rPr>
          <w:sz w:val="20"/>
        </w:rPr>
      </w:r>
    </w:p>
    <w:p>
      <w:pPr>
        <w:pStyle w:val="2"/>
        <w:outlineLvl w:val="2"/>
        <w:ind w:firstLine="540"/>
        <w:jc w:val="both"/>
      </w:pPr>
      <w:r>
        <w:rPr>
          <w:sz w:val="20"/>
        </w:rPr>
        <w:t xml:space="preserve">Железногорский район</w:t>
      </w:r>
    </w:p>
    <w:p>
      <w:pPr>
        <w:pStyle w:val="0"/>
        <w:jc w:val="both"/>
      </w:pPr>
      <w:r>
        <w:rPr>
          <w:sz w:val="20"/>
        </w:rPr>
      </w:r>
    </w:p>
    <w:p>
      <w:pPr>
        <w:pStyle w:val="0"/>
        <w:ind w:firstLine="540"/>
        <w:jc w:val="both"/>
      </w:pPr>
      <w:r>
        <w:rPr>
          <w:sz w:val="20"/>
        </w:rPr>
        <w:t xml:space="preserve">Железногорский район расположен на севере Курской области. Его административным центом является город Железногорск. Численность населения всего района на 1 января 2019 года составляет 15,2 тыс. человек.</w:t>
      </w:r>
    </w:p>
    <w:p>
      <w:pPr>
        <w:pStyle w:val="0"/>
        <w:spacing w:before="200" w:line-rule="auto"/>
        <w:ind w:firstLine="540"/>
        <w:jc w:val="both"/>
      </w:pPr>
      <w:r>
        <w:rPr>
          <w:sz w:val="20"/>
        </w:rPr>
        <w:t xml:space="preserve">Район граничит с Орловской областью. Через район проходят автомобильная дорога федерального значения А142, соединяющая магистрали М2 ("Крым") и М3 ("Украина"), и железная дорога "Орел - Льгов".</w:t>
      </w:r>
    </w:p>
    <w:p>
      <w:pPr>
        <w:pStyle w:val="0"/>
        <w:spacing w:before="200" w:line-rule="auto"/>
        <w:ind w:firstLine="540"/>
        <w:jc w:val="both"/>
      </w:pPr>
      <w:r>
        <w:rPr>
          <w:sz w:val="20"/>
        </w:rPr>
        <w:t xml:space="preserve">На территории района введена в эксплуатацию современная мясохладобойня ООО "Курский мясоперерабатывающий завод" компании ООО "АгроПромкомплектация-Курск", построен комбикормовый завод.</w:t>
      </w:r>
    </w:p>
    <w:p>
      <w:pPr>
        <w:pStyle w:val="0"/>
        <w:spacing w:before="200" w:line-rule="auto"/>
        <w:ind w:firstLine="540"/>
        <w:jc w:val="both"/>
      </w:pPr>
      <w:r>
        <w:rPr>
          <w:sz w:val="20"/>
        </w:rPr>
        <w:t xml:space="preserve">Работает ООО АПК "Красная Поляна".</w:t>
      </w:r>
    </w:p>
    <w:p>
      <w:pPr>
        <w:pStyle w:val="0"/>
        <w:jc w:val="both"/>
      </w:pPr>
      <w:r>
        <w:rPr>
          <w:sz w:val="20"/>
        </w:rPr>
      </w:r>
    </w:p>
    <w:p>
      <w:pPr>
        <w:pStyle w:val="2"/>
        <w:outlineLvl w:val="2"/>
        <w:ind w:firstLine="540"/>
        <w:jc w:val="both"/>
      </w:pPr>
      <w:r>
        <w:rPr>
          <w:sz w:val="20"/>
        </w:rPr>
        <w:t xml:space="preserve">Беловский район</w:t>
      </w:r>
    </w:p>
    <w:p>
      <w:pPr>
        <w:pStyle w:val="0"/>
        <w:jc w:val="both"/>
      </w:pPr>
      <w:r>
        <w:rPr>
          <w:sz w:val="20"/>
        </w:rPr>
      </w:r>
    </w:p>
    <w:p>
      <w:pPr>
        <w:pStyle w:val="0"/>
        <w:ind w:firstLine="540"/>
        <w:jc w:val="both"/>
      </w:pPr>
      <w:r>
        <w:rPr>
          <w:sz w:val="20"/>
        </w:rPr>
        <w:t xml:space="preserve">Беловский район находится на юге Курской области. Численность его населения на 1 января 2019 года составляет 15,0 тыс. человек. Административным центром района является слобода Белая с населением 3 тыс. человек.</w:t>
      </w:r>
    </w:p>
    <w:p>
      <w:pPr>
        <w:pStyle w:val="0"/>
        <w:spacing w:before="200" w:line-rule="auto"/>
        <w:ind w:firstLine="540"/>
        <w:jc w:val="both"/>
      </w:pPr>
      <w:r>
        <w:rPr>
          <w:sz w:val="20"/>
        </w:rPr>
        <w:t xml:space="preserve">Беловский район является преимущественно сельскохозяйственной территорией - его промышленность слабо развита, однако имеются мощности по переработке сельскохозяйственной продукции (производство сахара и масла). В сфере сельского хозяйства район специализируется на зерновых культурах (пшеница, ячмень), а также на сахарной свекле и подсолнечнике. В районе также развито молочное и мясное (свиньи, коровы) животноводство. Район имеет историческое значение - на его территории находится Гочевское городище и большие курганы.</w:t>
      </w:r>
    </w:p>
    <w:p>
      <w:pPr>
        <w:pStyle w:val="0"/>
        <w:spacing w:before="200" w:line-rule="auto"/>
        <w:ind w:firstLine="540"/>
        <w:jc w:val="both"/>
      </w:pPr>
      <w:r>
        <w:rPr>
          <w:sz w:val="20"/>
        </w:rPr>
        <w:t xml:space="preserve">В районе развито как автомобильное, так и железнодорожное сообщение (ветка "Готня - Льгов Киевский"). Расстояние от слободы Белая до Курска составляет 80 км.</w:t>
      </w:r>
    </w:p>
    <w:p>
      <w:pPr>
        <w:pStyle w:val="0"/>
        <w:spacing w:before="200" w:line-rule="auto"/>
        <w:ind w:firstLine="540"/>
        <w:jc w:val="both"/>
      </w:pPr>
      <w:r>
        <w:rPr>
          <w:sz w:val="20"/>
        </w:rPr>
        <w:t xml:space="preserve">Ключевыми предприятиями является: ООО "Псельское" (мясоперерабатывающее предприятие, комбикормовое производство), УК "Эко-Нива-АПК Холдинг" (ООО "Белсахар").</w:t>
      </w:r>
    </w:p>
    <w:p>
      <w:pPr>
        <w:pStyle w:val="0"/>
        <w:jc w:val="both"/>
      </w:pPr>
      <w:r>
        <w:rPr>
          <w:sz w:val="20"/>
        </w:rPr>
      </w:r>
    </w:p>
    <w:p>
      <w:pPr>
        <w:pStyle w:val="2"/>
        <w:outlineLvl w:val="2"/>
        <w:ind w:firstLine="540"/>
        <w:jc w:val="both"/>
      </w:pPr>
      <w:r>
        <w:rPr>
          <w:sz w:val="20"/>
        </w:rPr>
        <w:t xml:space="preserve">Медвенский район</w:t>
      </w:r>
    </w:p>
    <w:p>
      <w:pPr>
        <w:pStyle w:val="0"/>
        <w:jc w:val="both"/>
      </w:pPr>
      <w:r>
        <w:rPr>
          <w:sz w:val="20"/>
        </w:rPr>
      </w:r>
    </w:p>
    <w:p>
      <w:pPr>
        <w:pStyle w:val="0"/>
        <w:ind w:firstLine="540"/>
        <w:jc w:val="both"/>
      </w:pPr>
      <w:r>
        <w:rPr>
          <w:sz w:val="20"/>
        </w:rPr>
        <w:t xml:space="preserve">Медвенский район расположен в центральной части Курской области. Его административным центром является поселок городского типа Медвенка. Несмотря на то, что в районе насчитывается около 150 населенных пунктов, совокупная численность населения невелика - на 1 января 2019 года она составляет 16,4 тыс. человек, при этом на административный центр приходится около четверти населения (4,4 тыс. человек).</w:t>
      </w:r>
    </w:p>
    <w:p>
      <w:pPr>
        <w:pStyle w:val="0"/>
        <w:spacing w:before="200" w:line-rule="auto"/>
        <w:ind w:firstLine="540"/>
        <w:jc w:val="both"/>
      </w:pPr>
      <w:r>
        <w:rPr>
          <w:sz w:val="20"/>
        </w:rPr>
        <w:t xml:space="preserve">Через Медвенский район проходят федеральная автомобильная трасса М2 "Крым", а также трасса областного значения "Курск - Сумы".</w:t>
      </w:r>
    </w:p>
    <w:p>
      <w:pPr>
        <w:pStyle w:val="0"/>
        <w:spacing w:before="200" w:line-rule="auto"/>
        <w:ind w:firstLine="540"/>
        <w:jc w:val="both"/>
      </w:pPr>
      <w:r>
        <w:rPr>
          <w:sz w:val="20"/>
        </w:rPr>
        <w:t xml:space="preserve">В районе развито сельское хозяйство. Также работают типография, зерноперерабатывающее предприятие, нефтебаза. Насчитывается более 400 индивидуальных предпринимателей.</w:t>
      </w:r>
    </w:p>
    <w:p>
      <w:pPr>
        <w:pStyle w:val="0"/>
        <w:spacing w:before="200" w:line-rule="auto"/>
        <w:ind w:firstLine="540"/>
        <w:jc w:val="both"/>
      </w:pPr>
      <w:r>
        <w:rPr>
          <w:sz w:val="20"/>
        </w:rPr>
        <w:t xml:space="preserve">Ведущее предприятие - ООО ПК "Агропродукт".</w:t>
      </w:r>
    </w:p>
    <w:p>
      <w:pPr>
        <w:pStyle w:val="0"/>
        <w:jc w:val="both"/>
      </w:pPr>
      <w:r>
        <w:rPr>
          <w:sz w:val="20"/>
        </w:rPr>
      </w:r>
    </w:p>
    <w:p>
      <w:pPr>
        <w:pStyle w:val="2"/>
        <w:outlineLvl w:val="2"/>
        <w:ind w:firstLine="540"/>
        <w:jc w:val="both"/>
      </w:pPr>
      <w:r>
        <w:rPr>
          <w:sz w:val="20"/>
        </w:rPr>
        <w:t xml:space="preserve">Обоянский район</w:t>
      </w:r>
    </w:p>
    <w:p>
      <w:pPr>
        <w:pStyle w:val="0"/>
        <w:jc w:val="both"/>
      </w:pPr>
      <w:r>
        <w:rPr>
          <w:sz w:val="20"/>
        </w:rPr>
      </w:r>
    </w:p>
    <w:p>
      <w:pPr>
        <w:pStyle w:val="0"/>
        <w:ind w:firstLine="540"/>
        <w:jc w:val="both"/>
      </w:pPr>
      <w:r>
        <w:rPr>
          <w:sz w:val="20"/>
        </w:rPr>
        <w:t xml:space="preserve">Обоянский район находится на юге Курской области. Его административным центром является город Обоянь (население - 13,3 тыс. человек). Совокупная численность населения района на 1 января 2019 года составляет 29,2 тыс. человек.</w:t>
      </w:r>
    </w:p>
    <w:p>
      <w:pPr>
        <w:pStyle w:val="0"/>
        <w:spacing w:before="200" w:line-rule="auto"/>
        <w:ind w:firstLine="540"/>
        <w:jc w:val="both"/>
      </w:pPr>
      <w:r>
        <w:rPr>
          <w:sz w:val="20"/>
        </w:rPr>
        <w:t xml:space="preserve">Обоянский район имеет достаточно выгодное экономико-географическое положение. Расстояние от города Обоянь до Курска составляет всего 60 км, до Белгорода - 70 км. При этом город находится на автомобильной трассе М2 "Крым".</w:t>
      </w:r>
    </w:p>
    <w:p>
      <w:pPr>
        <w:pStyle w:val="0"/>
        <w:spacing w:before="200" w:line-rule="auto"/>
        <w:ind w:firstLine="540"/>
        <w:jc w:val="both"/>
      </w:pPr>
      <w:r>
        <w:rPr>
          <w:sz w:val="20"/>
        </w:rPr>
        <w:t xml:space="preserve">Многие жители района заняты в сельскохозяйственном секторе. Крупнейшими предприятиями района являются завод резинотехнических изделий, завод древесноволокнистых плит, элеватор, семенной завод, ООО "Обоянский консервный завод", ООО "Обоянь хлеб+".</w:t>
      </w:r>
    </w:p>
    <w:p>
      <w:pPr>
        <w:pStyle w:val="0"/>
        <w:jc w:val="both"/>
      </w:pPr>
      <w:r>
        <w:rPr>
          <w:sz w:val="20"/>
        </w:rPr>
      </w:r>
    </w:p>
    <w:p>
      <w:pPr>
        <w:pStyle w:val="2"/>
        <w:outlineLvl w:val="2"/>
        <w:ind w:firstLine="540"/>
        <w:jc w:val="both"/>
      </w:pPr>
      <w:r>
        <w:rPr>
          <w:sz w:val="20"/>
        </w:rPr>
        <w:t xml:space="preserve">Мантуровский район</w:t>
      </w:r>
    </w:p>
    <w:p>
      <w:pPr>
        <w:pStyle w:val="0"/>
        <w:jc w:val="both"/>
      </w:pPr>
      <w:r>
        <w:rPr>
          <w:sz w:val="20"/>
        </w:rPr>
      </w:r>
    </w:p>
    <w:p>
      <w:pPr>
        <w:pStyle w:val="0"/>
        <w:ind w:firstLine="540"/>
        <w:jc w:val="both"/>
      </w:pPr>
      <w:r>
        <w:rPr>
          <w:sz w:val="20"/>
        </w:rPr>
        <w:t xml:space="preserve">Мантуровский район расположен на юго-востоке Курской области. Его административным центом является село Мантурово. Численность населения всего района на 1 января 2019 года составляет 12,0 тыс. человек, численность населения административного центра - 2,8 тыс. человек. Городское население в районе отсутствует.</w:t>
      </w:r>
    </w:p>
    <w:p>
      <w:pPr>
        <w:pStyle w:val="0"/>
        <w:spacing w:before="200" w:line-rule="auto"/>
        <w:ind w:firstLine="540"/>
        <w:jc w:val="both"/>
      </w:pPr>
      <w:r>
        <w:rPr>
          <w:sz w:val="20"/>
        </w:rPr>
        <w:t xml:space="preserve">Район граничит с Белгородской областью. Имеется автомобильное и железнодорожное сообщение. Через район проходит Юго-Восточная железная дорога (участок "Сараевка - Старый Оскол"). Через район также проходит нефтепровод "Дружба".</w:t>
      </w:r>
    </w:p>
    <w:p>
      <w:pPr>
        <w:pStyle w:val="0"/>
        <w:spacing w:before="200" w:line-rule="auto"/>
        <w:ind w:firstLine="540"/>
        <w:jc w:val="both"/>
      </w:pPr>
      <w:r>
        <w:rPr>
          <w:sz w:val="20"/>
        </w:rPr>
        <w:t xml:space="preserve">Экономика района базируется на сельском хозяйстве. В районе имеется 10 предприятий и 32 крестьянских (фермерских) хозяйства. Важными предприятиями района являются:</w:t>
      </w:r>
    </w:p>
    <w:p>
      <w:pPr>
        <w:pStyle w:val="0"/>
        <w:spacing w:before="200" w:line-rule="auto"/>
        <w:ind w:firstLine="540"/>
        <w:jc w:val="both"/>
      </w:pPr>
      <w:r>
        <w:rPr>
          <w:sz w:val="20"/>
        </w:rPr>
        <w:t xml:space="preserve">ОАО "Кривец-сахар",</w:t>
      </w:r>
    </w:p>
    <w:p>
      <w:pPr>
        <w:pStyle w:val="0"/>
        <w:spacing w:before="200" w:line-rule="auto"/>
        <w:ind w:firstLine="540"/>
        <w:jc w:val="both"/>
      </w:pPr>
      <w:r>
        <w:rPr>
          <w:sz w:val="20"/>
        </w:rPr>
        <w:t xml:space="preserve">ООО "Луч",</w:t>
      </w:r>
    </w:p>
    <w:p>
      <w:pPr>
        <w:pStyle w:val="0"/>
        <w:spacing w:before="200" w:line-rule="auto"/>
        <w:ind w:firstLine="540"/>
        <w:jc w:val="both"/>
      </w:pPr>
      <w:r>
        <w:rPr>
          <w:sz w:val="20"/>
        </w:rPr>
        <w:t xml:space="preserve">ОАО "Ястребовское",</w:t>
      </w:r>
    </w:p>
    <w:p>
      <w:pPr>
        <w:pStyle w:val="0"/>
        <w:spacing w:before="200" w:line-rule="auto"/>
        <w:ind w:firstLine="540"/>
        <w:jc w:val="both"/>
      </w:pPr>
      <w:r>
        <w:rPr>
          <w:sz w:val="20"/>
        </w:rPr>
        <w:t xml:space="preserve">ООО "Кривецкие колбасы".</w:t>
      </w:r>
    </w:p>
    <w:p>
      <w:pPr>
        <w:pStyle w:val="0"/>
        <w:jc w:val="both"/>
      </w:pPr>
      <w:r>
        <w:rPr>
          <w:sz w:val="20"/>
        </w:rPr>
      </w:r>
    </w:p>
    <w:p>
      <w:pPr>
        <w:pStyle w:val="2"/>
        <w:outlineLvl w:val="2"/>
        <w:ind w:firstLine="540"/>
        <w:jc w:val="both"/>
      </w:pPr>
      <w:r>
        <w:rPr>
          <w:sz w:val="20"/>
        </w:rPr>
        <w:t xml:space="preserve">Солнцевский район</w:t>
      </w:r>
    </w:p>
    <w:p>
      <w:pPr>
        <w:pStyle w:val="0"/>
        <w:jc w:val="both"/>
      </w:pPr>
      <w:r>
        <w:rPr>
          <w:sz w:val="20"/>
        </w:rPr>
      </w:r>
    </w:p>
    <w:p>
      <w:pPr>
        <w:pStyle w:val="0"/>
        <w:ind w:firstLine="540"/>
        <w:jc w:val="both"/>
      </w:pPr>
      <w:r>
        <w:rPr>
          <w:sz w:val="20"/>
        </w:rPr>
        <w:t xml:space="preserve">Солнцевский район находится на юго-востоке Курской области. Его административным центром является поселок городского типа Солнцево (население - 4,1 тыс. человек). Совокупная численность населения района на 1 января 2019 года составляет 12,9 тыс. человек.</w:t>
      </w:r>
    </w:p>
    <w:p>
      <w:pPr>
        <w:pStyle w:val="0"/>
        <w:spacing w:before="200" w:line-rule="auto"/>
        <w:ind w:firstLine="540"/>
        <w:jc w:val="both"/>
      </w:pPr>
      <w:r>
        <w:rPr>
          <w:sz w:val="20"/>
        </w:rPr>
        <w:t xml:space="preserve">Солнцевский район имеет достаточно выгодное экономико-географическое положение. Расстояние от города Солнцево до Курска составляет менее 60 км. При этом город находится на железной дороге "Курск - Белгород".</w:t>
      </w:r>
    </w:p>
    <w:p>
      <w:pPr>
        <w:pStyle w:val="0"/>
        <w:spacing w:before="200" w:line-rule="auto"/>
        <w:ind w:firstLine="540"/>
        <w:jc w:val="both"/>
      </w:pPr>
      <w:r>
        <w:rPr>
          <w:sz w:val="20"/>
        </w:rPr>
        <w:t xml:space="preserve">В Солнцевском районе имеются типография, маслозавод, кирпично-известковый завод, лесное хозяйство, действует ООО "Хлебокомбинат Солнцевский".</w:t>
      </w:r>
    </w:p>
    <w:p>
      <w:pPr>
        <w:pStyle w:val="0"/>
        <w:jc w:val="both"/>
      </w:pPr>
      <w:r>
        <w:rPr>
          <w:sz w:val="20"/>
        </w:rPr>
      </w:r>
    </w:p>
    <w:p>
      <w:pPr>
        <w:pStyle w:val="2"/>
        <w:outlineLvl w:val="2"/>
        <w:ind w:firstLine="540"/>
        <w:jc w:val="both"/>
      </w:pPr>
      <w:r>
        <w:rPr>
          <w:sz w:val="20"/>
        </w:rPr>
        <w:t xml:space="preserve">Черемисиновский район</w:t>
      </w:r>
    </w:p>
    <w:p>
      <w:pPr>
        <w:pStyle w:val="0"/>
        <w:jc w:val="both"/>
      </w:pPr>
      <w:r>
        <w:rPr>
          <w:sz w:val="20"/>
        </w:rPr>
      </w:r>
    </w:p>
    <w:p>
      <w:pPr>
        <w:pStyle w:val="0"/>
        <w:ind w:firstLine="540"/>
        <w:jc w:val="both"/>
      </w:pPr>
      <w:r>
        <w:rPr>
          <w:sz w:val="20"/>
        </w:rPr>
        <w:t xml:space="preserve">Черемисиновский район находится на северо-востоке Курской области. Его административным центром является рабочий поселок Черемисиново (население - 3,4 тыс. человек). Совокупная численность населения района на 1 января 2019 года составляет 8,7 тыс. человек.</w:t>
      </w:r>
    </w:p>
    <w:p>
      <w:pPr>
        <w:pStyle w:val="0"/>
        <w:spacing w:before="200" w:line-rule="auto"/>
        <w:ind w:firstLine="540"/>
        <w:jc w:val="both"/>
      </w:pPr>
      <w:r>
        <w:rPr>
          <w:sz w:val="20"/>
        </w:rPr>
        <w:t xml:space="preserve">Черемисиновский район имеет достаточно выгодное экономико-географическое положение. Расстояние от рабочего поселка Черемисиново до Курска составляет около 85 км. Через город проходят как автомобильная, так и железная дороги (ветка Московской железной дороги "Киев - Курск - Воронеж").</w:t>
      </w:r>
    </w:p>
    <w:p>
      <w:pPr>
        <w:pStyle w:val="0"/>
        <w:spacing w:before="200" w:line-rule="auto"/>
        <w:ind w:firstLine="540"/>
        <w:jc w:val="both"/>
      </w:pPr>
      <w:r>
        <w:rPr>
          <w:sz w:val="20"/>
        </w:rPr>
        <w:t xml:space="preserve">В Черемисиновском районе имеются типография, нефтебаза, маслозавод, кирпичный завод, ООО "Курскзернопром".</w:t>
      </w:r>
    </w:p>
    <w:p>
      <w:pPr>
        <w:pStyle w:val="0"/>
        <w:jc w:val="both"/>
      </w:pPr>
      <w:r>
        <w:rPr>
          <w:sz w:val="20"/>
        </w:rPr>
      </w:r>
    </w:p>
    <w:p>
      <w:pPr>
        <w:pStyle w:val="2"/>
        <w:outlineLvl w:val="2"/>
        <w:ind w:firstLine="540"/>
        <w:jc w:val="both"/>
      </w:pPr>
      <w:r>
        <w:rPr>
          <w:sz w:val="20"/>
        </w:rPr>
        <w:t xml:space="preserve">Щигровский район</w:t>
      </w:r>
    </w:p>
    <w:p>
      <w:pPr>
        <w:pStyle w:val="0"/>
        <w:jc w:val="both"/>
      </w:pPr>
      <w:r>
        <w:rPr>
          <w:sz w:val="20"/>
        </w:rPr>
      </w:r>
    </w:p>
    <w:p>
      <w:pPr>
        <w:pStyle w:val="0"/>
        <w:ind w:firstLine="540"/>
        <w:jc w:val="both"/>
      </w:pPr>
      <w:r>
        <w:rPr>
          <w:sz w:val="20"/>
        </w:rPr>
        <w:t xml:space="preserve">Щигровский район находится на северо-востоке Курской области. Его административным центром является город Щигры. Совокупная численность населения района (без учета города Щигры, который является самостоятельным муниципальным образованием) на 1 января 2019 года составляет 9,8 тыс. человек.</w:t>
      </w:r>
    </w:p>
    <w:p>
      <w:pPr>
        <w:pStyle w:val="0"/>
        <w:spacing w:before="200" w:line-rule="auto"/>
        <w:ind w:firstLine="540"/>
        <w:jc w:val="both"/>
      </w:pPr>
      <w:r>
        <w:rPr>
          <w:sz w:val="20"/>
        </w:rPr>
        <w:t xml:space="preserve">Щигровский район граничит с Орловской областью. Имеется пригородное железнодорожное сообщение. Через район проходят ветки Московской железной дороги "Охочевка - Колпны" и "Курск - Касторная". На территории района находятся несколько железнодорожных станций.</w:t>
      </w:r>
    </w:p>
    <w:p>
      <w:pPr>
        <w:pStyle w:val="0"/>
        <w:spacing w:before="200" w:line-rule="auto"/>
        <w:ind w:firstLine="540"/>
        <w:jc w:val="both"/>
      </w:pPr>
      <w:r>
        <w:rPr>
          <w:sz w:val="20"/>
        </w:rPr>
        <w:t xml:space="preserve">На территории района проходит также автомобильная дорога регионального значения "Курск - Касторная".</w:t>
      </w:r>
    </w:p>
    <w:p>
      <w:pPr>
        <w:pStyle w:val="0"/>
        <w:spacing w:before="200" w:line-rule="auto"/>
        <w:ind w:firstLine="540"/>
        <w:jc w:val="both"/>
      </w:pPr>
      <w:r>
        <w:rPr>
          <w:sz w:val="20"/>
        </w:rPr>
        <w:t xml:space="preserve">В экономике Щигровского района ключевую роль играет сельское хозяйство. В районе выращиваются ячмень, пшеница, овес, гречиха, кукуруза, сахарная свекла. Промышленность сосредоточена в городе Щигры, который не входит в состав Щигровского района.</w:t>
      </w:r>
    </w:p>
    <w:p>
      <w:pPr>
        <w:pStyle w:val="0"/>
        <w:ind w:firstLine="540"/>
        <w:jc w:val="both"/>
      </w:pPr>
      <w:r>
        <w:rPr>
          <w:sz w:val="20"/>
        </w:rPr>
      </w:r>
    </w:p>
    <w:p>
      <w:pPr>
        <w:pStyle w:val="2"/>
        <w:outlineLvl w:val="2"/>
        <w:ind w:firstLine="540"/>
        <w:jc w:val="both"/>
      </w:pPr>
      <w:r>
        <w:rPr>
          <w:sz w:val="20"/>
        </w:rPr>
        <w:t xml:space="preserve">Большесолдатский район</w:t>
      </w:r>
    </w:p>
    <w:p>
      <w:pPr>
        <w:pStyle w:val="0"/>
        <w:ind w:firstLine="540"/>
        <w:jc w:val="both"/>
      </w:pPr>
      <w:r>
        <w:rPr>
          <w:sz w:val="20"/>
        </w:rPr>
      </w:r>
    </w:p>
    <w:p>
      <w:pPr>
        <w:pStyle w:val="0"/>
        <w:ind w:firstLine="540"/>
        <w:jc w:val="both"/>
      </w:pPr>
      <w:r>
        <w:rPr>
          <w:sz w:val="20"/>
        </w:rPr>
        <w:t xml:space="preserve">Большесолдатский район находится на юге Курской области. Его административным центром является село Большое Солдатское (население - 2,7 тыс. человек). Совокупная численность населения района на 1 января 2019 года составляет 10,7 тыс. человек.</w:t>
      </w:r>
    </w:p>
    <w:p>
      <w:pPr>
        <w:pStyle w:val="0"/>
        <w:spacing w:before="200" w:line-rule="auto"/>
        <w:ind w:firstLine="540"/>
        <w:jc w:val="both"/>
      </w:pPr>
      <w:r>
        <w:rPr>
          <w:sz w:val="20"/>
        </w:rPr>
        <w:t xml:space="preserve">Большесолдатский район имеет достаточно выгодное экономико-географическое положение. Расстояние от села Большое Солдатское до Курска составляет около 80 км. До ближайшей железнодорожной станции расстояние составляет 20 км.</w:t>
      </w:r>
    </w:p>
    <w:p>
      <w:pPr>
        <w:pStyle w:val="0"/>
        <w:spacing w:before="200" w:line-rule="auto"/>
        <w:ind w:firstLine="540"/>
        <w:jc w:val="both"/>
      </w:pPr>
      <w:r>
        <w:rPr>
          <w:sz w:val="20"/>
        </w:rPr>
        <w:t xml:space="preserve">Крупное предприятие - сахарный завод филиал Любимовский ООО "КурскСахарПром".</w:t>
      </w:r>
    </w:p>
    <w:p>
      <w:pPr>
        <w:pStyle w:val="0"/>
        <w:jc w:val="both"/>
      </w:pPr>
      <w:r>
        <w:rPr>
          <w:sz w:val="20"/>
        </w:rPr>
      </w:r>
    </w:p>
    <w:p>
      <w:pPr>
        <w:pStyle w:val="2"/>
        <w:outlineLvl w:val="2"/>
        <w:ind w:firstLine="540"/>
        <w:jc w:val="both"/>
      </w:pPr>
      <w:r>
        <w:rPr>
          <w:sz w:val="20"/>
        </w:rPr>
        <w:t xml:space="preserve">Тимский район</w:t>
      </w:r>
    </w:p>
    <w:p>
      <w:pPr>
        <w:pStyle w:val="0"/>
        <w:jc w:val="both"/>
      </w:pPr>
      <w:r>
        <w:rPr>
          <w:sz w:val="20"/>
        </w:rPr>
      </w:r>
    </w:p>
    <w:p>
      <w:pPr>
        <w:pStyle w:val="0"/>
        <w:ind w:firstLine="540"/>
        <w:jc w:val="both"/>
      </w:pPr>
      <w:r>
        <w:rPr>
          <w:sz w:val="20"/>
        </w:rPr>
        <w:t xml:space="preserve">Тимский район находится на восточной части Курской области, его административным центром является рабочий поселок Тим. Общая численность населения района на 1 января 2019 года составляет 10,6 тыс. человек.</w:t>
      </w:r>
    </w:p>
    <w:p>
      <w:pPr>
        <w:pStyle w:val="0"/>
        <w:spacing w:before="200" w:line-rule="auto"/>
        <w:ind w:firstLine="540"/>
        <w:jc w:val="both"/>
      </w:pPr>
      <w:r>
        <w:rPr>
          <w:sz w:val="20"/>
        </w:rPr>
        <w:t xml:space="preserve">Через район проходят автомагистрали "Щигры - Губкин" и "Курск - Воронеж". Поселок Тим находится в 35 км от железнодорожной станции Щигры. Расстояние Тим - Курск составляет 75 км.</w:t>
      </w:r>
    </w:p>
    <w:p>
      <w:pPr>
        <w:pStyle w:val="0"/>
        <w:spacing w:before="200" w:line-rule="auto"/>
        <w:ind w:firstLine="540"/>
        <w:jc w:val="both"/>
      </w:pPr>
      <w:r>
        <w:rPr>
          <w:sz w:val="20"/>
        </w:rPr>
        <w:t xml:space="preserve">В районе действует асфальтовый завод.</w:t>
      </w:r>
    </w:p>
    <w:p>
      <w:pPr>
        <w:pStyle w:val="0"/>
        <w:jc w:val="both"/>
      </w:pPr>
      <w:r>
        <w:rPr>
          <w:sz w:val="20"/>
        </w:rPr>
      </w:r>
    </w:p>
    <w:p>
      <w:pPr>
        <w:pStyle w:val="2"/>
        <w:outlineLvl w:val="2"/>
        <w:ind w:firstLine="540"/>
        <w:jc w:val="both"/>
      </w:pPr>
      <w:r>
        <w:rPr>
          <w:sz w:val="20"/>
        </w:rPr>
        <w:t xml:space="preserve">Хомутовский район</w:t>
      </w:r>
    </w:p>
    <w:p>
      <w:pPr>
        <w:pStyle w:val="0"/>
        <w:jc w:val="both"/>
      </w:pPr>
      <w:r>
        <w:rPr>
          <w:sz w:val="20"/>
        </w:rPr>
      </w:r>
    </w:p>
    <w:p>
      <w:pPr>
        <w:pStyle w:val="0"/>
        <w:ind w:firstLine="540"/>
        <w:jc w:val="both"/>
      </w:pPr>
      <w:r>
        <w:rPr>
          <w:sz w:val="20"/>
        </w:rPr>
        <w:t xml:space="preserve">Хомутовский район находится на западе Курской области, его административным центром является поселок городского типа Хомутовка. Общая численность населения района на 1 января 2019 года составляет 8,7 тыс. человек.</w:t>
      </w:r>
    </w:p>
    <w:p>
      <w:pPr>
        <w:pStyle w:val="0"/>
        <w:spacing w:before="200" w:line-rule="auto"/>
        <w:ind w:firstLine="540"/>
        <w:jc w:val="both"/>
      </w:pPr>
      <w:r>
        <w:rPr>
          <w:sz w:val="20"/>
        </w:rPr>
        <w:t xml:space="preserve">Хомутовский район граничит с Брянской областью и с Украиной, через него проходят автомобильные дороги М3 и А142. Поселок городского типа Хомутовка находится в 55 км от железнодорожной станции Дмитриев-Льговский. Расстояние от Хомутовки до Курска составляет 116 км.</w:t>
      </w:r>
    </w:p>
    <w:p>
      <w:pPr>
        <w:pStyle w:val="0"/>
        <w:spacing w:before="200" w:line-rule="auto"/>
        <w:ind w:firstLine="540"/>
        <w:jc w:val="both"/>
      </w:pPr>
      <w:r>
        <w:rPr>
          <w:sz w:val="20"/>
        </w:rPr>
        <w:t xml:space="preserve">Ключевой отраслью района является сельское хозяйство.</w:t>
      </w:r>
    </w:p>
    <w:p>
      <w:pPr>
        <w:pStyle w:val="0"/>
        <w:jc w:val="both"/>
      </w:pPr>
      <w:r>
        <w:rPr>
          <w:sz w:val="20"/>
        </w:rPr>
      </w:r>
    </w:p>
    <w:p>
      <w:pPr>
        <w:pStyle w:val="2"/>
        <w:outlineLvl w:val="2"/>
        <w:ind w:firstLine="540"/>
        <w:jc w:val="both"/>
      </w:pPr>
      <w:r>
        <w:rPr>
          <w:sz w:val="20"/>
        </w:rPr>
        <w:t xml:space="preserve">Льговский район</w:t>
      </w:r>
    </w:p>
    <w:p>
      <w:pPr>
        <w:pStyle w:val="0"/>
        <w:jc w:val="both"/>
      </w:pPr>
      <w:r>
        <w:rPr>
          <w:sz w:val="20"/>
        </w:rPr>
      </w:r>
    </w:p>
    <w:p>
      <w:pPr>
        <w:pStyle w:val="0"/>
        <w:ind w:firstLine="540"/>
        <w:jc w:val="both"/>
      </w:pPr>
      <w:r>
        <w:rPr>
          <w:sz w:val="20"/>
        </w:rPr>
        <w:t xml:space="preserve">Льговский район находится в центральной части Курской области, его административным центром является город Льгов. Общая численность населения района на 1 января 2019 года составляет 11,3 тыс. человек.</w:t>
      </w:r>
    </w:p>
    <w:p>
      <w:pPr>
        <w:pStyle w:val="0"/>
        <w:spacing w:before="200" w:line-rule="auto"/>
        <w:ind w:firstLine="540"/>
        <w:jc w:val="both"/>
      </w:pPr>
      <w:r>
        <w:rPr>
          <w:sz w:val="20"/>
        </w:rPr>
        <w:t xml:space="preserve">Из Льговского района можно доехать по железной дороге без пересадок до таких городов, как Орел, Брянск, Курск, Воронеж.</w:t>
      </w:r>
    </w:p>
    <w:p>
      <w:pPr>
        <w:pStyle w:val="0"/>
        <w:spacing w:before="200" w:line-rule="auto"/>
        <w:ind w:firstLine="540"/>
        <w:jc w:val="both"/>
      </w:pPr>
      <w:r>
        <w:rPr>
          <w:sz w:val="20"/>
        </w:rPr>
        <w:t xml:space="preserve">Ключевой отраслью района является сельское хозяйство.</w:t>
      </w:r>
    </w:p>
    <w:p>
      <w:pPr>
        <w:pStyle w:val="0"/>
        <w:spacing w:before="200" w:line-rule="auto"/>
        <w:ind w:firstLine="540"/>
        <w:jc w:val="both"/>
      </w:pPr>
      <w:r>
        <w:rPr>
          <w:sz w:val="20"/>
        </w:rPr>
        <w:t xml:space="preserve">Крупное предприятие - ООО "Курский пекарь" (хлебопекарное предприятие компания ООО "Европан").</w:t>
      </w:r>
    </w:p>
    <w:p>
      <w:pPr>
        <w:pStyle w:val="0"/>
        <w:jc w:val="both"/>
      </w:pPr>
      <w:r>
        <w:rPr>
          <w:sz w:val="20"/>
        </w:rPr>
      </w:r>
    </w:p>
    <w:p>
      <w:pPr>
        <w:pStyle w:val="2"/>
        <w:outlineLvl w:val="2"/>
        <w:ind w:firstLine="540"/>
        <w:jc w:val="both"/>
      </w:pPr>
      <w:r>
        <w:rPr>
          <w:sz w:val="20"/>
        </w:rPr>
        <w:t xml:space="preserve">Октябрьский район</w:t>
      </w:r>
    </w:p>
    <w:p>
      <w:pPr>
        <w:pStyle w:val="0"/>
        <w:jc w:val="both"/>
      </w:pPr>
      <w:r>
        <w:rPr>
          <w:sz w:val="20"/>
        </w:rPr>
      </w:r>
    </w:p>
    <w:p>
      <w:pPr>
        <w:pStyle w:val="0"/>
        <w:ind w:firstLine="540"/>
        <w:jc w:val="both"/>
      </w:pPr>
      <w:r>
        <w:rPr>
          <w:sz w:val="20"/>
        </w:rPr>
        <w:t xml:space="preserve">Октябрьский район находится в центральной части Курской области, его административным центром является поселок городского типа Прямицыно. Общая численность населения района на 1 января 2019 года составляет 24,3 тыс. человек.</w:t>
      </w:r>
    </w:p>
    <w:p>
      <w:pPr>
        <w:pStyle w:val="0"/>
        <w:spacing w:before="200" w:line-rule="auto"/>
        <w:ind w:firstLine="540"/>
        <w:jc w:val="both"/>
      </w:pPr>
      <w:r>
        <w:rPr>
          <w:sz w:val="20"/>
        </w:rPr>
        <w:t xml:space="preserve">Через Октябрьский район проходит ветка Московской железной дороги "Курск - Льгов".</w:t>
      </w:r>
    </w:p>
    <w:p>
      <w:pPr>
        <w:pStyle w:val="0"/>
        <w:spacing w:before="200" w:line-rule="auto"/>
        <w:ind w:firstLine="540"/>
        <w:jc w:val="both"/>
      </w:pPr>
      <w:r>
        <w:rPr>
          <w:sz w:val="20"/>
        </w:rPr>
        <w:t xml:space="preserve">Крупное предприятие - ООО "Молочный дом".</w:t>
      </w:r>
    </w:p>
    <w:p>
      <w:pPr>
        <w:pStyle w:val="0"/>
        <w:jc w:val="both"/>
      </w:pPr>
      <w:r>
        <w:rPr>
          <w:sz w:val="20"/>
        </w:rPr>
      </w:r>
    </w:p>
    <w:p>
      <w:pPr>
        <w:pStyle w:val="2"/>
        <w:outlineLvl w:val="2"/>
        <w:ind w:firstLine="540"/>
        <w:jc w:val="both"/>
      </w:pPr>
      <w:r>
        <w:rPr>
          <w:sz w:val="20"/>
        </w:rPr>
        <w:t xml:space="preserve">Курчатовский район</w:t>
      </w:r>
    </w:p>
    <w:p>
      <w:pPr>
        <w:pStyle w:val="0"/>
        <w:jc w:val="both"/>
      </w:pPr>
      <w:r>
        <w:rPr>
          <w:sz w:val="20"/>
        </w:rPr>
      </w:r>
    </w:p>
    <w:p>
      <w:pPr>
        <w:pStyle w:val="0"/>
        <w:ind w:firstLine="540"/>
        <w:jc w:val="both"/>
      </w:pPr>
      <w:r>
        <w:rPr>
          <w:sz w:val="20"/>
        </w:rPr>
        <w:t xml:space="preserve">Курчатовский район находится в центральной части Курской области, его административным центром является город Курчатов, который является отдельным муниципальным образованием. Общая численность населения района на 1 января 2019 года составляет 18,0 тыс. человек.</w:t>
      </w:r>
    </w:p>
    <w:p>
      <w:pPr>
        <w:pStyle w:val="0"/>
        <w:spacing w:before="200" w:line-rule="auto"/>
        <w:ind w:firstLine="540"/>
        <w:jc w:val="both"/>
      </w:pPr>
      <w:r>
        <w:rPr>
          <w:sz w:val="20"/>
        </w:rPr>
        <w:t xml:space="preserve">Крупное предприятие - ООО "Лукашевское ХПП".</w:t>
      </w:r>
    </w:p>
    <w:p>
      <w:pPr>
        <w:pStyle w:val="0"/>
        <w:jc w:val="both"/>
      </w:pPr>
      <w:r>
        <w:rPr>
          <w:sz w:val="20"/>
        </w:rPr>
      </w:r>
    </w:p>
    <w:p>
      <w:pPr>
        <w:pStyle w:val="2"/>
        <w:outlineLvl w:val="2"/>
        <w:ind w:firstLine="540"/>
        <w:jc w:val="both"/>
      </w:pPr>
      <w:r>
        <w:rPr>
          <w:sz w:val="20"/>
        </w:rPr>
        <w:t xml:space="preserve">Поныровский район</w:t>
      </w:r>
    </w:p>
    <w:p>
      <w:pPr>
        <w:pStyle w:val="0"/>
        <w:jc w:val="both"/>
      </w:pPr>
      <w:r>
        <w:rPr>
          <w:sz w:val="20"/>
        </w:rPr>
      </w:r>
    </w:p>
    <w:p>
      <w:pPr>
        <w:pStyle w:val="0"/>
        <w:ind w:firstLine="540"/>
        <w:jc w:val="both"/>
      </w:pPr>
      <w:r>
        <w:rPr>
          <w:sz w:val="20"/>
        </w:rPr>
        <w:t xml:space="preserve">Поныровский район находится в северной части Курской области, его административным центром является поселок городского типа Поныри. Общая численность населения района на 1 января 2019 года составляет 10,6 тыс. человек.</w:t>
      </w:r>
    </w:p>
    <w:p>
      <w:pPr>
        <w:pStyle w:val="0"/>
        <w:spacing w:before="200" w:line-rule="auto"/>
        <w:ind w:firstLine="540"/>
        <w:jc w:val="both"/>
      </w:pPr>
      <w:r>
        <w:rPr>
          <w:sz w:val="20"/>
        </w:rPr>
        <w:t xml:space="preserve">Через Поныровский район проходит железная дорога "Курск - Орел".</w:t>
      </w:r>
    </w:p>
    <w:p>
      <w:pPr>
        <w:pStyle w:val="0"/>
        <w:spacing w:before="200" w:line-rule="auto"/>
        <w:ind w:firstLine="540"/>
        <w:jc w:val="both"/>
      </w:pPr>
      <w:r>
        <w:rPr>
          <w:sz w:val="20"/>
        </w:rPr>
        <w:t xml:space="preserve">Действует ОАО "Луч" (молокоперерабатывающее предприятие).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Стратегии социально-экономического</w:t>
      </w:r>
    </w:p>
    <w:p>
      <w:pPr>
        <w:pStyle w:val="0"/>
        <w:jc w:val="right"/>
      </w:pPr>
      <w:r>
        <w:rPr>
          <w:sz w:val="20"/>
        </w:rPr>
        <w:t xml:space="preserve">развития Курской области на период</w:t>
      </w:r>
    </w:p>
    <w:p>
      <w:pPr>
        <w:pStyle w:val="0"/>
        <w:jc w:val="right"/>
      </w:pPr>
      <w:r>
        <w:rPr>
          <w:sz w:val="20"/>
        </w:rPr>
        <w:t xml:space="preserve">до 2030 года</w:t>
      </w:r>
    </w:p>
    <w:p>
      <w:pPr>
        <w:pStyle w:val="0"/>
        <w:jc w:val="both"/>
      </w:pPr>
      <w:r>
        <w:rPr>
          <w:sz w:val="20"/>
        </w:rPr>
      </w:r>
    </w:p>
    <w:bookmarkStart w:id="5447" w:name="P5447"/>
    <w:bookmarkEnd w:id="5447"/>
    <w:p>
      <w:pPr>
        <w:pStyle w:val="2"/>
        <w:jc w:val="center"/>
      </w:pPr>
      <w:r>
        <w:rPr>
          <w:sz w:val="20"/>
        </w:rPr>
        <w:t xml:space="preserve">ПРОЕКТЫ, ПРОШЕДШИЕ ОТБОР В РАМКАХ РАБОТЫ</w:t>
      </w:r>
    </w:p>
    <w:p>
      <w:pPr>
        <w:pStyle w:val="2"/>
        <w:jc w:val="center"/>
      </w:pPr>
      <w:r>
        <w:rPr>
          <w:sz w:val="20"/>
        </w:rPr>
        <w:t xml:space="preserve">"МАСТЕРСКИХ ПРОЕКТОВ"</w:t>
      </w:r>
    </w:p>
    <w:p>
      <w:pPr>
        <w:pStyle w:val="0"/>
        <w:jc w:val="both"/>
      </w:pPr>
      <w:r>
        <w:rPr>
          <w:sz w:val="20"/>
        </w:rPr>
      </w:r>
    </w:p>
    <w:p>
      <w:pPr>
        <w:pStyle w:val="0"/>
        <w:ind w:firstLine="540"/>
        <w:jc w:val="both"/>
      </w:pPr>
      <w:r>
        <w:rPr>
          <w:sz w:val="20"/>
        </w:rPr>
        <w:t xml:space="preserve">В таблице ниже представлены проекты, предложенные и прошедшие отбор в рамках работы "Мастерских проектов" по пяти основным направлениям: "Здоровье и здравоохранение", "Безопасные и качественные дороги", "Конкурентоспособная и диверсифицированная экономика", "Комфортная городская среда", "Образование и таланты".</w:t>
      </w:r>
    </w:p>
    <w:p>
      <w:pPr>
        <w:pStyle w:val="0"/>
        <w:jc w:val="both"/>
      </w:pPr>
      <w:r>
        <w:rPr>
          <w:sz w:val="20"/>
        </w:rPr>
      </w:r>
    </w:p>
    <w:p>
      <w:pPr>
        <w:pStyle w:val="0"/>
        <w:outlineLvl w:val="2"/>
        <w:jc w:val="right"/>
      </w:pPr>
      <w:r>
        <w:rPr>
          <w:sz w:val="20"/>
        </w:rPr>
        <w:t xml:space="preserve">Таблица</w:t>
      </w:r>
    </w:p>
    <w:p>
      <w:pPr>
        <w:pStyle w:val="0"/>
        <w:jc w:val="both"/>
      </w:pPr>
      <w:r>
        <w:rPr>
          <w:sz w:val="20"/>
        </w:rPr>
      </w:r>
    </w:p>
    <w:p>
      <w:pPr>
        <w:pStyle w:val="2"/>
        <w:jc w:val="center"/>
      </w:pPr>
      <w:r>
        <w:rPr>
          <w:sz w:val="20"/>
        </w:rPr>
        <w:t xml:space="preserve">Проекты "Мастерских проектов"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3572"/>
        <w:gridCol w:w="2721"/>
      </w:tblGrid>
      <w:tr>
        <w:tc>
          <w:tcPr>
            <w:tcW w:w="2778" w:type="dxa"/>
          </w:tcPr>
          <w:p>
            <w:pPr>
              <w:pStyle w:val="0"/>
              <w:jc w:val="center"/>
            </w:pPr>
            <w:r>
              <w:rPr>
                <w:sz w:val="20"/>
              </w:rPr>
              <w:t xml:space="preserve">Наименование мастерской проектов</w:t>
            </w:r>
          </w:p>
        </w:tc>
        <w:tc>
          <w:tcPr>
            <w:tcW w:w="3572" w:type="dxa"/>
          </w:tcPr>
          <w:p>
            <w:pPr>
              <w:pStyle w:val="0"/>
              <w:jc w:val="center"/>
            </w:pPr>
            <w:r>
              <w:rPr>
                <w:sz w:val="20"/>
              </w:rPr>
              <w:t xml:space="preserve">Наименование проектов</w:t>
            </w:r>
          </w:p>
        </w:tc>
        <w:tc>
          <w:tcPr>
            <w:tcW w:w="2721" w:type="dxa"/>
          </w:tcPr>
          <w:p>
            <w:pPr>
              <w:pStyle w:val="0"/>
              <w:jc w:val="center"/>
            </w:pPr>
            <w:r>
              <w:rPr>
                <w:sz w:val="20"/>
              </w:rPr>
              <w:t xml:space="preserve">Результаты</w:t>
            </w:r>
          </w:p>
        </w:tc>
      </w:tr>
      <w:tr>
        <w:tc>
          <w:tcPr>
            <w:tcW w:w="2778" w:type="dxa"/>
          </w:tcPr>
          <w:p>
            <w:pPr>
              <w:pStyle w:val="0"/>
            </w:pPr>
            <w:r>
              <w:rPr>
                <w:sz w:val="20"/>
              </w:rPr>
              <w:t xml:space="preserve">Конкурентоспособная и диверсифицированная экономика</w:t>
            </w:r>
          </w:p>
        </w:tc>
        <w:tc>
          <w:tcPr>
            <w:tcW w:w="3572" w:type="dxa"/>
          </w:tcPr>
          <w:p>
            <w:pPr>
              <w:pStyle w:val="0"/>
            </w:pPr>
            <w:r>
              <w:rPr>
                <w:sz w:val="20"/>
              </w:rPr>
              <w:t xml:space="preserve">"Создание единого центра управления в предпринимательстве";</w:t>
            </w:r>
          </w:p>
          <w:p>
            <w:pPr>
              <w:pStyle w:val="0"/>
            </w:pPr>
            <w:r>
              <w:rPr>
                <w:sz w:val="20"/>
              </w:rPr>
              <w:t xml:space="preserve">"Создание распределительных центров, кооперативных магазинов, ярмарок выходного дня"</w:t>
            </w:r>
          </w:p>
        </w:tc>
        <w:tc>
          <w:tcPr>
            <w:tcW w:w="2721" w:type="dxa"/>
          </w:tcPr>
          <w:p>
            <w:pPr>
              <w:pStyle w:val="0"/>
            </w:pPr>
            <w:r>
              <w:rPr>
                <w:sz w:val="20"/>
              </w:rPr>
              <w:t xml:space="preserve">Формирование бюджета развития Курской области в объеме 5%;</w:t>
            </w:r>
          </w:p>
          <w:p>
            <w:pPr>
              <w:pStyle w:val="0"/>
            </w:pPr>
            <w:r>
              <w:rPr>
                <w:sz w:val="20"/>
              </w:rPr>
              <w:t xml:space="preserve">увеличение доли снабженческих кооперативов с 1% до 10%</w:t>
            </w:r>
          </w:p>
        </w:tc>
      </w:tr>
      <w:tr>
        <w:tc>
          <w:tcPr>
            <w:tcW w:w="2778" w:type="dxa"/>
          </w:tcPr>
          <w:p>
            <w:pPr>
              <w:pStyle w:val="0"/>
            </w:pPr>
            <w:r>
              <w:rPr>
                <w:sz w:val="20"/>
              </w:rPr>
              <w:t xml:space="preserve">Комфортная городская среда</w:t>
            </w:r>
          </w:p>
        </w:tc>
        <w:tc>
          <w:tcPr>
            <w:tcW w:w="3572" w:type="dxa"/>
          </w:tcPr>
          <w:p>
            <w:pPr>
              <w:pStyle w:val="0"/>
            </w:pPr>
            <w:r>
              <w:rPr>
                <w:sz w:val="20"/>
              </w:rPr>
              <w:t xml:space="preserve">"Создание Ресурсного центра (Ассоциации) для развития и совершенствования системы территориального общественного самоуправления Курской области, в том числе МКД";</w:t>
            </w:r>
          </w:p>
          <w:p>
            <w:pPr>
              <w:pStyle w:val="0"/>
            </w:pPr>
            <w:r>
              <w:rPr>
                <w:sz w:val="20"/>
              </w:rPr>
              <w:t xml:space="preserve">"Прямое цифровое участие в управлении территорией";</w:t>
            </w:r>
          </w:p>
          <w:p>
            <w:pPr>
              <w:pStyle w:val="0"/>
            </w:pPr>
            <w:r>
              <w:rPr>
                <w:sz w:val="20"/>
              </w:rPr>
              <w:t xml:space="preserve">"Программа переподготовки сотрудников ОМСУ "Наставник". Модель шефства "Перемены к лучшему начинаются с меня";</w:t>
            </w:r>
          </w:p>
          <w:p>
            <w:pPr>
              <w:pStyle w:val="0"/>
            </w:pPr>
            <w:r>
              <w:rPr>
                <w:sz w:val="20"/>
              </w:rPr>
              <w:t xml:space="preserve">"Универсальная зона семейного отдыха и досуга микрорайона";</w:t>
            </w:r>
          </w:p>
          <w:p>
            <w:pPr>
              <w:pStyle w:val="0"/>
            </w:pPr>
            <w:r>
              <w:rPr>
                <w:sz w:val="20"/>
              </w:rPr>
              <w:t xml:space="preserve">"Привлечение людей для самореализации на городских объектах через стрит-арт";</w:t>
            </w:r>
          </w:p>
          <w:p>
            <w:pPr>
              <w:pStyle w:val="0"/>
            </w:pPr>
            <w:r>
              <w:rPr>
                <w:sz w:val="20"/>
              </w:rPr>
              <w:t xml:space="preserve">"Дизайн-код городов Курской области";</w:t>
            </w:r>
          </w:p>
          <w:p>
            <w:pPr>
              <w:pStyle w:val="0"/>
            </w:pPr>
            <w:r>
              <w:rPr>
                <w:sz w:val="20"/>
              </w:rPr>
              <w:t xml:space="preserve">"Креативный кластер";</w:t>
            </w:r>
          </w:p>
          <w:p>
            <w:pPr>
              <w:pStyle w:val="0"/>
            </w:pPr>
            <w:r>
              <w:rPr>
                <w:sz w:val="20"/>
              </w:rPr>
              <w:t xml:space="preserve">"Открытие Дворца семейных торжеств";</w:t>
            </w:r>
          </w:p>
          <w:p>
            <w:pPr>
              <w:pStyle w:val="0"/>
            </w:pPr>
            <w:r>
              <w:rPr>
                <w:sz w:val="20"/>
              </w:rPr>
              <w:t xml:space="preserve">"Децентрализация теплоснабжения";</w:t>
            </w:r>
          </w:p>
          <w:p>
            <w:pPr>
              <w:pStyle w:val="0"/>
            </w:pPr>
            <w:r>
              <w:rPr>
                <w:sz w:val="20"/>
              </w:rPr>
              <w:t xml:space="preserve">"Молодежный многофункциональный центр "КиберМир";</w:t>
            </w:r>
          </w:p>
          <w:p>
            <w:pPr>
              <w:pStyle w:val="0"/>
            </w:pPr>
            <w:r>
              <w:rPr>
                <w:sz w:val="20"/>
              </w:rPr>
              <w:t xml:space="preserve">"Исторический фестиваль "Древний Курск";</w:t>
            </w:r>
          </w:p>
          <w:p>
            <w:pPr>
              <w:pStyle w:val="0"/>
            </w:pPr>
            <w:r>
              <w:rPr>
                <w:sz w:val="20"/>
              </w:rPr>
              <w:t xml:space="preserve">"Создание экопарковок";</w:t>
            </w:r>
          </w:p>
          <w:p>
            <w:pPr>
              <w:pStyle w:val="0"/>
            </w:pPr>
            <w:r>
              <w:rPr>
                <w:sz w:val="20"/>
              </w:rPr>
              <w:t xml:space="preserve">"Локализация и ликвидация очагов опасных растений (амброзии и борщевика Сосновского)";</w:t>
            </w:r>
          </w:p>
          <w:p>
            <w:pPr>
              <w:pStyle w:val="0"/>
            </w:pPr>
            <w:r>
              <w:rPr>
                <w:sz w:val="20"/>
              </w:rPr>
              <w:t xml:space="preserve">"Оснащение эффективного экологического надзора";</w:t>
            </w:r>
          </w:p>
          <w:p>
            <w:pPr>
              <w:pStyle w:val="0"/>
            </w:pPr>
            <w:r>
              <w:rPr>
                <w:sz w:val="20"/>
              </w:rPr>
              <w:t xml:space="preserve">"Установка автоматов по сбору пластиковых бутылок и алюминиевых банок";</w:t>
            </w:r>
          </w:p>
          <w:p>
            <w:pPr>
              <w:pStyle w:val="0"/>
            </w:pPr>
            <w:r>
              <w:rPr>
                <w:sz w:val="20"/>
              </w:rPr>
              <w:t xml:space="preserve">"Эколекториум "Человек и природа в современном мире"</w:t>
            </w:r>
          </w:p>
        </w:tc>
        <w:tc>
          <w:tcPr>
            <w:tcW w:w="2721" w:type="dxa"/>
          </w:tcPr>
          <w:p>
            <w:pPr>
              <w:pStyle w:val="0"/>
            </w:pPr>
            <w:r>
              <w:rPr>
                <w:sz w:val="20"/>
              </w:rPr>
              <w:t xml:space="preserve">Увеличение доли жителей, принимающих участие в управлении территориями при помощи цифровых технологий до 60%;</w:t>
            </w:r>
          </w:p>
          <w:p>
            <w:pPr>
              <w:pStyle w:val="0"/>
            </w:pPr>
            <w:r>
              <w:rPr>
                <w:sz w:val="20"/>
              </w:rPr>
              <w:t xml:space="preserve">создание городской среды, удовлетворяющей более половины населения;</w:t>
            </w:r>
          </w:p>
          <w:p>
            <w:pPr>
              <w:pStyle w:val="0"/>
            </w:pPr>
            <w:r>
              <w:rPr>
                <w:sz w:val="20"/>
              </w:rPr>
              <w:t xml:space="preserve">снижение уровня экологически обусловленных заболеваний на 20%</w:t>
            </w:r>
          </w:p>
        </w:tc>
      </w:tr>
      <w:tr>
        <w:tc>
          <w:tcPr>
            <w:tcW w:w="2778" w:type="dxa"/>
          </w:tcPr>
          <w:p>
            <w:pPr>
              <w:pStyle w:val="0"/>
            </w:pPr>
            <w:r>
              <w:rPr>
                <w:sz w:val="20"/>
              </w:rPr>
              <w:t xml:space="preserve">Безопасные и качественные автомобильные дороги</w:t>
            </w:r>
          </w:p>
        </w:tc>
        <w:tc>
          <w:tcPr>
            <w:tcW w:w="3572" w:type="dxa"/>
          </w:tcPr>
          <w:p>
            <w:pPr>
              <w:pStyle w:val="0"/>
            </w:pPr>
            <w:r>
              <w:rPr>
                <w:sz w:val="20"/>
              </w:rPr>
              <w:t xml:space="preserve">"Оптимизация и модернизация сети общественного транспорта, дорог и парковок";</w:t>
            </w:r>
          </w:p>
          <w:p>
            <w:pPr>
              <w:pStyle w:val="0"/>
            </w:pPr>
            <w:r>
              <w:rPr>
                <w:sz w:val="20"/>
              </w:rPr>
              <w:t xml:space="preserve">"Центр управления процессами в дорожной отрасли региона";</w:t>
            </w:r>
          </w:p>
          <w:p>
            <w:pPr>
              <w:pStyle w:val="0"/>
            </w:pPr>
            <w:r>
              <w:rPr>
                <w:sz w:val="20"/>
              </w:rPr>
              <w:t xml:space="preserve">"Ответственность за содержание дорог в нормативном состоянии";</w:t>
            </w:r>
          </w:p>
          <w:p>
            <w:pPr>
              <w:pStyle w:val="0"/>
            </w:pPr>
            <w:r>
              <w:rPr>
                <w:sz w:val="20"/>
              </w:rPr>
              <w:t xml:space="preserve">"Единый заказ в дорогах Курской области";</w:t>
            </w:r>
          </w:p>
          <w:p>
            <w:pPr>
              <w:pStyle w:val="0"/>
            </w:pPr>
            <w:r>
              <w:rPr>
                <w:sz w:val="20"/>
              </w:rPr>
              <w:t xml:space="preserve">"Средства пассивной безопасности";</w:t>
            </w:r>
          </w:p>
          <w:p>
            <w:pPr>
              <w:pStyle w:val="0"/>
            </w:pPr>
            <w:r>
              <w:rPr>
                <w:sz w:val="20"/>
              </w:rPr>
              <w:t xml:space="preserve">"Системное повышение безопасности и эффективности использования дорог Курской области";</w:t>
            </w:r>
          </w:p>
          <w:p>
            <w:pPr>
              <w:pStyle w:val="0"/>
            </w:pPr>
            <w:r>
              <w:rPr>
                <w:sz w:val="20"/>
              </w:rPr>
              <w:t xml:space="preserve">"Дороги за налоги";</w:t>
            </w:r>
          </w:p>
          <w:p>
            <w:pPr>
              <w:pStyle w:val="0"/>
            </w:pPr>
            <w:r>
              <w:rPr>
                <w:sz w:val="20"/>
              </w:rPr>
              <w:t xml:space="preserve">"Современные технологии строительства, ремонта и содержания дорог";</w:t>
            </w:r>
          </w:p>
          <w:p>
            <w:pPr>
              <w:pStyle w:val="0"/>
            </w:pPr>
            <w:r>
              <w:rPr>
                <w:sz w:val="20"/>
              </w:rPr>
              <w:t xml:space="preserve">"Информационная система "Общественный мониторинг дорог";</w:t>
            </w:r>
          </w:p>
          <w:p>
            <w:pPr>
              <w:pStyle w:val="0"/>
            </w:pPr>
            <w:r>
              <w:rPr>
                <w:sz w:val="20"/>
              </w:rPr>
              <w:t xml:space="preserve">"Создание центра организации дорожного движения"</w:t>
            </w:r>
          </w:p>
        </w:tc>
        <w:tc>
          <w:tcPr>
            <w:tcW w:w="2721" w:type="dxa"/>
          </w:tcPr>
          <w:p>
            <w:pPr>
              <w:pStyle w:val="0"/>
            </w:pPr>
            <w:r>
              <w:rPr>
                <w:sz w:val="20"/>
              </w:rPr>
              <w:t xml:space="preserve">Рост удовлетворенности населения дорожной инфраструктурой;</w:t>
            </w:r>
          </w:p>
          <w:p>
            <w:pPr>
              <w:pStyle w:val="0"/>
            </w:pPr>
            <w:r>
              <w:rPr>
                <w:sz w:val="20"/>
              </w:rPr>
              <w:t xml:space="preserve">рост количества автодорог в нормативном состоянии;</w:t>
            </w:r>
          </w:p>
          <w:p>
            <w:pPr>
              <w:pStyle w:val="0"/>
            </w:pPr>
            <w:r>
              <w:rPr>
                <w:sz w:val="20"/>
              </w:rPr>
              <w:t xml:space="preserve">снижение смертности на дорогах в 3,5 раза;</w:t>
            </w:r>
          </w:p>
          <w:p>
            <w:pPr>
              <w:pStyle w:val="0"/>
            </w:pPr>
            <w:r>
              <w:rPr>
                <w:sz w:val="20"/>
              </w:rPr>
              <w:t xml:space="preserve">снижение количества мест концентрации ДТП в 2 раза;</w:t>
            </w:r>
          </w:p>
          <w:p>
            <w:pPr>
              <w:pStyle w:val="0"/>
            </w:pPr>
            <w:r>
              <w:rPr>
                <w:sz w:val="20"/>
              </w:rPr>
              <w:t xml:space="preserve">рост эффективности использования бюджетных средств</w:t>
            </w:r>
          </w:p>
        </w:tc>
      </w:tr>
      <w:tr>
        <w:tc>
          <w:tcPr>
            <w:tcW w:w="2778" w:type="dxa"/>
          </w:tcPr>
          <w:p>
            <w:pPr>
              <w:pStyle w:val="0"/>
            </w:pPr>
            <w:r>
              <w:rPr>
                <w:sz w:val="20"/>
              </w:rPr>
              <w:t xml:space="preserve">Образование и таланты</w:t>
            </w:r>
          </w:p>
        </w:tc>
        <w:tc>
          <w:tcPr>
            <w:tcW w:w="3572" w:type="dxa"/>
          </w:tcPr>
          <w:p>
            <w:pPr>
              <w:pStyle w:val="0"/>
            </w:pPr>
            <w:r>
              <w:rPr>
                <w:sz w:val="20"/>
              </w:rPr>
              <w:t xml:space="preserve">"Создание межвузовской системы "бизнес-инкубатор - бизнес-акселератор";</w:t>
            </w:r>
          </w:p>
          <w:p>
            <w:pPr>
              <w:pStyle w:val="0"/>
            </w:pPr>
            <w:r>
              <w:rPr>
                <w:sz w:val="20"/>
              </w:rPr>
              <w:t xml:space="preserve">"Центр развития научной и инновационной деятельности Курской области";</w:t>
            </w:r>
          </w:p>
          <w:p>
            <w:pPr>
              <w:pStyle w:val="0"/>
            </w:pPr>
            <w:r>
              <w:rPr>
                <w:sz w:val="20"/>
              </w:rPr>
              <w:t xml:space="preserve">"Региональный центр непрерывного повышения квалификации и переподготовки кадров";</w:t>
            </w:r>
          </w:p>
          <w:p>
            <w:pPr>
              <w:pStyle w:val="0"/>
            </w:pPr>
            <w:r>
              <w:rPr>
                <w:sz w:val="20"/>
              </w:rPr>
              <w:t xml:space="preserve">"Региональный цифровой интерактивно-образовательный ресурс "Край родной, навек любимый";</w:t>
            </w:r>
          </w:p>
          <w:p>
            <w:pPr>
              <w:pStyle w:val="0"/>
            </w:pPr>
            <w:r>
              <w:rPr>
                <w:sz w:val="20"/>
              </w:rPr>
              <w:t xml:space="preserve">"Создание центра трудоустройства выпускников образовательных организаций с инвалидностью и ОВЗ";</w:t>
            </w:r>
          </w:p>
          <w:p>
            <w:pPr>
              <w:pStyle w:val="0"/>
            </w:pPr>
            <w:r>
              <w:rPr>
                <w:sz w:val="20"/>
              </w:rPr>
              <w:t xml:space="preserve">"Кластер IT-образования в Курской области";</w:t>
            </w:r>
          </w:p>
          <w:p>
            <w:pPr>
              <w:pStyle w:val="0"/>
            </w:pPr>
            <w:r>
              <w:rPr>
                <w:sz w:val="20"/>
              </w:rPr>
              <w:t xml:space="preserve">"Единый информационный образовательный портал Курской области";</w:t>
            </w:r>
          </w:p>
          <w:p>
            <w:pPr>
              <w:pStyle w:val="0"/>
            </w:pPr>
            <w:r>
              <w:rPr>
                <w:sz w:val="20"/>
              </w:rPr>
              <w:t xml:space="preserve">"Агроклассы"</w:t>
            </w:r>
          </w:p>
        </w:tc>
        <w:tc>
          <w:tcPr>
            <w:tcW w:w="2721" w:type="dxa"/>
          </w:tcPr>
          <w:p>
            <w:pPr>
              <w:pStyle w:val="0"/>
            </w:pPr>
            <w:r>
              <w:rPr>
                <w:sz w:val="20"/>
              </w:rPr>
              <w:t xml:space="preserve">Рост удовлетворенности населения качеством профессиональной подготовки 72,3 - 90%;</w:t>
            </w:r>
          </w:p>
          <w:p>
            <w:pPr>
              <w:pStyle w:val="0"/>
            </w:pPr>
            <w:r>
              <w:rPr>
                <w:sz w:val="20"/>
              </w:rPr>
              <w:t xml:space="preserve">удовлетворенность качеством образования среди:</w:t>
            </w:r>
          </w:p>
          <w:p>
            <w:pPr>
              <w:pStyle w:val="0"/>
            </w:pPr>
            <w:r>
              <w:rPr>
                <w:sz w:val="20"/>
              </w:rPr>
              <w:t xml:space="preserve">выпускников 62 - 87%; родителей 71 - 89%; работодателей 32 - 60%</w:t>
            </w:r>
          </w:p>
        </w:tc>
      </w:tr>
      <w:tr>
        <w:tc>
          <w:tcPr>
            <w:tcW w:w="2778" w:type="dxa"/>
          </w:tcPr>
          <w:p>
            <w:pPr>
              <w:pStyle w:val="0"/>
            </w:pPr>
            <w:r>
              <w:rPr>
                <w:sz w:val="20"/>
              </w:rPr>
              <w:t xml:space="preserve">Здоровье и здравоохранение</w:t>
            </w:r>
          </w:p>
        </w:tc>
        <w:tc>
          <w:tcPr>
            <w:tcW w:w="3572" w:type="dxa"/>
          </w:tcPr>
          <w:p>
            <w:pPr>
              <w:pStyle w:val="0"/>
            </w:pPr>
            <w:r>
              <w:rPr>
                <w:sz w:val="20"/>
              </w:rPr>
              <w:t xml:space="preserve">"Создание условий для развития физической культуры и массового спорта в Курской области";</w:t>
            </w:r>
          </w:p>
          <w:p>
            <w:pPr>
              <w:pStyle w:val="0"/>
            </w:pPr>
            <w:r>
              <w:rPr>
                <w:sz w:val="20"/>
              </w:rPr>
              <w:t xml:space="preserve">"Создание центра амбулаторной онкологии на базе первичного онкологического отделения ОБУЗ "Железногорская городская больница N 2";</w:t>
            </w:r>
          </w:p>
          <w:p>
            <w:pPr>
              <w:pStyle w:val="0"/>
            </w:pPr>
            <w:r>
              <w:rPr>
                <w:sz w:val="20"/>
              </w:rPr>
              <w:t xml:space="preserve">"Подготовка этического Кодекса пациента";</w:t>
            </w:r>
          </w:p>
          <w:p>
            <w:pPr>
              <w:pStyle w:val="0"/>
            </w:pPr>
            <w:r>
              <w:rPr>
                <w:sz w:val="20"/>
              </w:rPr>
              <w:t xml:space="preserve">"Проект приведения медицинских организаций к единому стандарту (брендбук) для строящихся и модернизируемых в рамках проекта "Бережливая поликлиника";</w:t>
            </w:r>
          </w:p>
          <w:p>
            <w:pPr>
              <w:pStyle w:val="0"/>
            </w:pPr>
            <w:r>
              <w:rPr>
                <w:sz w:val="20"/>
              </w:rPr>
              <w:t xml:space="preserve">"Формирование единого подхода для закупаемого медицинского оборудования с целью формирования единых условий для сервисного обслуживания, эксплуатации и цифровизации";</w:t>
            </w:r>
          </w:p>
          <w:p>
            <w:pPr>
              <w:pStyle w:val="0"/>
            </w:pPr>
            <w:r>
              <w:rPr>
                <w:sz w:val="20"/>
              </w:rPr>
              <w:t xml:space="preserve">"Здоровое функциональное питание населения Курской области";</w:t>
            </w:r>
          </w:p>
          <w:p>
            <w:pPr>
              <w:pStyle w:val="0"/>
            </w:pPr>
            <w:r>
              <w:rPr>
                <w:sz w:val="20"/>
              </w:rPr>
              <w:t xml:space="preserve">"Обеспечение глобальной информированности населения о здоровьесберегающих технологиях"</w:t>
            </w:r>
          </w:p>
        </w:tc>
        <w:tc>
          <w:tcPr>
            <w:tcW w:w="2721" w:type="dxa"/>
          </w:tcPr>
          <w:p>
            <w:pPr>
              <w:pStyle w:val="0"/>
            </w:pPr>
            <w:r>
              <w:rPr>
                <w:sz w:val="20"/>
              </w:rPr>
              <w:t xml:space="preserve">Вовлечение более половины населения в систематические занятия спортом;</w:t>
            </w:r>
          </w:p>
          <w:p>
            <w:pPr>
              <w:pStyle w:val="0"/>
            </w:pPr>
            <w:r>
              <w:rPr>
                <w:sz w:val="20"/>
              </w:rPr>
              <w:t xml:space="preserve">рост числа граждан, следящих за своим питанием, до 70%;</w:t>
            </w:r>
          </w:p>
          <w:p>
            <w:pPr>
              <w:pStyle w:val="0"/>
            </w:pPr>
            <w:r>
              <w:rPr>
                <w:sz w:val="20"/>
              </w:rPr>
              <w:t xml:space="preserve">рост доли средств на профилактические мероприятия на 10%;</w:t>
            </w:r>
          </w:p>
          <w:p>
            <w:pPr>
              <w:pStyle w:val="0"/>
            </w:pPr>
            <w:r>
              <w:rPr>
                <w:sz w:val="20"/>
              </w:rPr>
              <w:t xml:space="preserve">увеличение продолжительности жизни с 72 до 76 лет</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Стратегии социально-экономического</w:t>
      </w:r>
    </w:p>
    <w:p>
      <w:pPr>
        <w:pStyle w:val="0"/>
        <w:jc w:val="right"/>
      </w:pPr>
      <w:r>
        <w:rPr>
          <w:sz w:val="20"/>
        </w:rPr>
        <w:t xml:space="preserve">развития Курской области на период</w:t>
      </w:r>
    </w:p>
    <w:p>
      <w:pPr>
        <w:pStyle w:val="0"/>
        <w:jc w:val="right"/>
      </w:pPr>
      <w:r>
        <w:rPr>
          <w:sz w:val="20"/>
        </w:rPr>
        <w:t xml:space="preserve">до 2030 года</w:t>
      </w:r>
    </w:p>
    <w:p>
      <w:pPr>
        <w:pStyle w:val="0"/>
        <w:jc w:val="both"/>
      </w:pPr>
      <w:r>
        <w:rPr>
          <w:sz w:val="20"/>
        </w:rPr>
      </w:r>
    </w:p>
    <w:bookmarkStart w:id="5534" w:name="P5534"/>
    <w:bookmarkEnd w:id="5534"/>
    <w:p>
      <w:pPr>
        <w:pStyle w:val="2"/>
        <w:jc w:val="center"/>
      </w:pPr>
      <w:r>
        <w:rPr>
          <w:sz w:val="20"/>
        </w:rPr>
        <w:t xml:space="preserve">ИНВЕСТИЦИОННЫЕ ПРОЕКТЫ КУРСКОЙ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16"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Закона</w:t>
              </w:r>
            </w:hyperlink>
            <w:r>
              <w:rPr>
                <w:sz w:val="20"/>
                <w:color w:val="392c69"/>
              </w:rPr>
              <w:t xml:space="preserve"> Курской области</w:t>
            </w:r>
          </w:p>
          <w:p>
            <w:pPr>
              <w:pStyle w:val="0"/>
              <w:jc w:val="center"/>
            </w:pPr>
            <w:r>
              <w:rPr>
                <w:sz w:val="20"/>
                <w:color w:val="392c69"/>
              </w:rPr>
              <w:t xml:space="preserve">от 04.05.2023 N 40-ЗКО)</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В таблице представлены инвестиционные проекты, реализуемые (планируемые к реализации) на территории Курской области (по данным инвестиционного портала Курской области, </w:t>
      </w:r>
      <w:r>
        <w:rPr>
          <w:sz w:val="20"/>
        </w:rPr>
        <w:t xml:space="preserve">http://kurskoblinvest.ru</w:t>
      </w:r>
      <w:r>
        <w:rPr>
          <w:sz w:val="20"/>
        </w:rPr>
        <w:t xml:space="preserve">).</w:t>
      </w:r>
    </w:p>
    <w:p>
      <w:pPr>
        <w:pStyle w:val="0"/>
        <w:jc w:val="both"/>
      </w:pPr>
      <w:r>
        <w:rPr>
          <w:sz w:val="20"/>
        </w:rPr>
      </w:r>
    </w:p>
    <w:p>
      <w:pPr>
        <w:pStyle w:val="0"/>
        <w:outlineLvl w:val="2"/>
        <w:jc w:val="right"/>
      </w:pPr>
      <w:r>
        <w:rPr>
          <w:sz w:val="20"/>
        </w:rPr>
        <w:t xml:space="preserve">Таблица</w:t>
      </w:r>
    </w:p>
    <w:p>
      <w:pPr>
        <w:pStyle w:val="0"/>
        <w:jc w:val="both"/>
      </w:pPr>
      <w:r>
        <w:rPr>
          <w:sz w:val="20"/>
        </w:rPr>
      </w:r>
    </w:p>
    <w:p>
      <w:pPr>
        <w:pStyle w:val="2"/>
        <w:jc w:val="center"/>
      </w:pPr>
      <w:r>
        <w:rPr>
          <w:sz w:val="20"/>
        </w:rPr>
        <w:t xml:space="preserve">Инвестиционные проекты Курской области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2551"/>
        <w:gridCol w:w="1305"/>
        <w:gridCol w:w="3005"/>
        <w:gridCol w:w="2027"/>
        <w:gridCol w:w="1590"/>
        <w:gridCol w:w="1706"/>
      </w:tblGrid>
      <w:tr>
        <w:tc>
          <w:tcPr>
            <w:tcW w:w="2324" w:type="dxa"/>
            <w:vAlign w:val="center"/>
          </w:tcPr>
          <w:p>
            <w:pPr>
              <w:pStyle w:val="0"/>
              <w:jc w:val="center"/>
            </w:pPr>
            <w:r>
              <w:rPr>
                <w:sz w:val="20"/>
              </w:rPr>
              <w:t xml:space="preserve">Наименование организации</w:t>
            </w:r>
          </w:p>
        </w:tc>
        <w:tc>
          <w:tcPr>
            <w:tcW w:w="2551" w:type="dxa"/>
            <w:vAlign w:val="center"/>
          </w:tcPr>
          <w:p>
            <w:pPr>
              <w:pStyle w:val="0"/>
              <w:jc w:val="center"/>
            </w:pPr>
            <w:r>
              <w:rPr>
                <w:sz w:val="20"/>
              </w:rPr>
              <w:t xml:space="preserve">Наименование проекта</w:t>
            </w:r>
          </w:p>
        </w:tc>
        <w:tc>
          <w:tcPr>
            <w:tcW w:w="1305" w:type="dxa"/>
            <w:vAlign w:val="center"/>
          </w:tcPr>
          <w:p>
            <w:pPr>
              <w:pStyle w:val="0"/>
              <w:jc w:val="center"/>
            </w:pPr>
            <w:r>
              <w:rPr>
                <w:sz w:val="20"/>
              </w:rPr>
              <w:t xml:space="preserve">Срок реализации проекта</w:t>
            </w:r>
          </w:p>
        </w:tc>
        <w:tc>
          <w:tcPr>
            <w:tcW w:w="3005" w:type="dxa"/>
            <w:vAlign w:val="center"/>
          </w:tcPr>
          <w:p>
            <w:pPr>
              <w:pStyle w:val="0"/>
              <w:jc w:val="center"/>
            </w:pPr>
            <w:r>
              <w:rPr>
                <w:sz w:val="20"/>
              </w:rPr>
              <w:t xml:space="preserve">Содержание проекта</w:t>
            </w:r>
          </w:p>
        </w:tc>
        <w:tc>
          <w:tcPr>
            <w:tcW w:w="2027" w:type="dxa"/>
          </w:tcPr>
          <w:p>
            <w:pPr>
              <w:pStyle w:val="0"/>
              <w:jc w:val="center"/>
            </w:pPr>
            <w:r>
              <w:rPr>
                <w:sz w:val="20"/>
              </w:rPr>
              <w:t xml:space="preserve">Стадия реализации проекта (планирование, реализуемый, реализованный, приостановленный)</w:t>
            </w:r>
          </w:p>
        </w:tc>
        <w:tc>
          <w:tcPr>
            <w:tcW w:w="1590" w:type="dxa"/>
            <w:vAlign w:val="center"/>
          </w:tcPr>
          <w:p>
            <w:pPr>
              <w:pStyle w:val="0"/>
              <w:jc w:val="center"/>
            </w:pPr>
            <w:r>
              <w:rPr>
                <w:sz w:val="20"/>
              </w:rPr>
              <w:t xml:space="preserve">Стоимость проекта с НДС (млн. рублей)</w:t>
            </w:r>
          </w:p>
        </w:tc>
        <w:tc>
          <w:tcPr>
            <w:tcW w:w="1706" w:type="dxa"/>
            <w:vAlign w:val="center"/>
          </w:tcPr>
          <w:p>
            <w:pPr>
              <w:pStyle w:val="0"/>
              <w:jc w:val="center"/>
            </w:pPr>
            <w:r>
              <w:rPr>
                <w:sz w:val="20"/>
              </w:rPr>
              <w:t xml:space="preserve">Создание новых рабочих мест</w:t>
            </w:r>
          </w:p>
        </w:tc>
      </w:tr>
      <w:tr>
        <w:tc>
          <w:tcPr>
            <w:tcW w:w="2324" w:type="dxa"/>
            <w:vAlign w:val="center"/>
          </w:tcPr>
          <w:p>
            <w:pPr>
              <w:pStyle w:val="0"/>
              <w:jc w:val="center"/>
            </w:pPr>
            <w:r>
              <w:rPr>
                <w:sz w:val="20"/>
              </w:rPr>
              <w:t xml:space="preserve">Филиал АО "Концерн Росэнергоатом" "Курская АЭС"</w:t>
            </w:r>
          </w:p>
        </w:tc>
        <w:tc>
          <w:tcPr>
            <w:tcW w:w="2551" w:type="dxa"/>
            <w:vAlign w:val="center"/>
          </w:tcPr>
          <w:p>
            <w:pPr>
              <w:pStyle w:val="0"/>
              <w:jc w:val="center"/>
            </w:pPr>
            <w:r>
              <w:rPr>
                <w:sz w:val="20"/>
              </w:rPr>
              <w:t xml:space="preserve">Комплекс переработки радиоактивных отходов Курской АЭС</w:t>
            </w:r>
          </w:p>
        </w:tc>
        <w:tc>
          <w:tcPr>
            <w:tcW w:w="1305" w:type="dxa"/>
            <w:vAlign w:val="center"/>
          </w:tcPr>
          <w:p>
            <w:pPr>
              <w:pStyle w:val="0"/>
              <w:jc w:val="center"/>
            </w:pPr>
            <w:r>
              <w:rPr>
                <w:sz w:val="20"/>
              </w:rPr>
              <w:t xml:space="preserve">2015 - 2021 гг.</w:t>
            </w:r>
          </w:p>
        </w:tc>
        <w:tc>
          <w:tcPr>
            <w:tcW w:w="3005" w:type="dxa"/>
            <w:vAlign w:val="center"/>
          </w:tcPr>
          <w:p>
            <w:pPr>
              <w:pStyle w:val="0"/>
              <w:jc w:val="center"/>
            </w:pPr>
            <w:r>
              <w:rPr>
                <w:sz w:val="20"/>
              </w:rPr>
              <w:t xml:space="preserve">Создание производства по переработке радиоактивных отходов Курской АЭС</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25122,0</w:t>
            </w:r>
          </w:p>
        </w:tc>
        <w:tc>
          <w:tcPr>
            <w:tcW w:w="1706" w:type="dxa"/>
            <w:vAlign w:val="center"/>
          </w:tcPr>
          <w:p>
            <w:pPr>
              <w:pStyle w:val="0"/>
              <w:jc w:val="center"/>
            </w:pPr>
            <w:r>
              <w:rPr>
                <w:sz w:val="20"/>
              </w:rPr>
              <w:t xml:space="preserve">644</w:t>
            </w:r>
          </w:p>
        </w:tc>
      </w:tr>
      <w:tr>
        <w:tc>
          <w:tcPr>
            <w:tcW w:w="2324" w:type="dxa"/>
            <w:vAlign w:val="center"/>
          </w:tcPr>
          <w:p>
            <w:pPr>
              <w:pStyle w:val="0"/>
              <w:jc w:val="center"/>
            </w:pPr>
            <w:r>
              <w:rPr>
                <w:sz w:val="20"/>
              </w:rPr>
              <w:t xml:space="preserve">Филиал АО "Концерн Росэнергоатом"</w:t>
            </w:r>
          </w:p>
        </w:tc>
        <w:tc>
          <w:tcPr>
            <w:tcW w:w="2551" w:type="dxa"/>
            <w:vAlign w:val="center"/>
          </w:tcPr>
          <w:p>
            <w:pPr>
              <w:pStyle w:val="0"/>
              <w:jc w:val="center"/>
            </w:pPr>
            <w:r>
              <w:rPr>
                <w:sz w:val="20"/>
              </w:rPr>
              <w:t xml:space="preserve">Строительство Курской АЭС-2 (станция замещения Курской АЭС)</w:t>
            </w:r>
          </w:p>
        </w:tc>
        <w:tc>
          <w:tcPr>
            <w:tcW w:w="1305" w:type="dxa"/>
            <w:vAlign w:val="center"/>
          </w:tcPr>
          <w:p>
            <w:pPr>
              <w:pStyle w:val="0"/>
              <w:jc w:val="center"/>
            </w:pPr>
            <w:r>
              <w:rPr>
                <w:sz w:val="20"/>
              </w:rPr>
              <w:t xml:space="preserve">2013 - 2027 гг.</w:t>
            </w:r>
          </w:p>
        </w:tc>
        <w:tc>
          <w:tcPr>
            <w:tcW w:w="3005" w:type="dxa"/>
            <w:vAlign w:val="center"/>
          </w:tcPr>
          <w:p>
            <w:pPr>
              <w:pStyle w:val="0"/>
              <w:jc w:val="center"/>
            </w:pPr>
            <w:r>
              <w:rPr>
                <w:sz w:val="20"/>
              </w:rPr>
              <w:t xml:space="preserve">Строительство станции замещения Курской АЭС-2, оснащенной реакторной установкой нового типа - ВВЭР-ТОИ (водоводяной энергореактор типовой, оптимизированный, информатизированный), мощностью 1255 МВт</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449564,0</w:t>
            </w:r>
          </w:p>
        </w:tc>
        <w:tc>
          <w:tcPr>
            <w:tcW w:w="1706" w:type="dxa"/>
            <w:vAlign w:val="center"/>
          </w:tcPr>
          <w:p>
            <w:pPr>
              <w:pStyle w:val="0"/>
              <w:jc w:val="center"/>
            </w:pPr>
            <w:r>
              <w:rPr>
                <w:sz w:val="20"/>
              </w:rPr>
              <w:t xml:space="preserve">1261</w:t>
            </w:r>
          </w:p>
        </w:tc>
      </w:tr>
      <w:tr>
        <w:tc>
          <w:tcPr>
            <w:tcW w:w="2324" w:type="dxa"/>
            <w:vAlign w:val="center"/>
          </w:tcPr>
          <w:p>
            <w:pPr>
              <w:pStyle w:val="0"/>
              <w:jc w:val="center"/>
            </w:pPr>
            <w:r>
              <w:rPr>
                <w:sz w:val="20"/>
              </w:rPr>
              <w:t xml:space="preserve">Филиал АО "Концерн Росэнергоатом" "Курская АЭС"</w:t>
            </w:r>
          </w:p>
        </w:tc>
        <w:tc>
          <w:tcPr>
            <w:tcW w:w="2551" w:type="dxa"/>
            <w:vAlign w:val="center"/>
          </w:tcPr>
          <w:p>
            <w:pPr>
              <w:pStyle w:val="0"/>
              <w:jc w:val="center"/>
            </w:pPr>
            <w:r>
              <w:rPr>
                <w:sz w:val="20"/>
              </w:rPr>
              <w:t xml:space="preserve">Обеспечение безопасной и устойчивой работы действующих энергоблоков</w:t>
            </w:r>
          </w:p>
        </w:tc>
        <w:tc>
          <w:tcPr>
            <w:tcW w:w="1305" w:type="dxa"/>
            <w:vAlign w:val="center"/>
          </w:tcPr>
          <w:p>
            <w:pPr>
              <w:pStyle w:val="0"/>
              <w:jc w:val="center"/>
            </w:pPr>
            <w:r>
              <w:rPr>
                <w:sz w:val="20"/>
              </w:rPr>
              <w:t xml:space="preserve">2008 - 2030 гг.</w:t>
            </w:r>
          </w:p>
        </w:tc>
        <w:tc>
          <w:tcPr>
            <w:tcW w:w="3005" w:type="dxa"/>
            <w:vAlign w:val="center"/>
          </w:tcPr>
          <w:p>
            <w:pPr>
              <w:pStyle w:val="0"/>
              <w:jc w:val="center"/>
            </w:pPr>
            <w:r>
              <w:rPr>
                <w:sz w:val="20"/>
              </w:rPr>
              <w:t xml:space="preserve">Обеспечение безопасной и устойчивой работы действующих энергоблоков</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9550,5</w:t>
            </w:r>
          </w:p>
          <w:p>
            <w:pPr>
              <w:pStyle w:val="0"/>
              <w:jc w:val="center"/>
            </w:pPr>
            <w:r>
              <w:rPr>
                <w:sz w:val="20"/>
              </w:rPr>
              <w:t xml:space="preserve">(2020 - 2022 гг.)</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ПАО "МРСК Центра" - филиал "Курскэнерго"</w:t>
            </w:r>
          </w:p>
        </w:tc>
        <w:tc>
          <w:tcPr>
            <w:tcW w:w="2551" w:type="dxa"/>
            <w:vAlign w:val="center"/>
          </w:tcPr>
          <w:p>
            <w:pPr>
              <w:pStyle w:val="0"/>
              <w:jc w:val="center"/>
            </w:pPr>
            <w:r>
              <w:rPr>
                <w:sz w:val="20"/>
              </w:rPr>
              <w:t xml:space="preserve">Реализация долгосрочной инвестиционной программы</w:t>
            </w:r>
          </w:p>
        </w:tc>
        <w:tc>
          <w:tcPr>
            <w:tcW w:w="1305" w:type="dxa"/>
            <w:vAlign w:val="center"/>
          </w:tcPr>
          <w:p>
            <w:pPr>
              <w:pStyle w:val="0"/>
              <w:jc w:val="center"/>
            </w:pPr>
            <w:r>
              <w:rPr>
                <w:sz w:val="20"/>
              </w:rPr>
              <w:t xml:space="preserve">2020 - 2025 гг.</w:t>
            </w:r>
          </w:p>
        </w:tc>
        <w:tc>
          <w:tcPr>
            <w:tcW w:w="3005" w:type="dxa"/>
            <w:vAlign w:val="center"/>
          </w:tcPr>
          <w:p>
            <w:pPr>
              <w:pStyle w:val="0"/>
              <w:jc w:val="center"/>
            </w:pPr>
            <w:r>
              <w:rPr>
                <w:sz w:val="20"/>
              </w:rPr>
              <w:t xml:space="preserve">Инвестиционная программа филиала ПАО "МРСК Центра" - "Курскэнерго"</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7399,0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АО "Михайловский ГОК им. А.В. Варичева"</w:t>
            </w:r>
          </w:p>
        </w:tc>
        <w:tc>
          <w:tcPr>
            <w:tcW w:w="2551" w:type="dxa"/>
            <w:vAlign w:val="center"/>
          </w:tcPr>
          <w:p>
            <w:pPr>
              <w:pStyle w:val="0"/>
              <w:jc w:val="center"/>
            </w:pPr>
            <w:r>
              <w:rPr>
                <w:sz w:val="20"/>
              </w:rPr>
              <w:t xml:space="preserve">Производство концентратов в объеме</w:t>
            </w:r>
          </w:p>
          <w:p>
            <w:pPr>
              <w:pStyle w:val="0"/>
              <w:jc w:val="center"/>
            </w:pPr>
            <w:r>
              <w:rPr>
                <w:sz w:val="20"/>
              </w:rPr>
              <w:t xml:space="preserve">10 млн. тонн в год из окисленных кварцитов</w:t>
            </w:r>
          </w:p>
        </w:tc>
        <w:tc>
          <w:tcPr>
            <w:tcW w:w="1305" w:type="dxa"/>
            <w:vAlign w:val="center"/>
          </w:tcPr>
          <w:p>
            <w:pPr>
              <w:pStyle w:val="0"/>
              <w:jc w:val="center"/>
            </w:pPr>
            <w:r>
              <w:rPr>
                <w:sz w:val="20"/>
              </w:rPr>
              <w:t xml:space="preserve">2010 - 2025 гг.</w:t>
            </w:r>
          </w:p>
        </w:tc>
        <w:tc>
          <w:tcPr>
            <w:tcW w:w="3005" w:type="dxa"/>
            <w:vAlign w:val="center"/>
          </w:tcPr>
          <w:p>
            <w:pPr>
              <w:pStyle w:val="0"/>
              <w:jc w:val="center"/>
            </w:pPr>
            <w:r>
              <w:rPr>
                <w:sz w:val="20"/>
              </w:rPr>
              <w:t xml:space="preserve">Создание комплекса по производству концентратов в объеме</w:t>
            </w:r>
          </w:p>
          <w:p>
            <w:pPr>
              <w:pStyle w:val="0"/>
              <w:jc w:val="center"/>
            </w:pPr>
            <w:r>
              <w:rPr>
                <w:sz w:val="20"/>
              </w:rPr>
              <w:t xml:space="preserve">10 млн. тонн в год из окисленных кварцитов. Увеличение объема товарной продукции на 10 млн. тонн в год</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40261,0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АО "Михайловский ГОК им. А.В. Варичева"</w:t>
            </w:r>
          </w:p>
        </w:tc>
        <w:tc>
          <w:tcPr>
            <w:tcW w:w="2551" w:type="dxa"/>
            <w:vAlign w:val="center"/>
          </w:tcPr>
          <w:p>
            <w:pPr>
              <w:pStyle w:val="0"/>
              <w:jc w:val="center"/>
            </w:pPr>
            <w:r>
              <w:rPr>
                <w:sz w:val="20"/>
              </w:rPr>
              <w:t xml:space="preserve">Строительство дробильно-конвейерного комплекса на северо-восточном и юго-восточном бортах железорудного карьера</w:t>
            </w:r>
          </w:p>
        </w:tc>
        <w:tc>
          <w:tcPr>
            <w:tcW w:w="1305" w:type="dxa"/>
            <w:vAlign w:val="center"/>
          </w:tcPr>
          <w:p>
            <w:pPr>
              <w:pStyle w:val="0"/>
              <w:jc w:val="center"/>
            </w:pPr>
            <w:r>
              <w:rPr>
                <w:sz w:val="20"/>
              </w:rPr>
              <w:t xml:space="preserve">2013 - 2022 гг.</w:t>
            </w:r>
          </w:p>
        </w:tc>
        <w:tc>
          <w:tcPr>
            <w:tcW w:w="3005" w:type="dxa"/>
            <w:vAlign w:val="center"/>
          </w:tcPr>
          <w:p>
            <w:pPr>
              <w:pStyle w:val="0"/>
              <w:jc w:val="center"/>
            </w:pPr>
            <w:r>
              <w:rPr>
                <w:sz w:val="20"/>
              </w:rPr>
              <w:t xml:space="preserve">Строительство дробильно-конвейерного комплекса на юго-восточном и северо-восточном бортах карьера с годовым объемом переработки рудной массы 50 млн. т/год для обеспечения ежегодного производства магнетитового концентрата не менее 16,8 млн. т в год</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11115,0</w:t>
            </w:r>
          </w:p>
        </w:tc>
        <w:tc>
          <w:tcPr>
            <w:tcW w:w="1706" w:type="dxa"/>
            <w:vAlign w:val="center"/>
          </w:tcPr>
          <w:p>
            <w:pPr>
              <w:pStyle w:val="0"/>
              <w:jc w:val="center"/>
            </w:pPr>
            <w:r>
              <w:rPr>
                <w:sz w:val="20"/>
              </w:rPr>
              <w:t xml:space="preserve">267</w:t>
            </w:r>
          </w:p>
        </w:tc>
      </w:tr>
      <w:tr>
        <w:tc>
          <w:tcPr>
            <w:tcW w:w="2324" w:type="dxa"/>
            <w:vAlign w:val="center"/>
          </w:tcPr>
          <w:p>
            <w:pPr>
              <w:pStyle w:val="0"/>
              <w:jc w:val="center"/>
            </w:pPr>
            <w:r>
              <w:rPr>
                <w:sz w:val="20"/>
              </w:rPr>
              <w:t xml:space="preserve">АО "Михайловский ГОК им. А.В. Варичева"</w:t>
            </w:r>
          </w:p>
        </w:tc>
        <w:tc>
          <w:tcPr>
            <w:tcW w:w="2551" w:type="dxa"/>
            <w:vAlign w:val="center"/>
          </w:tcPr>
          <w:p>
            <w:pPr>
              <w:pStyle w:val="0"/>
              <w:jc w:val="center"/>
            </w:pPr>
            <w:r>
              <w:rPr>
                <w:sz w:val="20"/>
              </w:rPr>
              <w:t xml:space="preserve">Техническое перевооружение ДОК. Модернизация ОМ МО с внедрением тонкого грохочения. Строительство комплекса дообогащения в г. Железногорске</w:t>
            </w:r>
          </w:p>
        </w:tc>
        <w:tc>
          <w:tcPr>
            <w:tcW w:w="1305" w:type="dxa"/>
            <w:vAlign w:val="center"/>
          </w:tcPr>
          <w:p>
            <w:pPr>
              <w:pStyle w:val="0"/>
              <w:jc w:val="center"/>
            </w:pPr>
            <w:r>
              <w:rPr>
                <w:sz w:val="20"/>
              </w:rPr>
              <w:t xml:space="preserve">2017 - 2022 г.</w:t>
            </w:r>
          </w:p>
        </w:tc>
        <w:tc>
          <w:tcPr>
            <w:tcW w:w="3005" w:type="dxa"/>
            <w:vAlign w:val="center"/>
          </w:tcPr>
          <w:p>
            <w:pPr>
              <w:pStyle w:val="0"/>
              <w:jc w:val="center"/>
            </w:pPr>
            <w:r>
              <w:rPr>
                <w:sz w:val="20"/>
              </w:rPr>
              <w:t xml:space="preserve">Обеспечение устойчивого функционирования комбината без угрозы снижения мощности при постоянно усложняющихся горно-геологических условиях ведения горных работ в карьере.</w:t>
            </w:r>
          </w:p>
          <w:p>
            <w:pPr>
              <w:pStyle w:val="0"/>
              <w:jc w:val="center"/>
            </w:pPr>
            <w:r>
              <w:rPr>
                <w:sz w:val="20"/>
              </w:rPr>
              <w:t xml:space="preserve">Кардинальное повышение качества концентрата с 65% до 70%/68,8% по железу общему и содержанием SiO</w:t>
            </w:r>
            <w:r>
              <w:rPr>
                <w:sz w:val="20"/>
                <w:vertAlign w:val="subscript"/>
              </w:rPr>
              <w:t xml:space="preserve">2</w:t>
            </w:r>
            <w:r>
              <w:rPr>
                <w:sz w:val="20"/>
              </w:rPr>
              <w:t xml:space="preserve"> не более 2,6%/4,1%, повышение извлечения по железу общему с 53,8% до 56,5%</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13596,0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ООО "ИСТОК+"</w:t>
            </w:r>
          </w:p>
        </w:tc>
        <w:tc>
          <w:tcPr>
            <w:tcW w:w="2551" w:type="dxa"/>
            <w:vAlign w:val="center"/>
          </w:tcPr>
          <w:p>
            <w:pPr>
              <w:pStyle w:val="0"/>
              <w:jc w:val="center"/>
            </w:pPr>
            <w:r>
              <w:rPr>
                <w:sz w:val="20"/>
              </w:rPr>
              <w:t xml:space="preserve">Освоение производства промышленных свинцово-кислотных аккумуляторов и батарей</w:t>
            </w:r>
          </w:p>
        </w:tc>
        <w:tc>
          <w:tcPr>
            <w:tcW w:w="1305" w:type="dxa"/>
            <w:vAlign w:val="center"/>
          </w:tcPr>
          <w:p>
            <w:pPr>
              <w:pStyle w:val="0"/>
              <w:jc w:val="center"/>
            </w:pPr>
            <w:r>
              <w:rPr>
                <w:sz w:val="20"/>
              </w:rPr>
              <w:t xml:space="preserve">2017 - 2020 гг.</w:t>
            </w:r>
          </w:p>
        </w:tc>
        <w:tc>
          <w:tcPr>
            <w:tcW w:w="3005" w:type="dxa"/>
            <w:vAlign w:val="center"/>
          </w:tcPr>
          <w:p>
            <w:pPr>
              <w:pStyle w:val="0"/>
              <w:jc w:val="center"/>
            </w:pPr>
            <w:r>
              <w:rPr>
                <w:sz w:val="20"/>
              </w:rPr>
              <w:t xml:space="preserve">Освоение серийного производства стационарных аккумуляторов серий OpzS и Ogi с жидким, гелиевым и адсорбированным электролитом и увеличение мощностей производства аккумуляторов серии GroE с годовой программой до 500000 условных аккумуляторов</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889,0</w:t>
            </w:r>
          </w:p>
        </w:tc>
        <w:tc>
          <w:tcPr>
            <w:tcW w:w="1706" w:type="dxa"/>
            <w:vAlign w:val="center"/>
          </w:tcPr>
          <w:p>
            <w:pPr>
              <w:pStyle w:val="0"/>
              <w:jc w:val="center"/>
            </w:pPr>
            <w:r>
              <w:rPr>
                <w:sz w:val="20"/>
              </w:rPr>
              <w:t xml:space="preserve">100</w:t>
            </w:r>
          </w:p>
        </w:tc>
      </w:tr>
      <w:tr>
        <w:tc>
          <w:tcPr>
            <w:tcW w:w="2324" w:type="dxa"/>
            <w:vAlign w:val="center"/>
          </w:tcPr>
          <w:p>
            <w:pPr>
              <w:pStyle w:val="0"/>
              <w:jc w:val="center"/>
            </w:pPr>
            <w:r>
              <w:rPr>
                <w:sz w:val="20"/>
              </w:rPr>
              <w:t xml:space="preserve">ООО "ИСТОК+"</w:t>
            </w:r>
          </w:p>
        </w:tc>
        <w:tc>
          <w:tcPr>
            <w:tcW w:w="2551" w:type="dxa"/>
            <w:vAlign w:val="center"/>
          </w:tcPr>
          <w:p>
            <w:pPr>
              <w:pStyle w:val="0"/>
              <w:jc w:val="center"/>
            </w:pPr>
            <w:r>
              <w:rPr>
                <w:sz w:val="20"/>
              </w:rPr>
              <w:t xml:space="preserve">Развитие производства стартерных свинцово-кислотных батарей с применением пластмассовых комплектующих</w:t>
            </w:r>
          </w:p>
          <w:p>
            <w:pPr>
              <w:pStyle w:val="0"/>
              <w:jc w:val="center"/>
            </w:pPr>
            <w:r>
              <w:rPr>
                <w:sz w:val="20"/>
              </w:rPr>
              <w:t xml:space="preserve">собственного изготовления</w:t>
            </w:r>
          </w:p>
        </w:tc>
        <w:tc>
          <w:tcPr>
            <w:tcW w:w="1305" w:type="dxa"/>
            <w:vAlign w:val="center"/>
          </w:tcPr>
          <w:p>
            <w:pPr>
              <w:pStyle w:val="0"/>
              <w:jc w:val="center"/>
            </w:pPr>
            <w:r>
              <w:rPr>
                <w:sz w:val="20"/>
              </w:rPr>
              <w:t xml:space="preserve">2017 - 2022 гг.</w:t>
            </w:r>
          </w:p>
        </w:tc>
        <w:tc>
          <w:tcPr>
            <w:tcW w:w="3005" w:type="dxa"/>
            <w:vAlign w:val="center"/>
          </w:tcPr>
          <w:p>
            <w:pPr>
              <w:pStyle w:val="0"/>
              <w:jc w:val="center"/>
            </w:pPr>
            <w:r>
              <w:rPr>
                <w:sz w:val="20"/>
              </w:rPr>
              <w:t xml:space="preserve">Расширение имеющегося производства стартерных батарей (180000 легких типов и 40000 тяжелых типов батарей в месяц), освоение производства новых типов батарей с улучшенными эксплуатационными характеристиками (EFB) и азиатского типоразмера, обеспечение производства стартерных батарей пластмассовыми комплектующими собственного изготовления. Развитие производства предусматривает приобретение дополнительного технологического оборудования для увеличения мощностей указанных технологических операций, а также термопластавтоматов и пресс-форм для литья дополнительного количества изделий из пластмассы</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455,0</w:t>
            </w:r>
          </w:p>
        </w:tc>
        <w:tc>
          <w:tcPr>
            <w:tcW w:w="1706" w:type="dxa"/>
            <w:vAlign w:val="center"/>
          </w:tcPr>
          <w:p>
            <w:pPr>
              <w:pStyle w:val="0"/>
              <w:jc w:val="center"/>
            </w:pPr>
            <w:r>
              <w:rPr>
                <w:sz w:val="20"/>
              </w:rPr>
              <w:t xml:space="preserve">60</w:t>
            </w:r>
          </w:p>
        </w:tc>
      </w:tr>
      <w:tr>
        <w:tc>
          <w:tcPr>
            <w:tcW w:w="2324" w:type="dxa"/>
            <w:vAlign w:val="center"/>
          </w:tcPr>
          <w:p>
            <w:pPr>
              <w:pStyle w:val="0"/>
              <w:jc w:val="center"/>
            </w:pPr>
            <w:r>
              <w:rPr>
                <w:sz w:val="20"/>
              </w:rPr>
              <w:t xml:space="preserve">ОАО "Электроагрегат"</w:t>
            </w:r>
          </w:p>
        </w:tc>
        <w:tc>
          <w:tcPr>
            <w:tcW w:w="2551" w:type="dxa"/>
            <w:vAlign w:val="center"/>
          </w:tcPr>
          <w:p>
            <w:pPr>
              <w:pStyle w:val="0"/>
              <w:jc w:val="center"/>
            </w:pPr>
            <w:r>
              <w:rPr>
                <w:sz w:val="20"/>
              </w:rPr>
              <w:t xml:space="preserve">Расширение номенклатуры выпускаемой продукции путем создания гибридной дизель-электрической станции с аккумулирующей системой (СГДЭАС)</w:t>
            </w:r>
          </w:p>
          <w:p>
            <w:pPr>
              <w:pStyle w:val="0"/>
              <w:jc w:val="center"/>
            </w:pPr>
            <w:r>
              <w:rPr>
                <w:sz w:val="20"/>
              </w:rPr>
              <w:t xml:space="preserve">и ее последующего серийного выпуска</w:t>
            </w:r>
          </w:p>
        </w:tc>
        <w:tc>
          <w:tcPr>
            <w:tcW w:w="1305" w:type="dxa"/>
            <w:vAlign w:val="center"/>
          </w:tcPr>
          <w:p>
            <w:pPr>
              <w:pStyle w:val="0"/>
              <w:jc w:val="center"/>
            </w:pPr>
            <w:r>
              <w:rPr>
                <w:sz w:val="20"/>
              </w:rPr>
              <w:t xml:space="preserve">2016 - 2020 гг.</w:t>
            </w:r>
          </w:p>
        </w:tc>
        <w:tc>
          <w:tcPr>
            <w:tcW w:w="3005" w:type="dxa"/>
            <w:vAlign w:val="center"/>
          </w:tcPr>
          <w:p>
            <w:pPr>
              <w:pStyle w:val="0"/>
              <w:jc w:val="center"/>
            </w:pPr>
            <w:r>
              <w:rPr>
                <w:sz w:val="20"/>
              </w:rPr>
              <w:t xml:space="preserve">Проведение НИОКР по созданию гибридной дизель-электрической станции с аккумулирующей системой и освоение ее серийного выпуска на действующем производстве</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171,0</w:t>
            </w:r>
          </w:p>
        </w:tc>
        <w:tc>
          <w:tcPr>
            <w:tcW w:w="1706" w:type="dxa"/>
            <w:vAlign w:val="center"/>
          </w:tcPr>
          <w:p>
            <w:pPr>
              <w:pStyle w:val="0"/>
              <w:jc w:val="center"/>
            </w:pPr>
            <w:r>
              <w:rPr>
                <w:sz w:val="20"/>
              </w:rPr>
              <w:t xml:space="preserve">15</w:t>
            </w:r>
          </w:p>
        </w:tc>
      </w:tr>
      <w:tr>
        <w:tc>
          <w:tcPr>
            <w:tcW w:w="2324" w:type="dxa"/>
            <w:vAlign w:val="center"/>
          </w:tcPr>
          <w:p>
            <w:pPr>
              <w:pStyle w:val="0"/>
              <w:jc w:val="center"/>
            </w:pPr>
            <w:r>
              <w:rPr>
                <w:sz w:val="20"/>
              </w:rPr>
              <w:t xml:space="preserve">ООО "Совтест АТЕ"</w:t>
            </w:r>
          </w:p>
        </w:tc>
        <w:tc>
          <w:tcPr>
            <w:tcW w:w="2551" w:type="dxa"/>
            <w:vAlign w:val="center"/>
          </w:tcPr>
          <w:p>
            <w:pPr>
              <w:pStyle w:val="0"/>
              <w:jc w:val="center"/>
            </w:pPr>
            <w:r>
              <w:rPr>
                <w:sz w:val="20"/>
              </w:rPr>
              <w:t xml:space="preserve">Строительство завода по производству современных радиоэлектронных и микроэлектромеханических компонентов, изделий и аппаратуры, в том числе для систем мониторинга и измерений различного назначения</w:t>
            </w:r>
          </w:p>
        </w:tc>
        <w:tc>
          <w:tcPr>
            <w:tcW w:w="1305" w:type="dxa"/>
            <w:vAlign w:val="center"/>
          </w:tcPr>
          <w:p>
            <w:pPr>
              <w:pStyle w:val="0"/>
              <w:jc w:val="center"/>
            </w:pPr>
            <w:r>
              <w:rPr>
                <w:sz w:val="20"/>
              </w:rPr>
              <w:t xml:space="preserve">2015 - 2021 гг.</w:t>
            </w:r>
          </w:p>
        </w:tc>
        <w:tc>
          <w:tcPr>
            <w:tcW w:w="3005" w:type="dxa"/>
            <w:vAlign w:val="center"/>
          </w:tcPr>
          <w:p>
            <w:pPr>
              <w:pStyle w:val="0"/>
              <w:jc w:val="center"/>
            </w:pPr>
            <w:r>
              <w:rPr>
                <w:sz w:val="20"/>
              </w:rPr>
              <w:t xml:space="preserve">Строительство современного завода площадью 8800 м</w:t>
            </w:r>
            <w:r>
              <w:rPr>
                <w:sz w:val="20"/>
                <w:vertAlign w:val="superscript"/>
              </w:rPr>
              <w:t xml:space="preserve">2</w:t>
            </w:r>
            <w:r>
              <w:rPr>
                <w:sz w:val="20"/>
              </w:rPr>
              <w:t xml:space="preserve"> в г. Курске, состоящего из 7 корпусов, включающих механосборочное производство, тестирование, SMD-монтаж, микроэлектронику, сборку жгутов, производство радиоэлектронных и МЭМС компонентов, радиоэлектронной и электротехнической аппаратуры, а также специального технологического и тестового оборудования для производства радиоэлектроники</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600,0</w:t>
            </w:r>
          </w:p>
        </w:tc>
        <w:tc>
          <w:tcPr>
            <w:tcW w:w="1706" w:type="dxa"/>
            <w:vAlign w:val="center"/>
          </w:tcPr>
          <w:p>
            <w:pPr>
              <w:pStyle w:val="0"/>
              <w:jc w:val="center"/>
            </w:pPr>
            <w:r>
              <w:rPr>
                <w:sz w:val="20"/>
              </w:rPr>
              <w:t xml:space="preserve">20</w:t>
            </w:r>
          </w:p>
        </w:tc>
      </w:tr>
      <w:tr>
        <w:tc>
          <w:tcPr>
            <w:tcW w:w="2324" w:type="dxa"/>
            <w:vAlign w:val="center"/>
          </w:tcPr>
          <w:p>
            <w:pPr>
              <w:pStyle w:val="0"/>
              <w:jc w:val="center"/>
            </w:pPr>
            <w:r>
              <w:rPr>
                <w:sz w:val="20"/>
              </w:rPr>
              <w:t xml:space="preserve">АО "Курский электроаппаратный завод"</w:t>
            </w:r>
          </w:p>
        </w:tc>
        <w:tc>
          <w:tcPr>
            <w:tcW w:w="2551" w:type="dxa"/>
            <w:vAlign w:val="center"/>
          </w:tcPr>
          <w:p>
            <w:pPr>
              <w:pStyle w:val="0"/>
              <w:jc w:val="center"/>
            </w:pPr>
            <w:r>
              <w:rPr>
                <w:sz w:val="20"/>
              </w:rPr>
              <w:t xml:space="preserve">Освоение в производстве автоматических модульных выключателей</w:t>
            </w:r>
          </w:p>
        </w:tc>
        <w:tc>
          <w:tcPr>
            <w:tcW w:w="1305" w:type="dxa"/>
            <w:vAlign w:val="center"/>
          </w:tcPr>
          <w:p>
            <w:pPr>
              <w:pStyle w:val="0"/>
              <w:jc w:val="center"/>
            </w:pPr>
            <w:r>
              <w:rPr>
                <w:sz w:val="20"/>
              </w:rPr>
              <w:t xml:space="preserve">2015 - 2020 гг.</w:t>
            </w:r>
          </w:p>
        </w:tc>
        <w:tc>
          <w:tcPr>
            <w:tcW w:w="3005" w:type="dxa"/>
            <w:vAlign w:val="center"/>
          </w:tcPr>
          <w:p>
            <w:pPr>
              <w:pStyle w:val="0"/>
              <w:jc w:val="center"/>
            </w:pPr>
            <w:r>
              <w:rPr>
                <w:sz w:val="20"/>
              </w:rPr>
              <w:t xml:space="preserve">Создание импортозамещающей продукции модульных устройств на токи до 125 А</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147,0</w:t>
            </w:r>
          </w:p>
        </w:tc>
        <w:tc>
          <w:tcPr>
            <w:tcW w:w="1706" w:type="dxa"/>
            <w:vAlign w:val="center"/>
          </w:tcPr>
          <w:p>
            <w:pPr>
              <w:pStyle w:val="0"/>
              <w:jc w:val="center"/>
            </w:pPr>
            <w:r>
              <w:rPr>
                <w:sz w:val="20"/>
              </w:rPr>
              <w:t xml:space="preserve">190</w:t>
            </w:r>
          </w:p>
        </w:tc>
      </w:tr>
      <w:tr>
        <w:tc>
          <w:tcPr>
            <w:tcW w:w="2324" w:type="dxa"/>
            <w:vAlign w:val="center"/>
          </w:tcPr>
          <w:p>
            <w:pPr>
              <w:pStyle w:val="0"/>
              <w:jc w:val="center"/>
            </w:pPr>
            <w:r>
              <w:rPr>
                <w:sz w:val="20"/>
              </w:rPr>
              <w:t xml:space="preserve">АО "Курский электроаппаратный завод"</w:t>
            </w:r>
          </w:p>
        </w:tc>
        <w:tc>
          <w:tcPr>
            <w:tcW w:w="2551" w:type="dxa"/>
            <w:vAlign w:val="center"/>
          </w:tcPr>
          <w:p>
            <w:pPr>
              <w:pStyle w:val="0"/>
              <w:jc w:val="center"/>
            </w:pPr>
            <w:r>
              <w:rPr>
                <w:sz w:val="20"/>
              </w:rPr>
              <w:t xml:space="preserve">Освоение производства выключателей на токи от 630 до 4000 А</w:t>
            </w:r>
          </w:p>
          <w:p>
            <w:pPr>
              <w:pStyle w:val="0"/>
              <w:jc w:val="center"/>
            </w:pPr>
            <w:r>
              <w:rPr>
                <w:sz w:val="20"/>
              </w:rPr>
              <w:t xml:space="preserve">с необходимой номенклатурой аксессуаров</w:t>
            </w:r>
          </w:p>
        </w:tc>
        <w:tc>
          <w:tcPr>
            <w:tcW w:w="1305" w:type="dxa"/>
            <w:vAlign w:val="center"/>
          </w:tcPr>
          <w:p>
            <w:pPr>
              <w:pStyle w:val="0"/>
              <w:jc w:val="center"/>
            </w:pPr>
            <w:r>
              <w:rPr>
                <w:sz w:val="20"/>
              </w:rPr>
              <w:t xml:space="preserve">2015 - 2020</w:t>
            </w:r>
          </w:p>
          <w:p>
            <w:pPr>
              <w:pStyle w:val="0"/>
              <w:jc w:val="center"/>
            </w:pPr>
            <w:r>
              <w:rPr>
                <w:sz w:val="20"/>
              </w:rPr>
              <w:t xml:space="preserve">гг.</w:t>
            </w:r>
          </w:p>
        </w:tc>
        <w:tc>
          <w:tcPr>
            <w:tcW w:w="3005" w:type="dxa"/>
            <w:vAlign w:val="center"/>
          </w:tcPr>
          <w:p>
            <w:pPr>
              <w:pStyle w:val="0"/>
              <w:jc w:val="center"/>
            </w:pPr>
            <w:r>
              <w:rPr>
                <w:sz w:val="20"/>
              </w:rPr>
              <w:t xml:space="preserve">Освоение производства выключателей на токи от 630 до 4000 А</w:t>
            </w:r>
          </w:p>
          <w:p>
            <w:pPr>
              <w:pStyle w:val="0"/>
              <w:jc w:val="center"/>
            </w:pPr>
            <w:r>
              <w:rPr>
                <w:sz w:val="20"/>
              </w:rPr>
              <w:t xml:space="preserve">с необходимой номенклатурой аксессуаров</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190,0</w:t>
            </w:r>
          </w:p>
        </w:tc>
        <w:tc>
          <w:tcPr>
            <w:tcW w:w="1706" w:type="dxa"/>
            <w:vAlign w:val="center"/>
          </w:tcPr>
          <w:p>
            <w:pPr>
              <w:pStyle w:val="0"/>
              <w:jc w:val="center"/>
            </w:pPr>
            <w:r>
              <w:rPr>
                <w:sz w:val="20"/>
              </w:rPr>
              <w:t xml:space="preserve">190</w:t>
            </w:r>
          </w:p>
        </w:tc>
      </w:tr>
      <w:tr>
        <w:tc>
          <w:tcPr>
            <w:tcW w:w="2324" w:type="dxa"/>
            <w:vAlign w:val="center"/>
          </w:tcPr>
          <w:p>
            <w:pPr>
              <w:pStyle w:val="0"/>
              <w:jc w:val="center"/>
            </w:pPr>
            <w:r>
              <w:rPr>
                <w:sz w:val="20"/>
              </w:rPr>
              <w:t xml:space="preserve">АО "СКАРД-Электроникс"</w:t>
            </w:r>
          </w:p>
        </w:tc>
        <w:tc>
          <w:tcPr>
            <w:tcW w:w="2551" w:type="dxa"/>
            <w:vAlign w:val="center"/>
          </w:tcPr>
          <w:p>
            <w:pPr>
              <w:pStyle w:val="0"/>
              <w:jc w:val="center"/>
            </w:pPr>
            <w:r>
              <w:rPr>
                <w:sz w:val="20"/>
              </w:rPr>
              <w:t xml:space="preserve">Разработка и постановка на производство параметрического ряда антенн и антенных систем диапазона частот 9 кГц - 110 ГГц</w:t>
            </w:r>
          </w:p>
        </w:tc>
        <w:tc>
          <w:tcPr>
            <w:tcW w:w="1305" w:type="dxa"/>
            <w:vAlign w:val="center"/>
          </w:tcPr>
          <w:p>
            <w:pPr>
              <w:pStyle w:val="0"/>
              <w:jc w:val="center"/>
            </w:pPr>
            <w:r>
              <w:rPr>
                <w:sz w:val="20"/>
              </w:rPr>
              <w:t xml:space="preserve">2014 - 2024 гг.</w:t>
            </w:r>
          </w:p>
        </w:tc>
        <w:tc>
          <w:tcPr>
            <w:tcW w:w="3005" w:type="dxa"/>
            <w:vAlign w:val="center"/>
          </w:tcPr>
          <w:p>
            <w:pPr>
              <w:pStyle w:val="0"/>
              <w:jc w:val="center"/>
            </w:pPr>
            <w:r>
              <w:rPr>
                <w:sz w:val="20"/>
              </w:rPr>
              <w:t xml:space="preserve">Проект направлен на разработку и постановку на производство параметрического ряда антенн и антенных систем диапазона частот 9 кГц - 110 ГГц</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22,5</w:t>
            </w:r>
          </w:p>
        </w:tc>
        <w:tc>
          <w:tcPr>
            <w:tcW w:w="1706" w:type="dxa"/>
            <w:vAlign w:val="center"/>
          </w:tcPr>
          <w:p>
            <w:pPr>
              <w:pStyle w:val="0"/>
              <w:jc w:val="center"/>
            </w:pPr>
            <w:r>
              <w:rPr>
                <w:sz w:val="20"/>
              </w:rPr>
              <w:t xml:space="preserve">2</w:t>
            </w:r>
          </w:p>
        </w:tc>
      </w:tr>
      <w:tr>
        <w:tc>
          <w:tcPr>
            <w:tcW w:w="2324" w:type="dxa"/>
            <w:vAlign w:val="center"/>
          </w:tcPr>
          <w:p>
            <w:pPr>
              <w:pStyle w:val="0"/>
              <w:jc w:val="center"/>
            </w:pPr>
            <w:r>
              <w:rPr>
                <w:sz w:val="20"/>
              </w:rPr>
              <w:t xml:space="preserve">ОАО "Фармстандарт-Лексредства"</w:t>
            </w:r>
          </w:p>
        </w:tc>
        <w:tc>
          <w:tcPr>
            <w:tcW w:w="2551" w:type="dxa"/>
            <w:vAlign w:val="center"/>
          </w:tcPr>
          <w:p>
            <w:pPr>
              <w:pStyle w:val="0"/>
              <w:jc w:val="center"/>
            </w:pPr>
            <w:r>
              <w:rPr>
                <w:sz w:val="20"/>
              </w:rPr>
              <w:t xml:space="preserve">Реконструкция производства жидких лекарственных форм</w:t>
            </w:r>
          </w:p>
        </w:tc>
        <w:tc>
          <w:tcPr>
            <w:tcW w:w="1305" w:type="dxa"/>
            <w:vAlign w:val="center"/>
          </w:tcPr>
          <w:p>
            <w:pPr>
              <w:pStyle w:val="0"/>
              <w:jc w:val="center"/>
            </w:pPr>
            <w:r>
              <w:rPr>
                <w:sz w:val="20"/>
              </w:rPr>
              <w:t xml:space="preserve">2018 - 2020 гг.</w:t>
            </w:r>
          </w:p>
        </w:tc>
        <w:tc>
          <w:tcPr>
            <w:tcW w:w="3005" w:type="dxa"/>
            <w:vAlign w:val="center"/>
          </w:tcPr>
          <w:p>
            <w:pPr>
              <w:pStyle w:val="0"/>
              <w:jc w:val="center"/>
            </w:pPr>
            <w:r>
              <w:rPr>
                <w:sz w:val="20"/>
              </w:rPr>
              <w:t xml:space="preserve">Проект предусматривает реконструкцию производства лекарственных форм</w:t>
            </w:r>
          </w:p>
        </w:tc>
        <w:tc>
          <w:tcPr>
            <w:tcW w:w="2027" w:type="dxa"/>
            <w:vAlign w:val="center"/>
          </w:tcPr>
          <w:p>
            <w:pPr>
              <w:pStyle w:val="0"/>
              <w:jc w:val="center"/>
            </w:pPr>
            <w:r>
              <w:rPr>
                <w:sz w:val="20"/>
              </w:rPr>
              <w:t xml:space="preserve">планирование</w:t>
            </w:r>
          </w:p>
        </w:tc>
        <w:tc>
          <w:tcPr>
            <w:tcW w:w="1590" w:type="dxa"/>
            <w:vAlign w:val="center"/>
          </w:tcPr>
          <w:p>
            <w:pPr>
              <w:pStyle w:val="0"/>
              <w:jc w:val="center"/>
            </w:pPr>
            <w:r>
              <w:rPr>
                <w:sz w:val="20"/>
              </w:rPr>
              <w:t xml:space="preserve">228,8</w:t>
            </w:r>
          </w:p>
        </w:tc>
        <w:tc>
          <w:tcPr>
            <w:tcW w:w="1706" w:type="dxa"/>
            <w:vAlign w:val="center"/>
          </w:tcPr>
          <w:p>
            <w:pPr>
              <w:pStyle w:val="0"/>
              <w:jc w:val="center"/>
            </w:pPr>
            <w:r>
              <w:rPr>
                <w:sz w:val="20"/>
              </w:rPr>
              <w:t xml:space="preserve">11</w:t>
            </w:r>
          </w:p>
        </w:tc>
      </w:tr>
      <w:tr>
        <w:tc>
          <w:tcPr>
            <w:tcW w:w="2324" w:type="dxa"/>
            <w:vAlign w:val="center"/>
          </w:tcPr>
          <w:p>
            <w:pPr>
              <w:pStyle w:val="0"/>
              <w:jc w:val="center"/>
            </w:pPr>
            <w:r>
              <w:rPr>
                <w:sz w:val="20"/>
              </w:rPr>
              <w:t xml:space="preserve">ОАО "Фармстандарт-Лексредства"</w:t>
            </w:r>
          </w:p>
        </w:tc>
        <w:tc>
          <w:tcPr>
            <w:tcW w:w="2551" w:type="dxa"/>
            <w:vAlign w:val="center"/>
          </w:tcPr>
          <w:p>
            <w:pPr>
              <w:pStyle w:val="0"/>
              <w:jc w:val="center"/>
            </w:pPr>
            <w:r>
              <w:rPr>
                <w:sz w:val="20"/>
              </w:rPr>
              <w:t xml:space="preserve">Реконструкция цеха N 2 с организацией производства порошков</w:t>
            </w:r>
          </w:p>
        </w:tc>
        <w:tc>
          <w:tcPr>
            <w:tcW w:w="1305" w:type="dxa"/>
            <w:vAlign w:val="center"/>
          </w:tcPr>
          <w:p>
            <w:pPr>
              <w:pStyle w:val="0"/>
              <w:jc w:val="center"/>
            </w:pPr>
            <w:r>
              <w:rPr>
                <w:sz w:val="20"/>
              </w:rPr>
              <w:t xml:space="preserve">2020 г.</w:t>
            </w:r>
          </w:p>
        </w:tc>
        <w:tc>
          <w:tcPr>
            <w:tcW w:w="3005" w:type="dxa"/>
            <w:vAlign w:val="center"/>
          </w:tcPr>
          <w:p>
            <w:pPr>
              <w:pStyle w:val="0"/>
              <w:jc w:val="center"/>
            </w:pPr>
            <w:r>
              <w:rPr>
                <w:sz w:val="20"/>
              </w:rPr>
              <w:t xml:space="preserve">Проект предусматривает реконструкцию цеха N 2 с организацией производства порошков</w:t>
            </w:r>
          </w:p>
        </w:tc>
        <w:tc>
          <w:tcPr>
            <w:tcW w:w="2027" w:type="dxa"/>
            <w:vAlign w:val="center"/>
          </w:tcPr>
          <w:p>
            <w:pPr>
              <w:pStyle w:val="0"/>
              <w:jc w:val="center"/>
            </w:pPr>
            <w:r>
              <w:rPr>
                <w:sz w:val="20"/>
              </w:rPr>
              <w:t xml:space="preserve">планирование</w:t>
            </w:r>
          </w:p>
        </w:tc>
        <w:tc>
          <w:tcPr>
            <w:tcW w:w="1590" w:type="dxa"/>
            <w:vAlign w:val="center"/>
          </w:tcPr>
          <w:p>
            <w:pPr>
              <w:pStyle w:val="0"/>
              <w:jc w:val="center"/>
            </w:pPr>
            <w:r>
              <w:rPr>
                <w:sz w:val="20"/>
              </w:rPr>
              <w:t xml:space="preserve">106,5</w:t>
            </w:r>
          </w:p>
        </w:tc>
        <w:tc>
          <w:tcPr>
            <w:tcW w:w="1706" w:type="dxa"/>
            <w:vAlign w:val="center"/>
          </w:tcPr>
          <w:p>
            <w:pPr>
              <w:pStyle w:val="0"/>
              <w:jc w:val="center"/>
            </w:pPr>
            <w:r>
              <w:rPr>
                <w:sz w:val="20"/>
              </w:rPr>
              <w:t xml:space="preserve">12</w:t>
            </w:r>
          </w:p>
        </w:tc>
      </w:tr>
      <w:tr>
        <w:tc>
          <w:tcPr>
            <w:tcW w:w="2324" w:type="dxa"/>
            <w:vAlign w:val="center"/>
          </w:tcPr>
          <w:p>
            <w:pPr>
              <w:pStyle w:val="0"/>
              <w:jc w:val="center"/>
            </w:pPr>
            <w:r>
              <w:rPr>
                <w:sz w:val="20"/>
              </w:rPr>
              <w:t xml:space="preserve">ОАО "Фармстандарт-Лексредства"</w:t>
            </w:r>
          </w:p>
        </w:tc>
        <w:tc>
          <w:tcPr>
            <w:tcW w:w="2551" w:type="dxa"/>
            <w:vAlign w:val="center"/>
          </w:tcPr>
          <w:p>
            <w:pPr>
              <w:pStyle w:val="0"/>
              <w:jc w:val="center"/>
            </w:pPr>
            <w:r>
              <w:rPr>
                <w:sz w:val="20"/>
              </w:rPr>
              <w:t xml:space="preserve">Организация крупносерийного производства твердых лекарственных форм</w:t>
            </w:r>
          </w:p>
        </w:tc>
        <w:tc>
          <w:tcPr>
            <w:tcW w:w="1305" w:type="dxa"/>
            <w:vAlign w:val="center"/>
          </w:tcPr>
          <w:p>
            <w:pPr>
              <w:pStyle w:val="0"/>
              <w:jc w:val="center"/>
            </w:pPr>
            <w:r>
              <w:rPr>
                <w:sz w:val="20"/>
              </w:rPr>
              <w:t xml:space="preserve">2021 г.</w:t>
            </w:r>
          </w:p>
        </w:tc>
        <w:tc>
          <w:tcPr>
            <w:tcW w:w="3005" w:type="dxa"/>
            <w:vAlign w:val="center"/>
          </w:tcPr>
          <w:p>
            <w:pPr>
              <w:pStyle w:val="0"/>
              <w:jc w:val="center"/>
            </w:pPr>
            <w:r>
              <w:rPr>
                <w:sz w:val="20"/>
              </w:rPr>
              <w:t xml:space="preserve">Проект предусматривает организацию крупносерийного производства твердых лекарственных форм в корпусе N 17</w:t>
            </w:r>
          </w:p>
        </w:tc>
        <w:tc>
          <w:tcPr>
            <w:tcW w:w="2027" w:type="dxa"/>
            <w:vAlign w:val="center"/>
          </w:tcPr>
          <w:p>
            <w:pPr>
              <w:pStyle w:val="0"/>
              <w:jc w:val="center"/>
            </w:pPr>
            <w:r>
              <w:rPr>
                <w:sz w:val="20"/>
              </w:rPr>
              <w:t xml:space="preserve">планирование</w:t>
            </w:r>
          </w:p>
        </w:tc>
        <w:tc>
          <w:tcPr>
            <w:tcW w:w="1590" w:type="dxa"/>
            <w:vAlign w:val="center"/>
          </w:tcPr>
          <w:p>
            <w:pPr>
              <w:pStyle w:val="0"/>
              <w:jc w:val="center"/>
            </w:pPr>
            <w:r>
              <w:rPr>
                <w:sz w:val="20"/>
              </w:rPr>
              <w:t xml:space="preserve">998,5</w:t>
            </w:r>
          </w:p>
        </w:tc>
        <w:tc>
          <w:tcPr>
            <w:tcW w:w="1706" w:type="dxa"/>
            <w:vAlign w:val="center"/>
          </w:tcPr>
          <w:p>
            <w:pPr>
              <w:pStyle w:val="0"/>
              <w:jc w:val="center"/>
            </w:pPr>
            <w:r>
              <w:rPr>
                <w:sz w:val="20"/>
              </w:rPr>
              <w:t xml:space="preserve">34</w:t>
            </w:r>
          </w:p>
        </w:tc>
      </w:tr>
      <w:tr>
        <w:tc>
          <w:tcPr>
            <w:tcW w:w="2324" w:type="dxa"/>
            <w:vAlign w:val="center"/>
          </w:tcPr>
          <w:p>
            <w:pPr>
              <w:pStyle w:val="0"/>
              <w:jc w:val="center"/>
            </w:pPr>
            <w:r>
              <w:rPr>
                <w:sz w:val="20"/>
              </w:rPr>
              <w:t xml:space="preserve">ОАО "Фармстандарт-Лексредства"</w:t>
            </w:r>
          </w:p>
        </w:tc>
        <w:tc>
          <w:tcPr>
            <w:tcW w:w="2551" w:type="dxa"/>
            <w:vAlign w:val="center"/>
          </w:tcPr>
          <w:p>
            <w:pPr>
              <w:pStyle w:val="0"/>
              <w:jc w:val="center"/>
            </w:pPr>
            <w:r>
              <w:rPr>
                <w:sz w:val="20"/>
              </w:rPr>
              <w:t xml:space="preserve">Строительство склада готовой продукции</w:t>
            </w:r>
          </w:p>
        </w:tc>
        <w:tc>
          <w:tcPr>
            <w:tcW w:w="1305" w:type="dxa"/>
            <w:vAlign w:val="center"/>
          </w:tcPr>
          <w:p>
            <w:pPr>
              <w:pStyle w:val="0"/>
              <w:jc w:val="center"/>
            </w:pPr>
            <w:r>
              <w:rPr>
                <w:sz w:val="20"/>
              </w:rPr>
              <w:t xml:space="preserve">2021 - 2022 гг.</w:t>
            </w:r>
          </w:p>
        </w:tc>
        <w:tc>
          <w:tcPr>
            <w:tcW w:w="3005" w:type="dxa"/>
            <w:vAlign w:val="center"/>
          </w:tcPr>
          <w:p>
            <w:pPr>
              <w:pStyle w:val="0"/>
              <w:jc w:val="center"/>
            </w:pPr>
            <w:r>
              <w:rPr>
                <w:sz w:val="20"/>
              </w:rPr>
              <w:t xml:space="preserve">Проект предусматривает строительство склада готовой продукции</w:t>
            </w:r>
          </w:p>
        </w:tc>
        <w:tc>
          <w:tcPr>
            <w:tcW w:w="2027" w:type="dxa"/>
            <w:vAlign w:val="center"/>
          </w:tcPr>
          <w:p>
            <w:pPr>
              <w:pStyle w:val="0"/>
              <w:jc w:val="center"/>
            </w:pPr>
            <w:r>
              <w:rPr>
                <w:sz w:val="20"/>
              </w:rPr>
              <w:t xml:space="preserve">планирование</w:t>
            </w:r>
          </w:p>
        </w:tc>
        <w:tc>
          <w:tcPr>
            <w:tcW w:w="1590" w:type="dxa"/>
            <w:vAlign w:val="center"/>
          </w:tcPr>
          <w:p>
            <w:pPr>
              <w:pStyle w:val="0"/>
              <w:jc w:val="center"/>
            </w:pPr>
            <w:r>
              <w:rPr>
                <w:sz w:val="20"/>
              </w:rPr>
              <w:t xml:space="preserve">260,4</w:t>
            </w:r>
          </w:p>
        </w:tc>
        <w:tc>
          <w:tcPr>
            <w:tcW w:w="1706" w:type="dxa"/>
            <w:vAlign w:val="center"/>
          </w:tcPr>
          <w:p>
            <w:pPr>
              <w:pStyle w:val="0"/>
              <w:jc w:val="center"/>
            </w:pPr>
            <w:r>
              <w:rPr>
                <w:sz w:val="20"/>
              </w:rPr>
              <w:t xml:space="preserve">17</w:t>
            </w:r>
          </w:p>
        </w:tc>
      </w:tr>
      <w:tr>
        <w:tc>
          <w:tcPr>
            <w:tcW w:w="2324" w:type="dxa"/>
            <w:vAlign w:val="center"/>
          </w:tcPr>
          <w:p>
            <w:pPr>
              <w:pStyle w:val="0"/>
              <w:jc w:val="center"/>
            </w:pPr>
            <w:r>
              <w:rPr>
                <w:sz w:val="20"/>
              </w:rPr>
              <w:t xml:space="preserve">ООО "Эскулап"</w:t>
            </w:r>
          </w:p>
        </w:tc>
        <w:tc>
          <w:tcPr>
            <w:tcW w:w="2551" w:type="dxa"/>
            <w:vAlign w:val="center"/>
          </w:tcPr>
          <w:p>
            <w:pPr>
              <w:pStyle w:val="0"/>
              <w:jc w:val="center"/>
            </w:pPr>
            <w:r>
              <w:rPr>
                <w:sz w:val="20"/>
              </w:rPr>
              <w:t xml:space="preserve">Освоение производства новых медицинских изделий</w:t>
            </w:r>
          </w:p>
        </w:tc>
        <w:tc>
          <w:tcPr>
            <w:tcW w:w="1305" w:type="dxa"/>
            <w:vAlign w:val="center"/>
          </w:tcPr>
          <w:p>
            <w:pPr>
              <w:pStyle w:val="0"/>
              <w:jc w:val="center"/>
            </w:pPr>
            <w:r>
              <w:rPr>
                <w:sz w:val="20"/>
              </w:rPr>
              <w:t xml:space="preserve">2015 - 2020 гг.</w:t>
            </w:r>
          </w:p>
        </w:tc>
        <w:tc>
          <w:tcPr>
            <w:tcW w:w="3005" w:type="dxa"/>
            <w:vAlign w:val="center"/>
          </w:tcPr>
          <w:p>
            <w:pPr>
              <w:pStyle w:val="0"/>
              <w:jc w:val="center"/>
            </w:pPr>
            <w:r>
              <w:rPr>
                <w:sz w:val="20"/>
              </w:rPr>
              <w:t xml:space="preserve">Внедрение технологии производства перспективной номенклатурной линейки медицинских изделий</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1500,0</w:t>
            </w:r>
          </w:p>
        </w:tc>
        <w:tc>
          <w:tcPr>
            <w:tcW w:w="1706" w:type="dxa"/>
            <w:vAlign w:val="center"/>
          </w:tcPr>
          <w:p>
            <w:pPr>
              <w:pStyle w:val="0"/>
              <w:jc w:val="center"/>
            </w:pPr>
            <w:r>
              <w:rPr>
                <w:sz w:val="20"/>
              </w:rPr>
              <w:t xml:space="preserve">220</w:t>
            </w:r>
          </w:p>
        </w:tc>
      </w:tr>
      <w:tr>
        <w:tc>
          <w:tcPr>
            <w:tcW w:w="2324" w:type="dxa"/>
            <w:vAlign w:val="center"/>
          </w:tcPr>
          <w:p>
            <w:pPr>
              <w:pStyle w:val="0"/>
              <w:jc w:val="center"/>
            </w:pPr>
            <w:r>
              <w:rPr>
                <w:sz w:val="20"/>
              </w:rPr>
              <w:t xml:space="preserve">ОАО "Курскрезинотехника"</w:t>
            </w:r>
          </w:p>
        </w:tc>
        <w:tc>
          <w:tcPr>
            <w:tcW w:w="2551" w:type="dxa"/>
            <w:vAlign w:val="center"/>
          </w:tcPr>
          <w:p>
            <w:pPr>
              <w:pStyle w:val="0"/>
              <w:jc w:val="center"/>
            </w:pPr>
            <w:r>
              <w:rPr>
                <w:sz w:val="20"/>
              </w:rPr>
              <w:t xml:space="preserve">Модернизация каландра N 101</w:t>
            </w:r>
          </w:p>
        </w:tc>
        <w:tc>
          <w:tcPr>
            <w:tcW w:w="1305" w:type="dxa"/>
            <w:vAlign w:val="center"/>
          </w:tcPr>
          <w:p>
            <w:pPr>
              <w:pStyle w:val="0"/>
              <w:jc w:val="center"/>
            </w:pPr>
            <w:r>
              <w:rPr>
                <w:sz w:val="20"/>
              </w:rPr>
              <w:t xml:space="preserve">2019 - 2020 гг.</w:t>
            </w:r>
          </w:p>
        </w:tc>
        <w:tc>
          <w:tcPr>
            <w:tcW w:w="3005" w:type="dxa"/>
            <w:vAlign w:val="center"/>
          </w:tcPr>
          <w:p>
            <w:pPr>
              <w:pStyle w:val="0"/>
              <w:jc w:val="center"/>
            </w:pPr>
            <w:r>
              <w:rPr>
                <w:sz w:val="20"/>
              </w:rPr>
              <w:t xml:space="preserve">Модернизация каландра N 101</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114,7</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ЗАО "СЧЕТМАШ"</w:t>
            </w:r>
          </w:p>
        </w:tc>
        <w:tc>
          <w:tcPr>
            <w:tcW w:w="2551" w:type="dxa"/>
            <w:vAlign w:val="center"/>
          </w:tcPr>
          <w:p>
            <w:pPr>
              <w:pStyle w:val="0"/>
              <w:jc w:val="center"/>
            </w:pPr>
            <w:r>
              <w:rPr>
                <w:sz w:val="20"/>
              </w:rPr>
              <w:t xml:space="preserve">Освоение производства электронных блоков автоматизированных систем управления</w:t>
            </w:r>
          </w:p>
        </w:tc>
        <w:tc>
          <w:tcPr>
            <w:tcW w:w="1305" w:type="dxa"/>
            <w:vAlign w:val="center"/>
          </w:tcPr>
          <w:p>
            <w:pPr>
              <w:pStyle w:val="0"/>
              <w:jc w:val="center"/>
            </w:pPr>
            <w:r>
              <w:rPr>
                <w:sz w:val="20"/>
              </w:rPr>
              <w:t xml:space="preserve">2019 - 2021 гг.</w:t>
            </w:r>
          </w:p>
        </w:tc>
        <w:tc>
          <w:tcPr>
            <w:tcW w:w="3005" w:type="dxa"/>
            <w:vAlign w:val="center"/>
          </w:tcPr>
          <w:p>
            <w:pPr>
              <w:pStyle w:val="0"/>
              <w:jc w:val="center"/>
            </w:pPr>
            <w:r>
              <w:rPr>
                <w:sz w:val="20"/>
              </w:rPr>
              <w:t xml:space="preserve">Освоение производства электронных блоков автоматизированных систем управления</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50,0</w:t>
            </w:r>
          </w:p>
        </w:tc>
        <w:tc>
          <w:tcPr>
            <w:tcW w:w="1706" w:type="dxa"/>
            <w:vAlign w:val="center"/>
          </w:tcPr>
          <w:p>
            <w:pPr>
              <w:pStyle w:val="0"/>
              <w:jc w:val="center"/>
            </w:pPr>
            <w:r>
              <w:rPr>
                <w:sz w:val="20"/>
              </w:rPr>
              <w:t xml:space="preserve">20</w:t>
            </w:r>
          </w:p>
        </w:tc>
      </w:tr>
      <w:tr>
        <w:tc>
          <w:tcPr>
            <w:tcW w:w="2324" w:type="dxa"/>
            <w:vAlign w:val="center"/>
          </w:tcPr>
          <w:p>
            <w:pPr>
              <w:pStyle w:val="0"/>
              <w:jc w:val="center"/>
            </w:pPr>
            <w:r>
              <w:rPr>
                <w:sz w:val="20"/>
              </w:rPr>
              <w:t xml:space="preserve">АО "ГОТЭК"</w:t>
            </w:r>
          </w:p>
        </w:tc>
        <w:tc>
          <w:tcPr>
            <w:tcW w:w="2551" w:type="dxa"/>
            <w:vAlign w:val="center"/>
          </w:tcPr>
          <w:p>
            <w:pPr>
              <w:pStyle w:val="0"/>
              <w:jc w:val="center"/>
            </w:pPr>
            <w:r>
              <w:rPr>
                <w:sz w:val="20"/>
              </w:rPr>
              <w:t xml:space="preserve">Приобретение оборудования для проекта "Цифровой бутик"</w:t>
            </w:r>
          </w:p>
        </w:tc>
        <w:tc>
          <w:tcPr>
            <w:tcW w:w="1305" w:type="dxa"/>
            <w:vAlign w:val="center"/>
          </w:tcPr>
          <w:p>
            <w:pPr>
              <w:pStyle w:val="0"/>
              <w:jc w:val="center"/>
            </w:pPr>
            <w:r>
              <w:rPr>
                <w:sz w:val="20"/>
              </w:rPr>
              <w:t xml:space="preserve">2018 - 2023 гг.</w:t>
            </w:r>
          </w:p>
        </w:tc>
        <w:tc>
          <w:tcPr>
            <w:tcW w:w="3005" w:type="dxa"/>
            <w:vAlign w:val="center"/>
          </w:tcPr>
          <w:p>
            <w:pPr>
              <w:pStyle w:val="0"/>
              <w:jc w:val="center"/>
            </w:pPr>
            <w:r>
              <w:rPr>
                <w:sz w:val="20"/>
              </w:rPr>
              <w:t xml:space="preserve">Создание технологической базы для производства мелкотиражных заказов изделий POSM с использованием оборудования цифровой печати и резки</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176,0</w:t>
            </w:r>
          </w:p>
        </w:tc>
        <w:tc>
          <w:tcPr>
            <w:tcW w:w="1706" w:type="dxa"/>
            <w:vAlign w:val="center"/>
          </w:tcPr>
          <w:p>
            <w:pPr>
              <w:pStyle w:val="0"/>
              <w:jc w:val="center"/>
            </w:pPr>
            <w:r>
              <w:rPr>
                <w:sz w:val="20"/>
              </w:rPr>
              <w:t xml:space="preserve">1</w:t>
            </w:r>
          </w:p>
        </w:tc>
      </w:tr>
      <w:tr>
        <w:tc>
          <w:tcPr>
            <w:tcW w:w="2324" w:type="dxa"/>
            <w:vAlign w:val="center"/>
          </w:tcPr>
          <w:p>
            <w:pPr>
              <w:pStyle w:val="0"/>
              <w:jc w:val="center"/>
            </w:pPr>
            <w:r>
              <w:rPr>
                <w:sz w:val="20"/>
              </w:rPr>
              <w:t xml:space="preserve">АО "Полипак"</w:t>
            </w:r>
          </w:p>
        </w:tc>
        <w:tc>
          <w:tcPr>
            <w:tcW w:w="2551" w:type="dxa"/>
            <w:vAlign w:val="center"/>
          </w:tcPr>
          <w:p>
            <w:pPr>
              <w:pStyle w:val="0"/>
              <w:jc w:val="center"/>
            </w:pPr>
            <w:r>
              <w:rPr>
                <w:sz w:val="20"/>
              </w:rPr>
              <w:t xml:space="preserve">Приобретение ламинатора с дополнительной отделкой</w:t>
            </w:r>
          </w:p>
        </w:tc>
        <w:tc>
          <w:tcPr>
            <w:tcW w:w="1305" w:type="dxa"/>
            <w:vAlign w:val="center"/>
          </w:tcPr>
          <w:p>
            <w:pPr>
              <w:pStyle w:val="0"/>
              <w:jc w:val="center"/>
            </w:pPr>
            <w:r>
              <w:rPr>
                <w:sz w:val="20"/>
              </w:rPr>
              <w:t xml:space="preserve">2019 - 2020 гг.</w:t>
            </w:r>
          </w:p>
        </w:tc>
        <w:tc>
          <w:tcPr>
            <w:tcW w:w="3005" w:type="dxa"/>
            <w:vAlign w:val="center"/>
          </w:tcPr>
          <w:p>
            <w:pPr>
              <w:pStyle w:val="0"/>
              <w:jc w:val="center"/>
            </w:pPr>
            <w:r>
              <w:rPr>
                <w:sz w:val="20"/>
              </w:rPr>
              <w:t xml:space="preserve">Модернизация и техническое перевооружение производства</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66,0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АО "Полипак"</w:t>
            </w:r>
          </w:p>
        </w:tc>
        <w:tc>
          <w:tcPr>
            <w:tcW w:w="2551" w:type="dxa"/>
            <w:vAlign w:val="center"/>
          </w:tcPr>
          <w:p>
            <w:pPr>
              <w:pStyle w:val="0"/>
              <w:jc w:val="center"/>
            </w:pPr>
            <w:r>
              <w:rPr>
                <w:sz w:val="20"/>
              </w:rPr>
              <w:t xml:space="preserve">Приобретение</w:t>
            </w:r>
          </w:p>
          <w:p>
            <w:pPr>
              <w:pStyle w:val="0"/>
              <w:jc w:val="center"/>
            </w:pPr>
            <w:r>
              <w:rPr>
                <w:sz w:val="20"/>
              </w:rPr>
              <w:t xml:space="preserve">бабинореза</w:t>
            </w:r>
          </w:p>
        </w:tc>
        <w:tc>
          <w:tcPr>
            <w:tcW w:w="1305" w:type="dxa"/>
            <w:vAlign w:val="center"/>
          </w:tcPr>
          <w:p>
            <w:pPr>
              <w:pStyle w:val="0"/>
              <w:jc w:val="center"/>
            </w:pPr>
            <w:r>
              <w:rPr>
                <w:sz w:val="20"/>
              </w:rPr>
              <w:t xml:space="preserve">2019 - 2020 гг.</w:t>
            </w:r>
          </w:p>
        </w:tc>
        <w:tc>
          <w:tcPr>
            <w:tcW w:w="3005" w:type="dxa"/>
            <w:vAlign w:val="center"/>
          </w:tcPr>
          <w:p>
            <w:pPr>
              <w:pStyle w:val="0"/>
              <w:jc w:val="center"/>
            </w:pPr>
            <w:r>
              <w:rPr>
                <w:sz w:val="20"/>
              </w:rPr>
              <w:t xml:space="preserve">Модернизация и техническое перевооружение производства</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27,0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ООО "Союзтекстиль-СТ"</w:t>
            </w:r>
          </w:p>
        </w:tc>
        <w:tc>
          <w:tcPr>
            <w:tcW w:w="2551" w:type="dxa"/>
            <w:vAlign w:val="center"/>
          </w:tcPr>
          <w:p>
            <w:pPr>
              <w:pStyle w:val="0"/>
              <w:jc w:val="center"/>
            </w:pPr>
            <w:r>
              <w:rPr>
                <w:sz w:val="20"/>
              </w:rPr>
              <w:t xml:space="preserve">Создание производства синтетических полиэфирных нитей</w:t>
            </w:r>
          </w:p>
        </w:tc>
        <w:tc>
          <w:tcPr>
            <w:tcW w:w="1305" w:type="dxa"/>
            <w:vAlign w:val="center"/>
          </w:tcPr>
          <w:p>
            <w:pPr>
              <w:pStyle w:val="0"/>
              <w:jc w:val="center"/>
            </w:pPr>
            <w:r>
              <w:rPr>
                <w:sz w:val="20"/>
              </w:rPr>
              <w:t xml:space="preserve">2020 - 2023 гг.</w:t>
            </w:r>
          </w:p>
        </w:tc>
        <w:tc>
          <w:tcPr>
            <w:tcW w:w="3005" w:type="dxa"/>
            <w:vAlign w:val="center"/>
          </w:tcPr>
          <w:p>
            <w:pPr>
              <w:pStyle w:val="0"/>
              <w:jc w:val="center"/>
            </w:pPr>
            <w:r>
              <w:rPr>
                <w:sz w:val="20"/>
              </w:rPr>
              <w:t xml:space="preserve">Создание производства синтетических полиэфирных нитей</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878,0</w:t>
            </w:r>
          </w:p>
        </w:tc>
        <w:tc>
          <w:tcPr>
            <w:tcW w:w="1706" w:type="dxa"/>
            <w:vAlign w:val="center"/>
          </w:tcPr>
          <w:p>
            <w:pPr>
              <w:pStyle w:val="0"/>
              <w:jc w:val="center"/>
            </w:pPr>
            <w:r>
              <w:rPr>
                <w:sz w:val="20"/>
              </w:rPr>
              <w:t xml:space="preserve">100</w:t>
            </w:r>
          </w:p>
        </w:tc>
      </w:tr>
      <w:tr>
        <w:tc>
          <w:tcPr>
            <w:tcW w:w="2324" w:type="dxa"/>
            <w:vAlign w:val="center"/>
          </w:tcPr>
          <w:p>
            <w:pPr>
              <w:pStyle w:val="0"/>
              <w:jc w:val="center"/>
            </w:pPr>
            <w:r>
              <w:rPr>
                <w:sz w:val="20"/>
              </w:rPr>
              <w:t xml:space="preserve">ООО "Спецстрой-сервис"</w:t>
            </w:r>
          </w:p>
        </w:tc>
        <w:tc>
          <w:tcPr>
            <w:tcW w:w="2551" w:type="dxa"/>
            <w:vAlign w:val="center"/>
          </w:tcPr>
          <w:p>
            <w:pPr>
              <w:pStyle w:val="0"/>
              <w:jc w:val="center"/>
            </w:pPr>
            <w:r>
              <w:rPr>
                <w:sz w:val="20"/>
              </w:rPr>
              <w:t xml:space="preserve">Создание и развитие промышленного (индустриального) парка "Агрегат" формата "браунфилд" на незадействованных производственных площадях завода АПЗ-20</w:t>
            </w:r>
          </w:p>
        </w:tc>
        <w:tc>
          <w:tcPr>
            <w:tcW w:w="1305" w:type="dxa"/>
            <w:vAlign w:val="center"/>
          </w:tcPr>
          <w:p>
            <w:pPr>
              <w:pStyle w:val="0"/>
              <w:jc w:val="center"/>
            </w:pPr>
            <w:r>
              <w:rPr>
                <w:sz w:val="20"/>
              </w:rPr>
              <w:t xml:space="preserve">2016 - 2020 гг.</w:t>
            </w:r>
          </w:p>
        </w:tc>
        <w:tc>
          <w:tcPr>
            <w:tcW w:w="3005" w:type="dxa"/>
            <w:vAlign w:val="center"/>
          </w:tcPr>
          <w:p>
            <w:pPr>
              <w:pStyle w:val="0"/>
              <w:jc w:val="center"/>
            </w:pPr>
            <w:r>
              <w:rPr>
                <w:sz w:val="20"/>
              </w:rPr>
              <w:t xml:space="preserve">Создание (реконструкция объектов недвижимости), сертификация и развитие промышленного (индустриального) парка промышленно-производственного типа (для предприятий IV и V классов опасности) на свободных производственных площадях (территории) предприятия АПЗ-20</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400,0</w:t>
            </w:r>
          </w:p>
        </w:tc>
        <w:tc>
          <w:tcPr>
            <w:tcW w:w="1706" w:type="dxa"/>
            <w:vAlign w:val="center"/>
          </w:tcPr>
          <w:p>
            <w:pPr>
              <w:pStyle w:val="0"/>
              <w:jc w:val="center"/>
            </w:pPr>
            <w:r>
              <w:rPr>
                <w:sz w:val="20"/>
              </w:rPr>
              <w:t xml:space="preserve">450</w:t>
            </w:r>
          </w:p>
        </w:tc>
      </w:tr>
      <w:tr>
        <w:tc>
          <w:tcPr>
            <w:tcW w:w="2324" w:type="dxa"/>
            <w:vAlign w:val="center"/>
          </w:tcPr>
          <w:p>
            <w:pPr>
              <w:pStyle w:val="0"/>
              <w:jc w:val="center"/>
            </w:pPr>
            <w:r>
              <w:rPr>
                <w:sz w:val="20"/>
              </w:rPr>
              <w:t xml:space="preserve">МУП "Курскводоканал"</w:t>
            </w:r>
          </w:p>
        </w:tc>
        <w:tc>
          <w:tcPr>
            <w:tcW w:w="2551" w:type="dxa"/>
            <w:vAlign w:val="center"/>
          </w:tcPr>
          <w:p>
            <w:pPr>
              <w:pStyle w:val="0"/>
              <w:jc w:val="center"/>
            </w:pPr>
            <w:r>
              <w:rPr>
                <w:sz w:val="20"/>
              </w:rPr>
              <w:t xml:space="preserve">Реконструкция системы биологической очистки на городских очистных сооружениях</w:t>
            </w:r>
          </w:p>
        </w:tc>
        <w:tc>
          <w:tcPr>
            <w:tcW w:w="1305" w:type="dxa"/>
            <w:vAlign w:val="center"/>
          </w:tcPr>
          <w:p>
            <w:pPr>
              <w:pStyle w:val="0"/>
              <w:jc w:val="center"/>
            </w:pPr>
            <w:r>
              <w:rPr>
                <w:sz w:val="20"/>
              </w:rPr>
              <w:t xml:space="preserve">2016 - 2021 гг.</w:t>
            </w:r>
          </w:p>
        </w:tc>
        <w:tc>
          <w:tcPr>
            <w:tcW w:w="3005" w:type="dxa"/>
            <w:vAlign w:val="center"/>
          </w:tcPr>
          <w:p>
            <w:pPr>
              <w:pStyle w:val="0"/>
              <w:jc w:val="center"/>
            </w:pPr>
            <w:r>
              <w:rPr>
                <w:sz w:val="20"/>
              </w:rPr>
              <w:t xml:space="preserve">Реконструкция системы биологической очистки на городских очистных сооружениях</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2251,8</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ООО "Комплект"</w:t>
            </w:r>
          </w:p>
        </w:tc>
        <w:tc>
          <w:tcPr>
            <w:tcW w:w="2551" w:type="dxa"/>
            <w:vAlign w:val="center"/>
          </w:tcPr>
          <w:p>
            <w:pPr>
              <w:pStyle w:val="0"/>
              <w:jc w:val="center"/>
            </w:pPr>
            <w:r>
              <w:rPr>
                <w:sz w:val="20"/>
              </w:rPr>
              <w:t xml:space="preserve">Модернизация производства для выпуска новой продукции - мебельного крепежа: винтов-конфирматов и стяжек эксцентриковых, с целью импортозамещения на российском рынке</w:t>
            </w:r>
          </w:p>
        </w:tc>
        <w:tc>
          <w:tcPr>
            <w:tcW w:w="1305" w:type="dxa"/>
            <w:vAlign w:val="center"/>
          </w:tcPr>
          <w:p>
            <w:pPr>
              <w:pStyle w:val="0"/>
              <w:jc w:val="center"/>
            </w:pPr>
            <w:r>
              <w:rPr>
                <w:sz w:val="20"/>
              </w:rPr>
              <w:t xml:space="preserve">2019 - 2021 гг.</w:t>
            </w:r>
          </w:p>
        </w:tc>
        <w:tc>
          <w:tcPr>
            <w:tcW w:w="3005" w:type="dxa"/>
            <w:vAlign w:val="center"/>
          </w:tcPr>
          <w:p>
            <w:pPr>
              <w:pStyle w:val="0"/>
              <w:jc w:val="center"/>
            </w:pPr>
            <w:r>
              <w:rPr>
                <w:sz w:val="20"/>
              </w:rPr>
              <w:t xml:space="preserve">Приобретение</w:t>
            </w:r>
          </w:p>
          <w:p>
            <w:pPr>
              <w:pStyle w:val="0"/>
              <w:jc w:val="center"/>
            </w:pPr>
            <w:r>
              <w:rPr>
                <w:sz w:val="20"/>
              </w:rPr>
              <w:t xml:space="preserve">оборудования</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56,5</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ООО НПО "Композит"</w:t>
            </w:r>
          </w:p>
        </w:tc>
        <w:tc>
          <w:tcPr>
            <w:tcW w:w="2551" w:type="dxa"/>
            <w:vAlign w:val="center"/>
          </w:tcPr>
          <w:p>
            <w:pPr>
              <w:pStyle w:val="0"/>
              <w:jc w:val="center"/>
            </w:pPr>
            <w:r>
              <w:rPr>
                <w:sz w:val="20"/>
              </w:rPr>
              <w:t xml:space="preserve">Расширение действующего производства</w:t>
            </w:r>
          </w:p>
        </w:tc>
        <w:tc>
          <w:tcPr>
            <w:tcW w:w="1305" w:type="dxa"/>
            <w:vAlign w:val="center"/>
          </w:tcPr>
          <w:p>
            <w:pPr>
              <w:pStyle w:val="0"/>
              <w:jc w:val="center"/>
            </w:pPr>
            <w:r>
              <w:rPr>
                <w:sz w:val="20"/>
              </w:rPr>
              <w:t xml:space="preserve">2021 - 2022 гг.</w:t>
            </w:r>
          </w:p>
        </w:tc>
        <w:tc>
          <w:tcPr>
            <w:tcW w:w="3005" w:type="dxa"/>
            <w:vAlign w:val="center"/>
          </w:tcPr>
          <w:p>
            <w:pPr>
              <w:pStyle w:val="0"/>
              <w:jc w:val="center"/>
            </w:pPr>
            <w:r>
              <w:rPr>
                <w:sz w:val="20"/>
              </w:rPr>
              <w:t xml:space="preserve">Расширение действующего производства</w:t>
            </w:r>
          </w:p>
        </w:tc>
        <w:tc>
          <w:tcPr>
            <w:tcW w:w="2027" w:type="dxa"/>
            <w:vAlign w:val="center"/>
          </w:tcPr>
          <w:p>
            <w:pPr>
              <w:pStyle w:val="0"/>
              <w:jc w:val="center"/>
            </w:pPr>
            <w:r>
              <w:rPr>
                <w:sz w:val="20"/>
              </w:rPr>
              <w:t xml:space="preserve">планируемый</w:t>
            </w:r>
          </w:p>
        </w:tc>
        <w:tc>
          <w:tcPr>
            <w:tcW w:w="1590" w:type="dxa"/>
            <w:vAlign w:val="center"/>
          </w:tcPr>
          <w:p>
            <w:pPr>
              <w:pStyle w:val="0"/>
              <w:jc w:val="center"/>
            </w:pPr>
            <w:r>
              <w:rPr>
                <w:sz w:val="20"/>
              </w:rPr>
              <w:t xml:space="preserve">1500,0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АО "Курский завод КПД им. А.Ф. Дериглазова"</w:t>
            </w:r>
          </w:p>
        </w:tc>
        <w:tc>
          <w:tcPr>
            <w:tcW w:w="2551" w:type="dxa"/>
            <w:vAlign w:val="center"/>
          </w:tcPr>
          <w:p>
            <w:pPr>
              <w:pStyle w:val="0"/>
              <w:jc w:val="center"/>
            </w:pPr>
            <w:r>
              <w:rPr>
                <w:sz w:val="20"/>
              </w:rPr>
              <w:t xml:space="preserve">Строительство торгового центра "ДАФ" в жилом районе "Северный" города Курска</w:t>
            </w:r>
          </w:p>
        </w:tc>
        <w:tc>
          <w:tcPr>
            <w:tcW w:w="1305" w:type="dxa"/>
            <w:vAlign w:val="center"/>
          </w:tcPr>
          <w:p>
            <w:pPr>
              <w:pStyle w:val="0"/>
              <w:jc w:val="center"/>
            </w:pPr>
            <w:r>
              <w:rPr>
                <w:sz w:val="20"/>
              </w:rPr>
              <w:t xml:space="preserve">2015 - 2021 гг.</w:t>
            </w:r>
          </w:p>
        </w:tc>
        <w:tc>
          <w:tcPr>
            <w:tcW w:w="3005" w:type="dxa"/>
            <w:vAlign w:val="center"/>
          </w:tcPr>
          <w:p>
            <w:pPr>
              <w:pStyle w:val="0"/>
              <w:jc w:val="center"/>
            </w:pPr>
            <w:r>
              <w:rPr>
                <w:sz w:val="20"/>
              </w:rPr>
              <w:t xml:space="preserve">Строительство торгового центра "ДАФ" площадью застройки 24972,4 кв. м с подземной автостоянкой, кинотеатром, рестораном, кафе</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1900,0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АО "Курский завод КПД им. А.Ф. Дериглазова"</w:t>
            </w:r>
          </w:p>
        </w:tc>
        <w:tc>
          <w:tcPr>
            <w:tcW w:w="2551" w:type="dxa"/>
            <w:vAlign w:val="center"/>
          </w:tcPr>
          <w:p>
            <w:pPr>
              <w:pStyle w:val="0"/>
              <w:jc w:val="center"/>
            </w:pPr>
            <w:r>
              <w:rPr>
                <w:sz w:val="20"/>
              </w:rPr>
              <w:t xml:space="preserve">Строительство жилого района "Северный"</w:t>
            </w:r>
          </w:p>
        </w:tc>
        <w:tc>
          <w:tcPr>
            <w:tcW w:w="1305" w:type="dxa"/>
            <w:vAlign w:val="center"/>
          </w:tcPr>
          <w:p>
            <w:pPr>
              <w:pStyle w:val="0"/>
              <w:jc w:val="center"/>
            </w:pPr>
            <w:r>
              <w:rPr>
                <w:sz w:val="20"/>
              </w:rPr>
              <w:t xml:space="preserve">2010 - 2021 гг.</w:t>
            </w:r>
          </w:p>
        </w:tc>
        <w:tc>
          <w:tcPr>
            <w:tcW w:w="3005" w:type="dxa"/>
            <w:vAlign w:val="center"/>
          </w:tcPr>
          <w:p>
            <w:pPr>
              <w:pStyle w:val="0"/>
              <w:jc w:val="center"/>
            </w:pPr>
            <w:r>
              <w:rPr>
                <w:sz w:val="20"/>
              </w:rPr>
              <w:t xml:space="preserve">Строительство 16 - 17-этажных домов и 2-этажных усадебных жилых домов с населением 50 тыс. человек, а также объектов инфраструктуры</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9800,0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ООО "СМУ-46"</w:t>
            </w:r>
          </w:p>
        </w:tc>
        <w:tc>
          <w:tcPr>
            <w:tcW w:w="2551" w:type="dxa"/>
            <w:vAlign w:val="center"/>
          </w:tcPr>
          <w:p>
            <w:pPr>
              <w:pStyle w:val="0"/>
              <w:jc w:val="center"/>
            </w:pPr>
            <w:r>
              <w:rPr>
                <w:sz w:val="20"/>
              </w:rPr>
              <w:t xml:space="preserve">Овощехранилище</w:t>
            </w:r>
          </w:p>
        </w:tc>
        <w:tc>
          <w:tcPr>
            <w:tcW w:w="1305" w:type="dxa"/>
            <w:vAlign w:val="center"/>
          </w:tcPr>
          <w:p>
            <w:pPr>
              <w:pStyle w:val="0"/>
              <w:jc w:val="center"/>
            </w:pPr>
            <w:r>
              <w:rPr>
                <w:sz w:val="20"/>
              </w:rPr>
              <w:t xml:space="preserve">2019 - 2021</w:t>
            </w:r>
          </w:p>
          <w:p>
            <w:pPr>
              <w:pStyle w:val="0"/>
              <w:jc w:val="center"/>
            </w:pPr>
            <w:r>
              <w:rPr>
                <w:sz w:val="20"/>
              </w:rPr>
              <w:t xml:space="preserve">гг.</w:t>
            </w:r>
          </w:p>
        </w:tc>
        <w:tc>
          <w:tcPr>
            <w:tcW w:w="3005" w:type="dxa"/>
            <w:vAlign w:val="center"/>
          </w:tcPr>
          <w:p>
            <w:pPr>
              <w:pStyle w:val="0"/>
              <w:jc w:val="center"/>
            </w:pPr>
            <w:r>
              <w:rPr>
                <w:sz w:val="20"/>
              </w:rPr>
              <w:t xml:space="preserve">Возведение современного овощехранилища на 48 тыс. тонн сельскохозяйственной продукции на территории промышленного парка на выезде из Курска</w:t>
            </w:r>
          </w:p>
        </w:tc>
        <w:tc>
          <w:tcPr>
            <w:tcW w:w="2027" w:type="dxa"/>
            <w:vAlign w:val="center"/>
          </w:tcPr>
          <w:p>
            <w:pPr>
              <w:pStyle w:val="0"/>
              <w:jc w:val="center"/>
            </w:pPr>
            <w:r>
              <w:rPr>
                <w:sz w:val="20"/>
              </w:rPr>
              <w:t xml:space="preserve">планируемый</w:t>
            </w:r>
          </w:p>
        </w:tc>
        <w:tc>
          <w:tcPr>
            <w:tcW w:w="1590" w:type="dxa"/>
            <w:vAlign w:val="center"/>
          </w:tcPr>
          <w:p>
            <w:pPr>
              <w:pStyle w:val="0"/>
              <w:jc w:val="center"/>
            </w:pPr>
            <w:r>
              <w:rPr>
                <w:sz w:val="20"/>
              </w:rPr>
              <w:t xml:space="preserve">714,4</w:t>
            </w:r>
          </w:p>
        </w:tc>
        <w:tc>
          <w:tcPr>
            <w:tcW w:w="1706" w:type="dxa"/>
            <w:vAlign w:val="center"/>
          </w:tcPr>
          <w:p>
            <w:pPr>
              <w:pStyle w:val="0"/>
              <w:jc w:val="center"/>
            </w:pPr>
            <w:r>
              <w:rPr>
                <w:sz w:val="20"/>
              </w:rPr>
              <w:t xml:space="preserve">41</w:t>
            </w:r>
          </w:p>
        </w:tc>
      </w:tr>
      <w:tr>
        <w:tc>
          <w:tcPr>
            <w:tcW w:w="2324" w:type="dxa"/>
            <w:vAlign w:val="center"/>
          </w:tcPr>
          <w:p>
            <w:pPr>
              <w:pStyle w:val="0"/>
              <w:jc w:val="center"/>
            </w:pPr>
            <w:r>
              <w:rPr>
                <w:sz w:val="20"/>
              </w:rPr>
              <w:t xml:space="preserve">ОАО "Курскхлеб"</w:t>
            </w:r>
          </w:p>
        </w:tc>
        <w:tc>
          <w:tcPr>
            <w:tcW w:w="2551" w:type="dxa"/>
            <w:vAlign w:val="center"/>
          </w:tcPr>
          <w:p>
            <w:pPr>
              <w:pStyle w:val="0"/>
              <w:jc w:val="center"/>
            </w:pPr>
            <w:r>
              <w:rPr>
                <w:sz w:val="20"/>
              </w:rPr>
              <w:t xml:space="preserve">Реконструкция склада бестарного хранения муки</w:t>
            </w:r>
          </w:p>
        </w:tc>
        <w:tc>
          <w:tcPr>
            <w:tcW w:w="1305" w:type="dxa"/>
            <w:vAlign w:val="center"/>
          </w:tcPr>
          <w:p>
            <w:pPr>
              <w:pStyle w:val="0"/>
              <w:jc w:val="center"/>
            </w:pPr>
            <w:r>
              <w:rPr>
                <w:sz w:val="20"/>
              </w:rPr>
              <w:t xml:space="preserve">2019 - 2023 гг.</w:t>
            </w:r>
          </w:p>
        </w:tc>
        <w:tc>
          <w:tcPr>
            <w:tcW w:w="3005" w:type="dxa"/>
            <w:vAlign w:val="center"/>
          </w:tcPr>
          <w:p>
            <w:pPr>
              <w:pStyle w:val="0"/>
              <w:jc w:val="center"/>
            </w:pPr>
            <w:r>
              <w:rPr>
                <w:sz w:val="20"/>
              </w:rPr>
              <w:t xml:space="preserve">Реконструкция склада бестарного хранения муки с заменой мучных силосов, транспортных систем, участков взвешивания, смешивания и дозировки муки</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80,0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АО "Щигровский КХП"</w:t>
            </w:r>
          </w:p>
        </w:tc>
        <w:tc>
          <w:tcPr>
            <w:tcW w:w="2551" w:type="dxa"/>
            <w:vAlign w:val="center"/>
          </w:tcPr>
          <w:p>
            <w:pPr>
              <w:pStyle w:val="0"/>
              <w:jc w:val="center"/>
            </w:pPr>
            <w:r>
              <w:rPr>
                <w:sz w:val="20"/>
              </w:rPr>
              <w:t xml:space="preserve">Реконструкция комбикормового завода</w:t>
            </w:r>
          </w:p>
        </w:tc>
        <w:tc>
          <w:tcPr>
            <w:tcW w:w="1305" w:type="dxa"/>
            <w:vAlign w:val="center"/>
          </w:tcPr>
          <w:p>
            <w:pPr>
              <w:pStyle w:val="0"/>
              <w:jc w:val="center"/>
            </w:pPr>
            <w:r>
              <w:rPr>
                <w:sz w:val="20"/>
              </w:rPr>
              <w:t xml:space="preserve">2016 - 2020 гг.</w:t>
            </w:r>
          </w:p>
        </w:tc>
        <w:tc>
          <w:tcPr>
            <w:tcW w:w="3005" w:type="dxa"/>
            <w:vAlign w:val="center"/>
          </w:tcPr>
          <w:p>
            <w:pPr>
              <w:pStyle w:val="0"/>
              <w:jc w:val="center"/>
            </w:pPr>
            <w:r>
              <w:rPr>
                <w:sz w:val="20"/>
              </w:rPr>
              <w:t xml:space="preserve">Строительство и ввод в эксплуатацию котельной, емкостей для готовых комбикормов, склада сырья и готовой продукции, замена оборудования</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332,0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АО "Щигровский КХП"</w:t>
            </w:r>
          </w:p>
        </w:tc>
        <w:tc>
          <w:tcPr>
            <w:tcW w:w="2551" w:type="dxa"/>
            <w:vAlign w:val="center"/>
          </w:tcPr>
          <w:p>
            <w:pPr>
              <w:pStyle w:val="0"/>
              <w:jc w:val="center"/>
            </w:pPr>
            <w:r>
              <w:rPr>
                <w:sz w:val="20"/>
              </w:rPr>
              <w:t xml:space="preserve">Строительство мощностей по подработке, хранению и перевалке зерновых и масличных культур</w:t>
            </w:r>
          </w:p>
        </w:tc>
        <w:tc>
          <w:tcPr>
            <w:tcW w:w="1305" w:type="dxa"/>
            <w:vAlign w:val="center"/>
          </w:tcPr>
          <w:p>
            <w:pPr>
              <w:pStyle w:val="0"/>
              <w:jc w:val="center"/>
            </w:pPr>
            <w:r>
              <w:rPr>
                <w:sz w:val="20"/>
              </w:rPr>
              <w:t xml:space="preserve">2017 - 2020 гг.</w:t>
            </w:r>
          </w:p>
        </w:tc>
        <w:tc>
          <w:tcPr>
            <w:tcW w:w="3005" w:type="dxa"/>
            <w:vAlign w:val="center"/>
          </w:tcPr>
          <w:p>
            <w:pPr>
              <w:pStyle w:val="0"/>
              <w:jc w:val="center"/>
            </w:pPr>
            <w:r>
              <w:rPr>
                <w:sz w:val="20"/>
              </w:rPr>
              <w:t xml:space="preserve">Строительство и ввод в эксплуатацию емкостей единовременного хранения зерна на 100 тыс. тонн, оборудования для сушки и очистки зерна, реконструкция действующего элеватора с приемным пунктом</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1924,0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ООО "Курские кролики"</w:t>
            </w:r>
          </w:p>
        </w:tc>
        <w:tc>
          <w:tcPr>
            <w:tcW w:w="2551" w:type="dxa"/>
            <w:vAlign w:val="center"/>
          </w:tcPr>
          <w:p>
            <w:pPr>
              <w:pStyle w:val="0"/>
              <w:jc w:val="center"/>
            </w:pPr>
            <w:r>
              <w:rPr>
                <w:sz w:val="20"/>
              </w:rPr>
              <w:t xml:space="preserve">Автоматизированное выращивание кролика в промышленных масштабах</w:t>
            </w:r>
          </w:p>
        </w:tc>
        <w:tc>
          <w:tcPr>
            <w:tcW w:w="1305" w:type="dxa"/>
            <w:vAlign w:val="center"/>
          </w:tcPr>
          <w:p>
            <w:pPr>
              <w:pStyle w:val="0"/>
              <w:jc w:val="center"/>
            </w:pPr>
            <w:r>
              <w:rPr>
                <w:sz w:val="20"/>
              </w:rPr>
              <w:t xml:space="preserve">2020 - 2021 гг.</w:t>
            </w:r>
          </w:p>
        </w:tc>
        <w:tc>
          <w:tcPr>
            <w:tcW w:w="3005" w:type="dxa"/>
            <w:vAlign w:val="center"/>
          </w:tcPr>
          <w:p>
            <w:pPr>
              <w:pStyle w:val="0"/>
              <w:jc w:val="center"/>
            </w:pPr>
            <w:r>
              <w:rPr>
                <w:sz w:val="20"/>
              </w:rPr>
              <w:t xml:space="preserve">Создание современного автоматизированного промышленного производства выращивания кроликов по итальянской технологии FEBA;</w:t>
            </w:r>
          </w:p>
          <w:p>
            <w:pPr>
              <w:pStyle w:val="0"/>
              <w:jc w:val="center"/>
            </w:pPr>
            <w:r>
              <w:rPr>
                <w:sz w:val="20"/>
              </w:rPr>
              <w:t xml:space="preserve">обеспечение рынка диетическим, экологически чистым, биологически ценным мясом</w:t>
            </w:r>
          </w:p>
        </w:tc>
        <w:tc>
          <w:tcPr>
            <w:tcW w:w="2027" w:type="dxa"/>
            <w:vAlign w:val="center"/>
          </w:tcPr>
          <w:p>
            <w:pPr>
              <w:pStyle w:val="0"/>
              <w:jc w:val="center"/>
            </w:pPr>
            <w:r>
              <w:rPr>
                <w:sz w:val="20"/>
              </w:rPr>
              <w:t xml:space="preserve">планирование</w:t>
            </w:r>
          </w:p>
        </w:tc>
        <w:tc>
          <w:tcPr>
            <w:tcW w:w="1590" w:type="dxa"/>
            <w:vAlign w:val="center"/>
          </w:tcPr>
          <w:p>
            <w:pPr>
              <w:pStyle w:val="0"/>
              <w:jc w:val="center"/>
            </w:pPr>
            <w:r>
              <w:rPr>
                <w:sz w:val="20"/>
              </w:rPr>
              <w:t xml:space="preserve">1300,0</w:t>
            </w:r>
          </w:p>
        </w:tc>
        <w:tc>
          <w:tcPr>
            <w:tcW w:w="1706" w:type="dxa"/>
            <w:vAlign w:val="center"/>
          </w:tcPr>
          <w:p>
            <w:pPr>
              <w:pStyle w:val="0"/>
              <w:jc w:val="center"/>
            </w:pPr>
            <w:r>
              <w:rPr>
                <w:sz w:val="20"/>
              </w:rPr>
              <w:t xml:space="preserve">165</w:t>
            </w:r>
          </w:p>
        </w:tc>
      </w:tr>
      <w:tr>
        <w:tc>
          <w:tcPr>
            <w:tcW w:w="2324" w:type="dxa"/>
            <w:vAlign w:val="center"/>
          </w:tcPr>
          <w:p>
            <w:pPr>
              <w:pStyle w:val="0"/>
              <w:jc w:val="center"/>
            </w:pPr>
            <w:r>
              <w:rPr>
                <w:sz w:val="20"/>
              </w:rPr>
              <w:t xml:space="preserve">ООО "Псельское"</w:t>
            </w:r>
          </w:p>
        </w:tc>
        <w:tc>
          <w:tcPr>
            <w:tcW w:w="2551" w:type="dxa"/>
            <w:vAlign w:val="center"/>
          </w:tcPr>
          <w:p>
            <w:pPr>
              <w:pStyle w:val="0"/>
              <w:jc w:val="center"/>
            </w:pPr>
            <w:r>
              <w:rPr>
                <w:sz w:val="20"/>
              </w:rPr>
              <w:t xml:space="preserve">Закладка промышленного интенсивного безопорного яблоневого сада на площади 150 гектаров</w:t>
            </w:r>
          </w:p>
        </w:tc>
        <w:tc>
          <w:tcPr>
            <w:tcW w:w="1305" w:type="dxa"/>
            <w:vAlign w:val="center"/>
          </w:tcPr>
          <w:p>
            <w:pPr>
              <w:pStyle w:val="0"/>
              <w:jc w:val="center"/>
            </w:pPr>
            <w:r>
              <w:rPr>
                <w:sz w:val="20"/>
              </w:rPr>
              <w:t xml:space="preserve">2016 - 2020 гг.</w:t>
            </w:r>
          </w:p>
        </w:tc>
        <w:tc>
          <w:tcPr>
            <w:tcW w:w="3005" w:type="dxa"/>
            <w:vAlign w:val="center"/>
          </w:tcPr>
          <w:p>
            <w:pPr>
              <w:pStyle w:val="0"/>
              <w:jc w:val="center"/>
            </w:pPr>
            <w:r>
              <w:rPr>
                <w:sz w:val="20"/>
              </w:rPr>
              <w:t xml:space="preserve">Закладка промышленного интенсивного безопорного яблоневого сада на площади 150 гектаров</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226,0</w:t>
            </w:r>
          </w:p>
        </w:tc>
        <w:tc>
          <w:tcPr>
            <w:tcW w:w="1706" w:type="dxa"/>
            <w:vAlign w:val="center"/>
          </w:tcPr>
          <w:p>
            <w:pPr>
              <w:pStyle w:val="0"/>
              <w:jc w:val="center"/>
            </w:pPr>
            <w:r>
              <w:rPr>
                <w:sz w:val="20"/>
              </w:rPr>
              <w:t xml:space="preserve">137</w:t>
            </w:r>
          </w:p>
        </w:tc>
      </w:tr>
      <w:tr>
        <w:tc>
          <w:tcPr>
            <w:tcW w:w="2324" w:type="dxa"/>
            <w:vAlign w:val="center"/>
          </w:tcPr>
          <w:p>
            <w:pPr>
              <w:pStyle w:val="0"/>
              <w:jc w:val="center"/>
            </w:pPr>
            <w:r>
              <w:rPr>
                <w:sz w:val="20"/>
              </w:rPr>
              <w:t xml:space="preserve">ООО "Курсксахарпром" филиал Золотухинский</w:t>
            </w:r>
          </w:p>
        </w:tc>
        <w:tc>
          <w:tcPr>
            <w:tcW w:w="2551" w:type="dxa"/>
            <w:vAlign w:val="center"/>
          </w:tcPr>
          <w:p>
            <w:pPr>
              <w:pStyle w:val="0"/>
              <w:jc w:val="center"/>
            </w:pPr>
            <w:r>
              <w:rPr>
                <w:sz w:val="20"/>
              </w:rPr>
              <w:t xml:space="preserve">Модернизация производства (увеличение мощности предприятия с 5,4 тыс. тонн/сут. до 12 тыс. тонн/сут.)</w:t>
            </w:r>
          </w:p>
        </w:tc>
        <w:tc>
          <w:tcPr>
            <w:tcW w:w="1305" w:type="dxa"/>
            <w:vAlign w:val="center"/>
          </w:tcPr>
          <w:p>
            <w:pPr>
              <w:pStyle w:val="0"/>
              <w:jc w:val="center"/>
            </w:pPr>
            <w:r>
              <w:rPr>
                <w:sz w:val="20"/>
              </w:rPr>
              <w:t xml:space="preserve">2016 - 2025 гг.</w:t>
            </w:r>
          </w:p>
        </w:tc>
        <w:tc>
          <w:tcPr>
            <w:tcW w:w="3005" w:type="dxa"/>
            <w:vAlign w:val="center"/>
          </w:tcPr>
          <w:p>
            <w:pPr>
              <w:pStyle w:val="0"/>
              <w:jc w:val="center"/>
            </w:pPr>
            <w:r>
              <w:rPr>
                <w:sz w:val="20"/>
              </w:rPr>
              <w:t xml:space="preserve">Увеличение объемов производства в 2 раза. Строительство 3 складских помещений, жомосушилки и свеклопункта в п. Рышково емкостью 150 тыс. тонн свеклы</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2183,3</w:t>
            </w:r>
          </w:p>
        </w:tc>
        <w:tc>
          <w:tcPr>
            <w:tcW w:w="1706" w:type="dxa"/>
            <w:vAlign w:val="center"/>
          </w:tcPr>
          <w:p>
            <w:pPr>
              <w:pStyle w:val="0"/>
              <w:jc w:val="center"/>
            </w:pPr>
            <w:r>
              <w:rPr>
                <w:sz w:val="20"/>
              </w:rPr>
              <w:t xml:space="preserve">20</w:t>
            </w:r>
          </w:p>
        </w:tc>
      </w:tr>
      <w:tr>
        <w:tc>
          <w:tcPr>
            <w:tcW w:w="2324" w:type="dxa"/>
            <w:vAlign w:val="center"/>
          </w:tcPr>
          <w:p>
            <w:pPr>
              <w:pStyle w:val="0"/>
              <w:jc w:val="center"/>
            </w:pPr>
            <w:r>
              <w:rPr>
                <w:sz w:val="20"/>
              </w:rPr>
              <w:t xml:space="preserve">ООО "КурскАгроАктив"</w:t>
            </w:r>
          </w:p>
        </w:tc>
        <w:tc>
          <w:tcPr>
            <w:tcW w:w="2551" w:type="dxa"/>
            <w:vAlign w:val="center"/>
          </w:tcPr>
          <w:p>
            <w:pPr>
              <w:pStyle w:val="0"/>
              <w:jc w:val="center"/>
            </w:pPr>
            <w:r>
              <w:rPr>
                <w:sz w:val="20"/>
              </w:rPr>
              <w:t xml:space="preserve">Строительство селекционного центра</w:t>
            </w:r>
          </w:p>
        </w:tc>
        <w:tc>
          <w:tcPr>
            <w:tcW w:w="1305" w:type="dxa"/>
            <w:vAlign w:val="center"/>
          </w:tcPr>
          <w:p>
            <w:pPr>
              <w:pStyle w:val="0"/>
              <w:jc w:val="center"/>
            </w:pPr>
            <w:r>
              <w:rPr>
                <w:sz w:val="20"/>
              </w:rPr>
              <w:t xml:space="preserve">2018 - 2020 гг.</w:t>
            </w:r>
          </w:p>
        </w:tc>
        <w:tc>
          <w:tcPr>
            <w:tcW w:w="3005" w:type="dxa"/>
            <w:vAlign w:val="center"/>
          </w:tcPr>
          <w:p>
            <w:pPr>
              <w:pStyle w:val="0"/>
              <w:jc w:val="center"/>
            </w:pPr>
            <w:r>
              <w:rPr>
                <w:sz w:val="20"/>
              </w:rPr>
              <w:t xml:space="preserve">Строительство селекционного центра</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200,0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ООО "Грибная радуга"</w:t>
            </w:r>
          </w:p>
        </w:tc>
        <w:tc>
          <w:tcPr>
            <w:tcW w:w="2551" w:type="dxa"/>
            <w:vAlign w:val="center"/>
          </w:tcPr>
          <w:p>
            <w:pPr>
              <w:pStyle w:val="0"/>
              <w:jc w:val="center"/>
            </w:pPr>
            <w:r>
              <w:rPr>
                <w:sz w:val="20"/>
              </w:rPr>
              <w:t xml:space="preserve">Выращивание культивированных грибов (шампиньонов), увеличение внутреннего рынка производства грибов</w:t>
            </w:r>
          </w:p>
        </w:tc>
        <w:tc>
          <w:tcPr>
            <w:tcW w:w="1305" w:type="dxa"/>
            <w:vAlign w:val="center"/>
          </w:tcPr>
          <w:p>
            <w:pPr>
              <w:pStyle w:val="0"/>
              <w:jc w:val="center"/>
            </w:pPr>
            <w:r>
              <w:rPr>
                <w:sz w:val="20"/>
              </w:rPr>
              <w:t xml:space="preserve">2017</w:t>
            </w:r>
          </w:p>
          <w:p>
            <w:pPr>
              <w:pStyle w:val="0"/>
              <w:jc w:val="center"/>
            </w:pPr>
            <w:r>
              <w:rPr>
                <w:sz w:val="20"/>
              </w:rPr>
              <w:t xml:space="preserve">- 2020 гг.</w:t>
            </w:r>
          </w:p>
        </w:tc>
        <w:tc>
          <w:tcPr>
            <w:tcW w:w="3005" w:type="dxa"/>
            <w:vAlign w:val="center"/>
          </w:tcPr>
          <w:p>
            <w:pPr>
              <w:pStyle w:val="0"/>
              <w:jc w:val="center"/>
            </w:pPr>
            <w:r>
              <w:rPr>
                <w:sz w:val="20"/>
              </w:rPr>
              <w:t xml:space="preserve">Создание нового агропромышленного тепличного комплекса по производству культивируемых грибов шампиньонов на собственном компосте мощностью 29,3 тыс. тонн свежего гриба в год</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8730,0</w:t>
            </w:r>
          </w:p>
        </w:tc>
        <w:tc>
          <w:tcPr>
            <w:tcW w:w="1706" w:type="dxa"/>
            <w:vAlign w:val="center"/>
          </w:tcPr>
          <w:p>
            <w:pPr>
              <w:pStyle w:val="0"/>
              <w:jc w:val="center"/>
            </w:pPr>
            <w:r>
              <w:rPr>
                <w:sz w:val="20"/>
              </w:rPr>
              <w:t xml:space="preserve">700</w:t>
            </w:r>
          </w:p>
        </w:tc>
      </w:tr>
      <w:tr>
        <w:tc>
          <w:tcPr>
            <w:tcW w:w="2324" w:type="dxa"/>
            <w:vAlign w:val="center"/>
          </w:tcPr>
          <w:p>
            <w:pPr>
              <w:pStyle w:val="0"/>
              <w:jc w:val="center"/>
            </w:pPr>
            <w:r>
              <w:rPr>
                <w:sz w:val="20"/>
              </w:rPr>
              <w:t xml:space="preserve">ООО "Иннпром-биотех"</w:t>
            </w:r>
          </w:p>
        </w:tc>
        <w:tc>
          <w:tcPr>
            <w:tcW w:w="2551" w:type="dxa"/>
            <w:vAlign w:val="center"/>
          </w:tcPr>
          <w:p>
            <w:pPr>
              <w:pStyle w:val="0"/>
              <w:jc w:val="center"/>
            </w:pPr>
            <w:r>
              <w:rPr>
                <w:sz w:val="20"/>
              </w:rPr>
              <w:t xml:space="preserve">Создание высокоэффективного комплекса по глубокой переработке пшеницы мощностью 250 тыс. т в год</w:t>
            </w:r>
          </w:p>
        </w:tc>
        <w:tc>
          <w:tcPr>
            <w:tcW w:w="1305" w:type="dxa"/>
            <w:vAlign w:val="center"/>
          </w:tcPr>
          <w:p>
            <w:pPr>
              <w:pStyle w:val="0"/>
              <w:jc w:val="center"/>
            </w:pPr>
            <w:r>
              <w:rPr>
                <w:sz w:val="20"/>
              </w:rPr>
              <w:t xml:space="preserve">2020 - 2028 гг.</w:t>
            </w:r>
          </w:p>
        </w:tc>
        <w:tc>
          <w:tcPr>
            <w:tcW w:w="3005" w:type="dxa"/>
            <w:vAlign w:val="center"/>
          </w:tcPr>
          <w:p>
            <w:pPr>
              <w:pStyle w:val="0"/>
              <w:jc w:val="center"/>
            </w:pPr>
            <w:r>
              <w:rPr>
                <w:sz w:val="20"/>
              </w:rPr>
              <w:t xml:space="preserve">Создание высокоэффективного комплекса по глубокой переработке пшеницы мощностью 250 тыс. т в год в пищевые ингредиенты: сухую пшеничную клейковину, модифицированные крахмалы, сухой глюкозный сироп, карамельную патоку, кормовую добавку, мальтодекстрин</w:t>
            </w:r>
          </w:p>
        </w:tc>
        <w:tc>
          <w:tcPr>
            <w:tcW w:w="2027" w:type="dxa"/>
            <w:vAlign w:val="center"/>
          </w:tcPr>
          <w:p>
            <w:pPr>
              <w:pStyle w:val="0"/>
              <w:jc w:val="center"/>
            </w:pPr>
            <w:r>
              <w:rPr>
                <w:sz w:val="20"/>
              </w:rPr>
              <w:t xml:space="preserve">планируемый</w:t>
            </w:r>
          </w:p>
        </w:tc>
        <w:tc>
          <w:tcPr>
            <w:tcW w:w="1590" w:type="dxa"/>
            <w:vAlign w:val="center"/>
          </w:tcPr>
          <w:p>
            <w:pPr>
              <w:pStyle w:val="0"/>
              <w:jc w:val="center"/>
            </w:pPr>
            <w:r>
              <w:rPr>
                <w:sz w:val="20"/>
              </w:rPr>
              <w:t xml:space="preserve">16593,0</w:t>
            </w:r>
          </w:p>
        </w:tc>
        <w:tc>
          <w:tcPr>
            <w:tcW w:w="1706" w:type="dxa"/>
            <w:vAlign w:val="center"/>
          </w:tcPr>
          <w:p>
            <w:pPr>
              <w:pStyle w:val="0"/>
              <w:jc w:val="center"/>
            </w:pPr>
            <w:r>
              <w:rPr>
                <w:sz w:val="20"/>
              </w:rPr>
              <w:t xml:space="preserve">249</w:t>
            </w:r>
          </w:p>
        </w:tc>
      </w:tr>
      <w:tr>
        <w:tc>
          <w:tcPr>
            <w:tcW w:w="2324" w:type="dxa"/>
            <w:vAlign w:val="center"/>
          </w:tcPr>
          <w:p>
            <w:pPr>
              <w:pStyle w:val="0"/>
              <w:jc w:val="center"/>
            </w:pPr>
            <w:r>
              <w:rPr>
                <w:sz w:val="20"/>
              </w:rPr>
              <w:t xml:space="preserve">ООО "Русский ячмень"</w:t>
            </w:r>
          </w:p>
        </w:tc>
        <w:tc>
          <w:tcPr>
            <w:tcW w:w="2551" w:type="dxa"/>
            <w:vAlign w:val="center"/>
          </w:tcPr>
          <w:p>
            <w:pPr>
              <w:pStyle w:val="0"/>
              <w:jc w:val="center"/>
            </w:pPr>
            <w:r>
              <w:rPr>
                <w:sz w:val="20"/>
              </w:rPr>
              <w:t xml:space="preserve">Строительство элеватора мощностью единовременного хранения зерна - 100 тыс. тонн</w:t>
            </w:r>
          </w:p>
        </w:tc>
        <w:tc>
          <w:tcPr>
            <w:tcW w:w="1305" w:type="dxa"/>
            <w:vAlign w:val="center"/>
          </w:tcPr>
          <w:p>
            <w:pPr>
              <w:pStyle w:val="0"/>
              <w:jc w:val="center"/>
            </w:pPr>
            <w:r>
              <w:rPr>
                <w:sz w:val="20"/>
              </w:rPr>
              <w:t xml:space="preserve">2015 - 2020 гг.</w:t>
            </w:r>
          </w:p>
        </w:tc>
        <w:tc>
          <w:tcPr>
            <w:tcW w:w="3005" w:type="dxa"/>
            <w:vAlign w:val="center"/>
          </w:tcPr>
          <w:p>
            <w:pPr>
              <w:pStyle w:val="0"/>
              <w:jc w:val="center"/>
            </w:pPr>
            <w:r>
              <w:rPr>
                <w:sz w:val="20"/>
              </w:rPr>
              <w:t xml:space="preserve">Строительство современного элеватора, позволяющего обеспечить мощность единовременного хранения зерна - 100 тыс. тонн</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920,0</w:t>
            </w:r>
          </w:p>
        </w:tc>
        <w:tc>
          <w:tcPr>
            <w:tcW w:w="1706" w:type="dxa"/>
            <w:vAlign w:val="center"/>
          </w:tcPr>
          <w:p>
            <w:pPr>
              <w:pStyle w:val="0"/>
              <w:jc w:val="center"/>
            </w:pPr>
            <w:r>
              <w:rPr>
                <w:sz w:val="20"/>
              </w:rPr>
              <w:t xml:space="preserve">11</w:t>
            </w:r>
          </w:p>
        </w:tc>
      </w:tr>
      <w:tr>
        <w:tc>
          <w:tcPr>
            <w:tcW w:w="2324" w:type="dxa"/>
            <w:vAlign w:val="center"/>
          </w:tcPr>
          <w:p>
            <w:pPr>
              <w:pStyle w:val="0"/>
              <w:jc w:val="center"/>
            </w:pPr>
            <w:r>
              <w:rPr>
                <w:sz w:val="20"/>
              </w:rPr>
              <w:t xml:space="preserve">ООО "Зоринский сад"</w:t>
            </w:r>
          </w:p>
        </w:tc>
        <w:tc>
          <w:tcPr>
            <w:tcW w:w="2551" w:type="dxa"/>
            <w:vAlign w:val="center"/>
          </w:tcPr>
          <w:p>
            <w:pPr>
              <w:pStyle w:val="0"/>
              <w:jc w:val="center"/>
            </w:pPr>
            <w:r>
              <w:rPr>
                <w:sz w:val="20"/>
              </w:rPr>
              <w:t xml:space="preserve">Закладка сада интенсивного типа и реконструкция фруктохранилища</w:t>
            </w:r>
          </w:p>
        </w:tc>
        <w:tc>
          <w:tcPr>
            <w:tcW w:w="1305" w:type="dxa"/>
            <w:vAlign w:val="center"/>
          </w:tcPr>
          <w:p>
            <w:pPr>
              <w:pStyle w:val="0"/>
              <w:jc w:val="center"/>
            </w:pPr>
            <w:r>
              <w:rPr>
                <w:sz w:val="20"/>
              </w:rPr>
              <w:t xml:space="preserve">2016 - 2020 гг.</w:t>
            </w:r>
          </w:p>
        </w:tc>
        <w:tc>
          <w:tcPr>
            <w:tcW w:w="3005" w:type="dxa"/>
            <w:vAlign w:val="center"/>
          </w:tcPr>
          <w:p>
            <w:pPr>
              <w:pStyle w:val="0"/>
              <w:jc w:val="center"/>
            </w:pPr>
            <w:r>
              <w:rPr>
                <w:sz w:val="20"/>
              </w:rPr>
              <w:t xml:space="preserve">Закладка сада интенсивного типа и реконструкция фруктохранилища</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400,0</w:t>
            </w:r>
          </w:p>
        </w:tc>
        <w:tc>
          <w:tcPr>
            <w:tcW w:w="1706" w:type="dxa"/>
            <w:vAlign w:val="center"/>
          </w:tcPr>
          <w:p>
            <w:pPr>
              <w:pStyle w:val="0"/>
              <w:jc w:val="center"/>
            </w:pPr>
            <w:r>
              <w:rPr>
                <w:sz w:val="20"/>
              </w:rPr>
              <w:t xml:space="preserve">50</w:t>
            </w:r>
          </w:p>
        </w:tc>
      </w:tr>
      <w:tr>
        <w:tc>
          <w:tcPr>
            <w:tcW w:w="2324" w:type="dxa"/>
            <w:vAlign w:val="center"/>
          </w:tcPr>
          <w:p>
            <w:pPr>
              <w:pStyle w:val="0"/>
              <w:jc w:val="center"/>
            </w:pPr>
            <w:r>
              <w:rPr>
                <w:sz w:val="20"/>
              </w:rPr>
              <w:t xml:space="preserve">ООО "АПХ "Мираторг"</w:t>
            </w:r>
          </w:p>
        </w:tc>
        <w:tc>
          <w:tcPr>
            <w:tcW w:w="2551" w:type="dxa"/>
            <w:vAlign w:val="center"/>
          </w:tcPr>
          <w:p>
            <w:pPr>
              <w:pStyle w:val="0"/>
              <w:jc w:val="center"/>
            </w:pPr>
            <w:r>
              <w:rPr>
                <w:sz w:val="20"/>
              </w:rPr>
              <w:t xml:space="preserve">Удвоение свиноводства. Строительство свиноводческих комплексов, комбикормового завода, мясохладобойни мощностью 4,5 млн. голов в год по убою и переработке свиней вблизи с. Черницыно Октябрьского района Курской области</w:t>
            </w:r>
          </w:p>
        </w:tc>
        <w:tc>
          <w:tcPr>
            <w:tcW w:w="1305" w:type="dxa"/>
            <w:vAlign w:val="center"/>
          </w:tcPr>
          <w:p>
            <w:pPr>
              <w:pStyle w:val="0"/>
              <w:jc w:val="center"/>
            </w:pPr>
            <w:r>
              <w:rPr>
                <w:sz w:val="20"/>
              </w:rPr>
              <w:t xml:space="preserve">2017 - 2024 гг.</w:t>
            </w:r>
          </w:p>
        </w:tc>
        <w:tc>
          <w:tcPr>
            <w:tcW w:w="3005" w:type="dxa"/>
            <w:vAlign w:val="center"/>
          </w:tcPr>
          <w:p>
            <w:pPr>
              <w:pStyle w:val="0"/>
              <w:jc w:val="center"/>
            </w:pPr>
            <w:r>
              <w:rPr>
                <w:sz w:val="20"/>
              </w:rPr>
              <w:t xml:space="preserve">Строительство свиноводческих комплексов, комбикормового завода, мясохладобойни мощностью 4,5 млн. голов в год по убою и переработке свиней вблизи с. Черницыно Октябрьского района Курской области</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94000,0</w:t>
            </w:r>
          </w:p>
        </w:tc>
        <w:tc>
          <w:tcPr>
            <w:tcW w:w="1706" w:type="dxa"/>
            <w:vAlign w:val="center"/>
          </w:tcPr>
          <w:p>
            <w:pPr>
              <w:pStyle w:val="0"/>
              <w:jc w:val="center"/>
            </w:pPr>
            <w:r>
              <w:rPr>
                <w:sz w:val="20"/>
              </w:rPr>
              <w:t xml:space="preserve">6000</w:t>
            </w:r>
          </w:p>
        </w:tc>
      </w:tr>
      <w:tr>
        <w:tc>
          <w:tcPr>
            <w:tcW w:w="2324" w:type="dxa"/>
            <w:vAlign w:val="center"/>
          </w:tcPr>
          <w:p>
            <w:pPr>
              <w:pStyle w:val="0"/>
              <w:jc w:val="center"/>
            </w:pPr>
            <w:r>
              <w:rPr>
                <w:sz w:val="20"/>
              </w:rPr>
              <w:t xml:space="preserve">ООО "Защитное"</w:t>
            </w:r>
          </w:p>
        </w:tc>
        <w:tc>
          <w:tcPr>
            <w:tcW w:w="2551" w:type="dxa"/>
            <w:vAlign w:val="center"/>
          </w:tcPr>
          <w:p>
            <w:pPr>
              <w:pStyle w:val="0"/>
              <w:jc w:val="center"/>
            </w:pPr>
            <w:r>
              <w:rPr>
                <w:sz w:val="20"/>
              </w:rPr>
              <w:t xml:space="preserve">Строительство селекционно-семеноводческого центра в растениеводстве Щигровском районе</w:t>
            </w:r>
          </w:p>
        </w:tc>
        <w:tc>
          <w:tcPr>
            <w:tcW w:w="1305" w:type="dxa"/>
            <w:vAlign w:val="center"/>
          </w:tcPr>
          <w:p>
            <w:pPr>
              <w:pStyle w:val="0"/>
              <w:jc w:val="center"/>
            </w:pPr>
            <w:r>
              <w:rPr>
                <w:sz w:val="20"/>
              </w:rPr>
              <w:t xml:space="preserve">2018 - 2022</w:t>
            </w:r>
          </w:p>
          <w:p>
            <w:pPr>
              <w:pStyle w:val="0"/>
              <w:jc w:val="center"/>
            </w:pPr>
            <w:r>
              <w:rPr>
                <w:sz w:val="20"/>
              </w:rPr>
              <w:t xml:space="preserve">гг.</w:t>
            </w:r>
          </w:p>
        </w:tc>
        <w:tc>
          <w:tcPr>
            <w:tcW w:w="3005" w:type="dxa"/>
            <w:vAlign w:val="center"/>
          </w:tcPr>
          <w:p>
            <w:pPr>
              <w:pStyle w:val="0"/>
              <w:jc w:val="center"/>
            </w:pPr>
            <w:r>
              <w:rPr>
                <w:sz w:val="20"/>
              </w:rPr>
              <w:t xml:space="preserve">Строительство селекционно-семеноводческого центра в растениеводстве.</w:t>
            </w:r>
          </w:p>
          <w:p>
            <w:pPr>
              <w:pStyle w:val="0"/>
              <w:jc w:val="center"/>
            </w:pPr>
            <w:r>
              <w:rPr>
                <w:sz w:val="20"/>
              </w:rPr>
              <w:t xml:space="preserve">1-й этап строительства - семенной завод производительностью 10 тонн/час;</w:t>
            </w:r>
          </w:p>
          <w:p>
            <w:pPr>
              <w:pStyle w:val="0"/>
              <w:jc w:val="center"/>
            </w:pPr>
            <w:r>
              <w:rPr>
                <w:sz w:val="20"/>
              </w:rPr>
              <w:t xml:space="preserve">2-й этап - пункт приемки, очистки, сушки и хранения зерна;</w:t>
            </w:r>
          </w:p>
          <w:p>
            <w:pPr>
              <w:pStyle w:val="0"/>
              <w:jc w:val="center"/>
            </w:pPr>
            <w:r>
              <w:rPr>
                <w:sz w:val="20"/>
              </w:rPr>
              <w:t xml:space="preserve">3-й этап - пункт хранения и очистки семян питомников первичного семеноводства сельскохозяйственных культур</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1000,0</w:t>
            </w:r>
          </w:p>
        </w:tc>
        <w:tc>
          <w:tcPr>
            <w:tcW w:w="1706" w:type="dxa"/>
            <w:vAlign w:val="center"/>
          </w:tcPr>
          <w:p>
            <w:pPr>
              <w:pStyle w:val="0"/>
              <w:jc w:val="center"/>
            </w:pPr>
            <w:r>
              <w:rPr>
                <w:sz w:val="20"/>
              </w:rPr>
              <w:t xml:space="preserve">50,0</w:t>
            </w:r>
          </w:p>
        </w:tc>
      </w:tr>
      <w:tr>
        <w:tc>
          <w:tcPr>
            <w:tcW w:w="2324" w:type="dxa"/>
            <w:vAlign w:val="center"/>
          </w:tcPr>
          <w:p>
            <w:pPr>
              <w:pStyle w:val="0"/>
              <w:jc w:val="center"/>
            </w:pPr>
            <w:r>
              <w:rPr>
                <w:sz w:val="20"/>
              </w:rPr>
              <w:t xml:space="preserve">ООО "Защитное"</w:t>
            </w:r>
          </w:p>
        </w:tc>
        <w:tc>
          <w:tcPr>
            <w:tcW w:w="2551" w:type="dxa"/>
            <w:vAlign w:val="center"/>
          </w:tcPr>
          <w:p>
            <w:pPr>
              <w:pStyle w:val="0"/>
              <w:jc w:val="center"/>
            </w:pPr>
            <w:r>
              <w:rPr>
                <w:sz w:val="20"/>
              </w:rPr>
              <w:t xml:space="preserve">Строительство животноводческого комплекса КРС "Ольгино" на 3300 голов коров и площадок для выращивания молодняка КРС молочных пород на 3600 голов в Солнцевском районе</w:t>
            </w:r>
          </w:p>
        </w:tc>
        <w:tc>
          <w:tcPr>
            <w:tcW w:w="1305" w:type="dxa"/>
            <w:vAlign w:val="center"/>
          </w:tcPr>
          <w:p>
            <w:pPr>
              <w:pStyle w:val="0"/>
              <w:jc w:val="center"/>
            </w:pPr>
            <w:r>
              <w:rPr>
                <w:sz w:val="20"/>
              </w:rPr>
              <w:t xml:space="preserve">2023 - 2025</w:t>
            </w:r>
          </w:p>
          <w:p>
            <w:pPr>
              <w:pStyle w:val="0"/>
              <w:jc w:val="center"/>
            </w:pPr>
            <w:r>
              <w:rPr>
                <w:sz w:val="20"/>
              </w:rPr>
              <w:t xml:space="preserve">гг.</w:t>
            </w:r>
          </w:p>
        </w:tc>
        <w:tc>
          <w:tcPr>
            <w:tcW w:w="3005" w:type="dxa"/>
            <w:vAlign w:val="center"/>
          </w:tcPr>
          <w:p>
            <w:pPr>
              <w:pStyle w:val="0"/>
              <w:jc w:val="center"/>
            </w:pPr>
            <w:r>
              <w:rPr>
                <w:sz w:val="20"/>
              </w:rPr>
              <w:t xml:space="preserve">Строительство современной фермы на 3300 голов основного стада с годовым надоем 27000 тонн</w:t>
            </w:r>
          </w:p>
        </w:tc>
        <w:tc>
          <w:tcPr>
            <w:tcW w:w="2027" w:type="dxa"/>
            <w:vAlign w:val="center"/>
          </w:tcPr>
          <w:p>
            <w:pPr>
              <w:pStyle w:val="0"/>
              <w:jc w:val="center"/>
            </w:pPr>
            <w:r>
              <w:rPr>
                <w:sz w:val="20"/>
              </w:rPr>
              <w:t xml:space="preserve">планируемый</w:t>
            </w:r>
          </w:p>
        </w:tc>
        <w:tc>
          <w:tcPr>
            <w:tcW w:w="1590" w:type="dxa"/>
            <w:vAlign w:val="center"/>
          </w:tcPr>
          <w:p>
            <w:pPr>
              <w:pStyle w:val="0"/>
              <w:jc w:val="center"/>
            </w:pPr>
            <w:r>
              <w:rPr>
                <w:sz w:val="20"/>
              </w:rPr>
              <w:t xml:space="preserve">2916,0</w:t>
            </w:r>
          </w:p>
        </w:tc>
        <w:tc>
          <w:tcPr>
            <w:tcW w:w="1706" w:type="dxa"/>
            <w:vAlign w:val="center"/>
          </w:tcPr>
          <w:p>
            <w:pPr>
              <w:pStyle w:val="0"/>
              <w:jc w:val="center"/>
            </w:pPr>
            <w:r>
              <w:rPr>
                <w:sz w:val="20"/>
              </w:rPr>
              <w:t xml:space="preserve">н/д</w:t>
            </w:r>
          </w:p>
        </w:tc>
      </w:tr>
      <w:tr>
        <w:tc>
          <w:tcPr>
            <w:tcW w:w="2324" w:type="dxa"/>
            <w:vAlign w:val="center"/>
          </w:tcPr>
          <w:p>
            <w:pPr>
              <w:pStyle w:val="0"/>
              <w:jc w:val="center"/>
            </w:pPr>
            <w:r>
              <w:rPr>
                <w:sz w:val="20"/>
              </w:rPr>
              <w:t xml:space="preserve">ООО "Курскагротерминал"</w:t>
            </w:r>
          </w:p>
        </w:tc>
        <w:tc>
          <w:tcPr>
            <w:tcW w:w="2551" w:type="dxa"/>
            <w:vAlign w:val="center"/>
          </w:tcPr>
          <w:p>
            <w:pPr>
              <w:pStyle w:val="0"/>
              <w:jc w:val="center"/>
            </w:pPr>
            <w:r>
              <w:rPr>
                <w:sz w:val="20"/>
              </w:rPr>
              <w:t xml:space="preserve">Строительство производственно-логистического комплекса в Касторенском районе</w:t>
            </w:r>
          </w:p>
        </w:tc>
        <w:tc>
          <w:tcPr>
            <w:tcW w:w="1305" w:type="dxa"/>
            <w:vAlign w:val="center"/>
          </w:tcPr>
          <w:p>
            <w:pPr>
              <w:pStyle w:val="0"/>
              <w:jc w:val="center"/>
            </w:pPr>
            <w:r>
              <w:rPr>
                <w:sz w:val="20"/>
              </w:rPr>
              <w:t xml:space="preserve">2019 - 2021 гг.</w:t>
            </w:r>
          </w:p>
        </w:tc>
        <w:tc>
          <w:tcPr>
            <w:tcW w:w="3005" w:type="dxa"/>
            <w:vAlign w:val="center"/>
          </w:tcPr>
          <w:p>
            <w:pPr>
              <w:pStyle w:val="0"/>
              <w:jc w:val="center"/>
            </w:pPr>
            <w:r>
              <w:rPr>
                <w:sz w:val="20"/>
              </w:rPr>
              <w:t xml:space="preserve">Строительство маслоэкстракционного завода по переработке семян масличных культур</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19780,0</w:t>
            </w:r>
          </w:p>
        </w:tc>
        <w:tc>
          <w:tcPr>
            <w:tcW w:w="1706" w:type="dxa"/>
            <w:vAlign w:val="center"/>
          </w:tcPr>
          <w:p>
            <w:pPr>
              <w:pStyle w:val="0"/>
              <w:jc w:val="center"/>
            </w:pPr>
            <w:r>
              <w:rPr>
                <w:sz w:val="20"/>
              </w:rPr>
              <w:t xml:space="preserve">450</w:t>
            </w:r>
          </w:p>
        </w:tc>
      </w:tr>
      <w:tr>
        <w:tc>
          <w:tcPr>
            <w:tcW w:w="2324" w:type="dxa"/>
            <w:vAlign w:val="center"/>
          </w:tcPr>
          <w:p>
            <w:pPr>
              <w:pStyle w:val="0"/>
              <w:jc w:val="center"/>
            </w:pPr>
            <w:r>
              <w:rPr>
                <w:sz w:val="20"/>
              </w:rPr>
              <w:t xml:space="preserve">ООО "АПХ "Мираторг"</w:t>
            </w:r>
          </w:p>
        </w:tc>
        <w:tc>
          <w:tcPr>
            <w:tcW w:w="2551" w:type="dxa"/>
            <w:vAlign w:val="center"/>
          </w:tcPr>
          <w:p>
            <w:pPr>
              <w:pStyle w:val="0"/>
              <w:jc w:val="center"/>
            </w:pPr>
            <w:r>
              <w:rPr>
                <w:sz w:val="20"/>
              </w:rPr>
              <w:t xml:space="preserve">Создание комплекса по производству желатина</w:t>
            </w:r>
          </w:p>
        </w:tc>
        <w:tc>
          <w:tcPr>
            <w:tcW w:w="1305" w:type="dxa"/>
            <w:vAlign w:val="center"/>
          </w:tcPr>
          <w:p>
            <w:pPr>
              <w:pStyle w:val="0"/>
              <w:jc w:val="center"/>
            </w:pPr>
            <w:r>
              <w:rPr>
                <w:sz w:val="20"/>
              </w:rPr>
              <w:t xml:space="preserve">2023 - 2024</w:t>
            </w:r>
          </w:p>
        </w:tc>
        <w:tc>
          <w:tcPr>
            <w:tcW w:w="3005" w:type="dxa"/>
            <w:vAlign w:val="center"/>
          </w:tcPr>
          <w:p>
            <w:pPr>
              <w:pStyle w:val="0"/>
              <w:jc w:val="center"/>
            </w:pPr>
            <w:r>
              <w:rPr>
                <w:sz w:val="20"/>
              </w:rPr>
              <w:t xml:space="preserve">Создание комплекса по производству желатина</w:t>
            </w:r>
          </w:p>
        </w:tc>
        <w:tc>
          <w:tcPr>
            <w:tcW w:w="2027" w:type="dxa"/>
            <w:vAlign w:val="center"/>
          </w:tcPr>
          <w:p>
            <w:pPr>
              <w:pStyle w:val="0"/>
              <w:jc w:val="center"/>
            </w:pPr>
            <w:r>
              <w:rPr>
                <w:sz w:val="20"/>
              </w:rPr>
              <w:t xml:space="preserve">планирование</w:t>
            </w:r>
          </w:p>
        </w:tc>
        <w:tc>
          <w:tcPr>
            <w:tcW w:w="1590" w:type="dxa"/>
            <w:vAlign w:val="center"/>
          </w:tcPr>
          <w:p>
            <w:pPr>
              <w:pStyle w:val="0"/>
              <w:jc w:val="center"/>
            </w:pPr>
            <w:r>
              <w:rPr>
                <w:sz w:val="20"/>
              </w:rPr>
              <w:t xml:space="preserve">2300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ООО "АПХ "Мираторг"</w:t>
            </w:r>
          </w:p>
        </w:tc>
        <w:tc>
          <w:tcPr>
            <w:tcW w:w="2551" w:type="dxa"/>
            <w:vAlign w:val="center"/>
          </w:tcPr>
          <w:p>
            <w:pPr>
              <w:pStyle w:val="0"/>
              <w:jc w:val="center"/>
            </w:pPr>
            <w:r>
              <w:rPr>
                <w:sz w:val="20"/>
              </w:rPr>
              <w:t xml:space="preserve">Строительство мукомольно-крупяного предприятия</w:t>
            </w:r>
          </w:p>
        </w:tc>
        <w:tc>
          <w:tcPr>
            <w:tcW w:w="1305" w:type="dxa"/>
            <w:vAlign w:val="center"/>
          </w:tcPr>
          <w:p>
            <w:pPr>
              <w:pStyle w:val="0"/>
              <w:jc w:val="center"/>
            </w:pPr>
            <w:r>
              <w:rPr>
                <w:sz w:val="20"/>
              </w:rPr>
              <w:t xml:space="preserve">2022 - 2024</w:t>
            </w:r>
          </w:p>
        </w:tc>
        <w:tc>
          <w:tcPr>
            <w:tcW w:w="3005" w:type="dxa"/>
            <w:vAlign w:val="center"/>
          </w:tcPr>
          <w:p>
            <w:pPr>
              <w:pStyle w:val="0"/>
              <w:jc w:val="center"/>
            </w:pPr>
            <w:r>
              <w:rPr>
                <w:sz w:val="20"/>
              </w:rPr>
              <w:t xml:space="preserve">Строительство мукомольно-крупяного предприятия</w:t>
            </w:r>
          </w:p>
        </w:tc>
        <w:tc>
          <w:tcPr>
            <w:tcW w:w="2027" w:type="dxa"/>
            <w:vAlign w:val="center"/>
          </w:tcPr>
          <w:p>
            <w:pPr>
              <w:pStyle w:val="0"/>
              <w:jc w:val="center"/>
            </w:pPr>
            <w:r>
              <w:rPr>
                <w:sz w:val="20"/>
              </w:rPr>
              <w:t xml:space="preserve">планирование</w:t>
            </w:r>
          </w:p>
        </w:tc>
        <w:tc>
          <w:tcPr>
            <w:tcW w:w="1590" w:type="dxa"/>
            <w:vAlign w:val="center"/>
          </w:tcPr>
          <w:p>
            <w:pPr>
              <w:pStyle w:val="0"/>
              <w:jc w:val="center"/>
            </w:pPr>
            <w:r>
              <w:rPr>
                <w:sz w:val="20"/>
              </w:rPr>
              <w:t xml:space="preserve">3000</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ООО "Велокс"</w:t>
            </w:r>
          </w:p>
        </w:tc>
        <w:tc>
          <w:tcPr>
            <w:tcW w:w="2551" w:type="dxa"/>
            <w:vAlign w:val="center"/>
          </w:tcPr>
          <w:p>
            <w:pPr>
              <w:pStyle w:val="0"/>
              <w:jc w:val="center"/>
            </w:pPr>
            <w:r>
              <w:rPr>
                <w:sz w:val="20"/>
              </w:rPr>
              <w:t xml:space="preserve">Внедрение программного продукта, который позволит салонам красоты совершать заказы у дистрибьюторов</w:t>
            </w:r>
          </w:p>
        </w:tc>
        <w:tc>
          <w:tcPr>
            <w:tcW w:w="1305" w:type="dxa"/>
            <w:vAlign w:val="center"/>
          </w:tcPr>
          <w:p>
            <w:pPr>
              <w:pStyle w:val="0"/>
              <w:jc w:val="center"/>
            </w:pPr>
            <w:r>
              <w:rPr>
                <w:sz w:val="20"/>
              </w:rPr>
              <w:t xml:space="preserve">2017 - 2021 гг.</w:t>
            </w:r>
          </w:p>
        </w:tc>
        <w:tc>
          <w:tcPr>
            <w:tcW w:w="3005" w:type="dxa"/>
            <w:vAlign w:val="center"/>
          </w:tcPr>
          <w:p>
            <w:pPr>
              <w:pStyle w:val="0"/>
              <w:jc w:val="center"/>
            </w:pPr>
            <w:r>
              <w:rPr>
                <w:sz w:val="20"/>
              </w:rPr>
              <w:t xml:space="preserve">Система заказов, охватывающая всю сферу индустрии красоты, позволяющая взимать ежемесячную абонентскую плату с салонов красоты и дистрибьюторов за пользование</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13,00</w:t>
            </w:r>
          </w:p>
        </w:tc>
        <w:tc>
          <w:tcPr>
            <w:tcW w:w="1706" w:type="dxa"/>
            <w:vAlign w:val="center"/>
          </w:tcPr>
          <w:p>
            <w:pPr>
              <w:pStyle w:val="0"/>
              <w:jc w:val="center"/>
            </w:pPr>
            <w:r>
              <w:rPr>
                <w:sz w:val="20"/>
              </w:rPr>
              <w:t xml:space="preserve">20</w:t>
            </w:r>
          </w:p>
        </w:tc>
      </w:tr>
      <w:tr>
        <w:tc>
          <w:tcPr>
            <w:tcW w:w="2324" w:type="dxa"/>
            <w:vAlign w:val="center"/>
          </w:tcPr>
          <w:p>
            <w:pPr>
              <w:pStyle w:val="0"/>
              <w:jc w:val="center"/>
            </w:pPr>
            <w:r>
              <w:rPr>
                <w:sz w:val="20"/>
              </w:rPr>
              <w:t xml:space="preserve">Администрация Курской области</w:t>
            </w:r>
          </w:p>
        </w:tc>
        <w:tc>
          <w:tcPr>
            <w:tcW w:w="2551" w:type="dxa"/>
            <w:vAlign w:val="center"/>
          </w:tcPr>
          <w:p>
            <w:pPr>
              <w:pStyle w:val="0"/>
              <w:jc w:val="center"/>
            </w:pPr>
            <w:r>
              <w:rPr>
                <w:sz w:val="20"/>
              </w:rPr>
              <w:t xml:space="preserve">Строительство нового здания внутренних воздушных линий аэропорта г. Курска</w:t>
            </w:r>
          </w:p>
        </w:tc>
        <w:tc>
          <w:tcPr>
            <w:tcW w:w="1305" w:type="dxa"/>
            <w:vAlign w:val="center"/>
          </w:tcPr>
          <w:p>
            <w:pPr>
              <w:pStyle w:val="0"/>
              <w:jc w:val="center"/>
            </w:pPr>
            <w:r>
              <w:rPr>
                <w:sz w:val="20"/>
              </w:rPr>
              <w:t xml:space="preserve">2020 - 2021 гг.</w:t>
            </w:r>
          </w:p>
        </w:tc>
        <w:tc>
          <w:tcPr>
            <w:tcW w:w="3005" w:type="dxa"/>
            <w:vAlign w:val="center"/>
          </w:tcPr>
          <w:p>
            <w:pPr>
              <w:pStyle w:val="0"/>
              <w:jc w:val="center"/>
            </w:pPr>
            <w:r>
              <w:rPr>
                <w:sz w:val="20"/>
              </w:rPr>
              <w:t xml:space="preserve">Строительство нового здания внутренних воздушных линий аэропорта г. Курска</w:t>
            </w:r>
          </w:p>
        </w:tc>
        <w:tc>
          <w:tcPr>
            <w:tcW w:w="2027" w:type="dxa"/>
            <w:vAlign w:val="center"/>
          </w:tcPr>
          <w:p>
            <w:pPr>
              <w:pStyle w:val="0"/>
              <w:jc w:val="center"/>
            </w:pPr>
            <w:r>
              <w:rPr>
                <w:sz w:val="20"/>
              </w:rPr>
              <w:t xml:space="preserve">планирование</w:t>
            </w:r>
          </w:p>
        </w:tc>
        <w:tc>
          <w:tcPr>
            <w:tcW w:w="1590" w:type="dxa"/>
            <w:vAlign w:val="center"/>
          </w:tcPr>
          <w:p>
            <w:pPr>
              <w:pStyle w:val="0"/>
              <w:jc w:val="center"/>
            </w:pPr>
            <w:r>
              <w:rPr>
                <w:sz w:val="20"/>
              </w:rPr>
              <w:t xml:space="preserve">350,0</w:t>
            </w:r>
          </w:p>
        </w:tc>
        <w:tc>
          <w:tcPr>
            <w:tcW w:w="1706" w:type="dxa"/>
            <w:vAlign w:val="center"/>
          </w:tcPr>
          <w:p>
            <w:pPr>
              <w:pStyle w:val="0"/>
              <w:jc w:val="center"/>
            </w:pPr>
            <w:r>
              <w:rPr>
                <w:sz w:val="20"/>
              </w:rPr>
              <w:t xml:space="preserve">5</w:t>
            </w:r>
          </w:p>
        </w:tc>
      </w:tr>
      <w:tr>
        <w:tblPrEx>
          <w:tblBorders>
            <w:insideH w:val="nil"/>
          </w:tblBorders>
        </w:tblPrEx>
        <w:tc>
          <w:tcPr>
            <w:tcW w:w="2324" w:type="dxa"/>
            <w:tcBorders>
              <w:bottom w:val="nil"/>
            </w:tcBorders>
          </w:tcPr>
          <w:p>
            <w:pPr>
              <w:pStyle w:val="0"/>
              <w:ind w:firstLine="101" w:left="38"/>
            </w:pPr>
            <w:r>
              <w:rPr>
                <w:sz w:val="20"/>
              </w:rPr>
              <w:t xml:space="preserve">Правительство Курской области</w:t>
            </w:r>
          </w:p>
        </w:tc>
        <w:tc>
          <w:tcPr>
            <w:tcW w:w="2551" w:type="dxa"/>
            <w:tcBorders>
              <w:bottom w:val="nil"/>
            </w:tcBorders>
          </w:tcPr>
          <w:p>
            <w:pPr>
              <w:pStyle w:val="0"/>
            </w:pPr>
            <w:r>
              <w:rPr>
                <w:sz w:val="20"/>
              </w:rPr>
              <w:t xml:space="preserve">Строительство многопрофильной областной детской клинической больницы 3-го уровня в г. Курске</w:t>
            </w:r>
          </w:p>
        </w:tc>
        <w:tc>
          <w:tcPr>
            <w:tcW w:w="1305" w:type="dxa"/>
            <w:tcBorders>
              <w:bottom w:val="nil"/>
            </w:tcBorders>
          </w:tcPr>
          <w:p>
            <w:pPr>
              <w:pStyle w:val="0"/>
              <w:jc w:val="center"/>
            </w:pPr>
            <w:r>
              <w:rPr>
                <w:sz w:val="20"/>
              </w:rPr>
              <w:t xml:space="preserve">2019 - 2024 гг.</w:t>
            </w:r>
          </w:p>
        </w:tc>
        <w:tc>
          <w:tcPr>
            <w:tcW w:w="3005" w:type="dxa"/>
            <w:tcBorders>
              <w:bottom w:val="nil"/>
            </w:tcBorders>
          </w:tcPr>
          <w:p>
            <w:pPr>
              <w:pStyle w:val="0"/>
            </w:pPr>
            <w:r>
              <w:rPr>
                <w:sz w:val="20"/>
              </w:rPr>
              <w:t xml:space="preserve">Строительство многопрофильной областной детской клинической больницы 3 уровня в г. Курске</w:t>
            </w:r>
          </w:p>
        </w:tc>
        <w:tc>
          <w:tcPr>
            <w:tcW w:w="2027" w:type="dxa"/>
            <w:tcBorders>
              <w:bottom w:val="nil"/>
            </w:tcBorders>
          </w:tcPr>
          <w:p>
            <w:pPr>
              <w:pStyle w:val="0"/>
              <w:jc w:val="center"/>
            </w:pPr>
            <w:r>
              <w:rPr>
                <w:sz w:val="20"/>
              </w:rPr>
              <w:t xml:space="preserve">Реализуемый</w:t>
            </w:r>
          </w:p>
        </w:tc>
        <w:tc>
          <w:tcPr>
            <w:tcW w:w="1590" w:type="dxa"/>
            <w:tcBorders>
              <w:bottom w:val="nil"/>
            </w:tcBorders>
          </w:tcPr>
          <w:p>
            <w:pPr>
              <w:pStyle w:val="0"/>
              <w:jc w:val="center"/>
            </w:pPr>
            <w:r>
              <w:rPr>
                <w:sz w:val="20"/>
              </w:rPr>
              <w:t xml:space="preserve">7271,281</w:t>
            </w:r>
          </w:p>
        </w:tc>
        <w:tc>
          <w:tcPr>
            <w:tcW w:w="1706" w:type="dxa"/>
            <w:tcBorders>
              <w:bottom w:val="nil"/>
            </w:tcBorders>
          </w:tcPr>
          <w:p>
            <w:pPr>
              <w:pStyle w:val="0"/>
              <w:jc w:val="center"/>
            </w:pPr>
            <w:r>
              <w:rPr>
                <w:sz w:val="20"/>
              </w:rPr>
              <w:t xml:space="preserve">н/д</w:t>
            </w:r>
          </w:p>
        </w:tc>
      </w:tr>
      <w:tr>
        <w:tblPrEx>
          <w:tblBorders>
            <w:insideH w:val="nil"/>
          </w:tblBorders>
        </w:tblPrEx>
        <w:tc>
          <w:tcPr>
            <w:gridSpan w:val="7"/>
            <w:tcW w:w="14508" w:type="dxa"/>
            <w:tcBorders>
              <w:top w:val="nil"/>
            </w:tcBorders>
          </w:tcPr>
          <w:p>
            <w:pPr>
              <w:pStyle w:val="0"/>
              <w:jc w:val="both"/>
            </w:pPr>
            <w:r>
              <w:rPr>
                <w:sz w:val="20"/>
              </w:rPr>
              <w:t xml:space="preserve">(в ред. </w:t>
            </w:r>
            <w:hyperlink w:history="0" r:id="rId117"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Закона</w:t>
              </w:r>
            </w:hyperlink>
            <w:r>
              <w:rPr>
                <w:sz w:val="20"/>
              </w:rPr>
              <w:t xml:space="preserve"> Курской области от 04.05.2023 N 40-ЗКО)</w:t>
            </w:r>
          </w:p>
        </w:tc>
      </w:tr>
      <w:tr>
        <w:tblPrEx>
          <w:tblBorders>
            <w:insideH w:val="nil"/>
          </w:tblBorders>
        </w:tblPrEx>
        <w:tc>
          <w:tcPr>
            <w:tcW w:w="2324" w:type="dxa"/>
            <w:tcBorders>
              <w:bottom w:val="nil"/>
            </w:tcBorders>
          </w:tcPr>
          <w:p>
            <w:pPr>
              <w:pStyle w:val="0"/>
              <w:ind w:left="58"/>
            </w:pPr>
            <w:r>
              <w:rPr>
                <w:sz w:val="20"/>
              </w:rPr>
              <w:t xml:space="preserve">АО "Корпорация развития Курской области"</w:t>
            </w:r>
          </w:p>
        </w:tc>
        <w:tc>
          <w:tcPr>
            <w:tcW w:w="2551" w:type="dxa"/>
            <w:tcBorders>
              <w:bottom w:val="nil"/>
            </w:tcBorders>
          </w:tcPr>
          <w:p>
            <w:pPr>
              <w:pStyle w:val="0"/>
            </w:pPr>
            <w:r>
              <w:rPr>
                <w:sz w:val="20"/>
              </w:rPr>
              <w:t xml:space="preserve">Строительство гостиничного комплекса для нужд ОБУЗ "Курский областной клинический онкологический диспансер"</w:t>
            </w:r>
          </w:p>
        </w:tc>
        <w:tc>
          <w:tcPr>
            <w:tcW w:w="1305" w:type="dxa"/>
            <w:tcBorders>
              <w:bottom w:val="nil"/>
            </w:tcBorders>
          </w:tcPr>
          <w:p>
            <w:pPr>
              <w:pStyle w:val="0"/>
              <w:jc w:val="center"/>
            </w:pPr>
            <w:r>
              <w:rPr>
                <w:sz w:val="20"/>
              </w:rPr>
              <w:t xml:space="preserve">2020 - 2024 гг.</w:t>
            </w:r>
          </w:p>
        </w:tc>
        <w:tc>
          <w:tcPr>
            <w:tcW w:w="3005" w:type="dxa"/>
            <w:tcBorders>
              <w:bottom w:val="nil"/>
            </w:tcBorders>
          </w:tcPr>
          <w:p>
            <w:pPr>
              <w:pStyle w:val="0"/>
            </w:pPr>
            <w:r>
              <w:rPr>
                <w:sz w:val="20"/>
              </w:rPr>
              <w:t xml:space="preserve">Строительство гостиничного комплекса для нужд ОБУЗ "Курский областной клинический онкологический диспансер"</w:t>
            </w:r>
          </w:p>
        </w:tc>
        <w:tc>
          <w:tcPr>
            <w:tcW w:w="2027" w:type="dxa"/>
            <w:tcBorders>
              <w:bottom w:val="nil"/>
            </w:tcBorders>
          </w:tcPr>
          <w:p>
            <w:pPr>
              <w:pStyle w:val="0"/>
              <w:jc w:val="center"/>
            </w:pPr>
            <w:r>
              <w:rPr>
                <w:sz w:val="20"/>
              </w:rPr>
              <w:t xml:space="preserve">Планирование</w:t>
            </w:r>
          </w:p>
        </w:tc>
        <w:tc>
          <w:tcPr>
            <w:tcW w:w="1590" w:type="dxa"/>
            <w:tcBorders>
              <w:bottom w:val="nil"/>
            </w:tcBorders>
          </w:tcPr>
          <w:p>
            <w:pPr>
              <w:pStyle w:val="0"/>
              <w:jc w:val="center"/>
            </w:pPr>
            <w:r>
              <w:rPr>
                <w:sz w:val="20"/>
              </w:rPr>
              <w:t xml:space="preserve">101,1</w:t>
            </w:r>
          </w:p>
        </w:tc>
        <w:tc>
          <w:tcPr>
            <w:tcW w:w="1706" w:type="dxa"/>
            <w:tcBorders>
              <w:bottom w:val="nil"/>
            </w:tcBorders>
          </w:tcPr>
          <w:p>
            <w:pPr>
              <w:pStyle w:val="0"/>
              <w:jc w:val="center"/>
            </w:pPr>
            <w:r>
              <w:rPr>
                <w:sz w:val="20"/>
              </w:rPr>
              <w:t xml:space="preserve">46</w:t>
            </w:r>
          </w:p>
        </w:tc>
      </w:tr>
      <w:tr>
        <w:tblPrEx>
          <w:tblBorders>
            <w:insideH w:val="nil"/>
          </w:tblBorders>
        </w:tblPrEx>
        <w:tc>
          <w:tcPr>
            <w:gridSpan w:val="7"/>
            <w:tcW w:w="14508" w:type="dxa"/>
            <w:tcBorders>
              <w:top w:val="nil"/>
            </w:tcBorders>
          </w:tcPr>
          <w:p>
            <w:pPr>
              <w:pStyle w:val="0"/>
              <w:jc w:val="both"/>
            </w:pPr>
            <w:r>
              <w:rPr>
                <w:sz w:val="20"/>
              </w:rPr>
              <w:t xml:space="preserve">(в ред. </w:t>
            </w:r>
            <w:hyperlink w:history="0" r:id="rId118"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Закона</w:t>
              </w:r>
            </w:hyperlink>
            <w:r>
              <w:rPr>
                <w:sz w:val="20"/>
              </w:rPr>
              <w:t xml:space="preserve"> Курской области от 04.05.2023 N 40-ЗКО)</w:t>
            </w:r>
          </w:p>
        </w:tc>
      </w:tr>
      <w:tr>
        <w:tc>
          <w:tcPr>
            <w:tcW w:w="2324" w:type="dxa"/>
            <w:vAlign w:val="center"/>
          </w:tcPr>
          <w:p>
            <w:pPr>
              <w:pStyle w:val="0"/>
              <w:jc w:val="center"/>
            </w:pPr>
            <w:r>
              <w:rPr>
                <w:sz w:val="20"/>
              </w:rPr>
              <w:t xml:space="preserve">МО "Фатежский район"</w:t>
            </w:r>
          </w:p>
        </w:tc>
        <w:tc>
          <w:tcPr>
            <w:tcW w:w="2551" w:type="dxa"/>
            <w:vAlign w:val="center"/>
          </w:tcPr>
          <w:p>
            <w:pPr>
              <w:pStyle w:val="0"/>
              <w:jc w:val="center"/>
            </w:pPr>
            <w:r>
              <w:rPr>
                <w:sz w:val="20"/>
              </w:rPr>
              <w:t xml:space="preserve">Строительство физкультурно-оздоровительного комплекса с универсальным спортивным залом в г. Фатеж Фатежского района Курской области</w:t>
            </w:r>
          </w:p>
        </w:tc>
        <w:tc>
          <w:tcPr>
            <w:tcW w:w="1305" w:type="dxa"/>
            <w:vAlign w:val="center"/>
          </w:tcPr>
          <w:p>
            <w:pPr>
              <w:pStyle w:val="0"/>
              <w:jc w:val="center"/>
            </w:pPr>
            <w:r>
              <w:rPr>
                <w:sz w:val="20"/>
              </w:rPr>
              <w:t xml:space="preserve">2020 - 2021 гг.</w:t>
            </w:r>
          </w:p>
        </w:tc>
        <w:tc>
          <w:tcPr>
            <w:tcW w:w="3005" w:type="dxa"/>
            <w:vAlign w:val="center"/>
          </w:tcPr>
          <w:p>
            <w:pPr>
              <w:pStyle w:val="0"/>
              <w:jc w:val="center"/>
            </w:pPr>
            <w:r>
              <w:rPr>
                <w:sz w:val="20"/>
              </w:rPr>
              <w:t xml:space="preserve">Строительство физкультурно-оздоровительного комплекса с универсальным спортивным залом</w:t>
            </w:r>
          </w:p>
        </w:tc>
        <w:tc>
          <w:tcPr>
            <w:tcW w:w="2027" w:type="dxa"/>
            <w:vAlign w:val="center"/>
          </w:tcPr>
          <w:p>
            <w:pPr>
              <w:pStyle w:val="0"/>
              <w:jc w:val="center"/>
            </w:pPr>
            <w:r>
              <w:rPr>
                <w:sz w:val="20"/>
              </w:rPr>
              <w:t xml:space="preserve">планируемый</w:t>
            </w:r>
          </w:p>
        </w:tc>
        <w:tc>
          <w:tcPr>
            <w:tcW w:w="1590" w:type="dxa"/>
            <w:vAlign w:val="center"/>
          </w:tcPr>
          <w:p>
            <w:pPr>
              <w:pStyle w:val="0"/>
              <w:jc w:val="center"/>
            </w:pPr>
            <w:r>
              <w:rPr>
                <w:sz w:val="20"/>
              </w:rPr>
              <w:t xml:space="preserve">135,1</w:t>
            </w:r>
          </w:p>
        </w:tc>
        <w:tc>
          <w:tcPr>
            <w:tcW w:w="1706" w:type="dxa"/>
            <w:vAlign w:val="center"/>
          </w:tcPr>
          <w:p>
            <w:pPr>
              <w:pStyle w:val="0"/>
              <w:jc w:val="center"/>
            </w:pPr>
            <w:r>
              <w:rPr>
                <w:sz w:val="20"/>
              </w:rPr>
              <w:t xml:space="preserve">н/д</w:t>
            </w:r>
          </w:p>
        </w:tc>
      </w:tr>
      <w:tr>
        <w:tc>
          <w:tcPr>
            <w:tcW w:w="2324" w:type="dxa"/>
            <w:vAlign w:val="center"/>
          </w:tcPr>
          <w:p>
            <w:pPr>
              <w:pStyle w:val="0"/>
              <w:jc w:val="center"/>
            </w:pPr>
            <w:r>
              <w:rPr>
                <w:sz w:val="20"/>
              </w:rPr>
              <w:t xml:space="preserve">ОКУ "УКС Курской области"</w:t>
            </w:r>
          </w:p>
        </w:tc>
        <w:tc>
          <w:tcPr>
            <w:tcW w:w="2551" w:type="dxa"/>
            <w:vAlign w:val="center"/>
          </w:tcPr>
          <w:p>
            <w:pPr>
              <w:pStyle w:val="0"/>
              <w:jc w:val="center"/>
            </w:pPr>
            <w:r>
              <w:rPr>
                <w:sz w:val="20"/>
              </w:rPr>
              <w:t xml:space="preserve">Строительство крытого легкоатлетического манежа для учебно-тренировочных занятий и соревнований регионального уровня</w:t>
            </w:r>
          </w:p>
        </w:tc>
        <w:tc>
          <w:tcPr>
            <w:tcW w:w="1305" w:type="dxa"/>
            <w:vAlign w:val="center"/>
          </w:tcPr>
          <w:p>
            <w:pPr>
              <w:pStyle w:val="0"/>
              <w:jc w:val="center"/>
            </w:pPr>
            <w:r>
              <w:rPr>
                <w:sz w:val="20"/>
              </w:rPr>
              <w:t xml:space="preserve">2021 - 2022 гг.</w:t>
            </w:r>
          </w:p>
        </w:tc>
        <w:tc>
          <w:tcPr>
            <w:tcW w:w="3005" w:type="dxa"/>
            <w:vAlign w:val="center"/>
          </w:tcPr>
          <w:p>
            <w:pPr>
              <w:pStyle w:val="0"/>
              <w:jc w:val="center"/>
            </w:pPr>
            <w:r>
              <w:rPr>
                <w:sz w:val="20"/>
              </w:rPr>
              <w:t xml:space="preserve">Строительство крытого легкоатлетического манежа для учебно-тренировочных занятий и соревнований регионального уровня</w:t>
            </w:r>
          </w:p>
        </w:tc>
        <w:tc>
          <w:tcPr>
            <w:tcW w:w="2027" w:type="dxa"/>
            <w:vAlign w:val="center"/>
          </w:tcPr>
          <w:p>
            <w:pPr>
              <w:pStyle w:val="0"/>
              <w:jc w:val="center"/>
            </w:pPr>
            <w:r>
              <w:rPr>
                <w:sz w:val="20"/>
              </w:rPr>
              <w:t xml:space="preserve">планируемый</w:t>
            </w:r>
          </w:p>
        </w:tc>
        <w:tc>
          <w:tcPr>
            <w:tcW w:w="1590" w:type="dxa"/>
            <w:vAlign w:val="center"/>
          </w:tcPr>
          <w:p>
            <w:pPr>
              <w:pStyle w:val="0"/>
              <w:jc w:val="center"/>
            </w:pPr>
            <w:r>
              <w:rPr>
                <w:sz w:val="20"/>
              </w:rPr>
              <w:t xml:space="preserve">459,5</w:t>
            </w:r>
          </w:p>
        </w:tc>
        <w:tc>
          <w:tcPr>
            <w:tcW w:w="1706" w:type="dxa"/>
            <w:vAlign w:val="center"/>
          </w:tcPr>
          <w:p>
            <w:pPr>
              <w:pStyle w:val="0"/>
              <w:jc w:val="center"/>
            </w:pPr>
            <w:r>
              <w:rPr>
                <w:sz w:val="20"/>
              </w:rPr>
              <w:t xml:space="preserve">н/д</w:t>
            </w:r>
          </w:p>
        </w:tc>
      </w:tr>
      <w:tr>
        <w:tc>
          <w:tcPr>
            <w:tcW w:w="2324" w:type="dxa"/>
            <w:vAlign w:val="center"/>
          </w:tcPr>
          <w:p>
            <w:pPr>
              <w:pStyle w:val="0"/>
              <w:jc w:val="center"/>
            </w:pPr>
            <w:r>
              <w:rPr>
                <w:sz w:val="20"/>
              </w:rPr>
              <w:t xml:space="preserve">ОКУ "УКС Курской области"</w:t>
            </w:r>
          </w:p>
        </w:tc>
        <w:tc>
          <w:tcPr>
            <w:tcW w:w="2551" w:type="dxa"/>
            <w:vAlign w:val="center"/>
          </w:tcPr>
          <w:p>
            <w:pPr>
              <w:pStyle w:val="0"/>
              <w:jc w:val="center"/>
            </w:pPr>
            <w:r>
              <w:rPr>
                <w:sz w:val="20"/>
              </w:rPr>
              <w:t xml:space="preserve">Строительство крытого футбольного манежа в г. Курске</w:t>
            </w:r>
          </w:p>
        </w:tc>
        <w:tc>
          <w:tcPr>
            <w:tcW w:w="1305" w:type="dxa"/>
            <w:vAlign w:val="center"/>
          </w:tcPr>
          <w:p>
            <w:pPr>
              <w:pStyle w:val="0"/>
              <w:jc w:val="center"/>
            </w:pPr>
            <w:r>
              <w:rPr>
                <w:sz w:val="20"/>
              </w:rPr>
              <w:t xml:space="preserve">2022 - 2024 гг.</w:t>
            </w:r>
          </w:p>
        </w:tc>
        <w:tc>
          <w:tcPr>
            <w:tcW w:w="3005" w:type="dxa"/>
            <w:vAlign w:val="center"/>
          </w:tcPr>
          <w:p>
            <w:pPr>
              <w:pStyle w:val="0"/>
              <w:jc w:val="center"/>
            </w:pPr>
            <w:r>
              <w:rPr>
                <w:sz w:val="20"/>
              </w:rPr>
              <w:t xml:space="preserve">Строительство крытого футбольного манежа в г. Курске</w:t>
            </w:r>
          </w:p>
        </w:tc>
        <w:tc>
          <w:tcPr>
            <w:tcW w:w="2027" w:type="dxa"/>
            <w:vAlign w:val="center"/>
          </w:tcPr>
          <w:p>
            <w:pPr>
              <w:pStyle w:val="0"/>
              <w:jc w:val="center"/>
            </w:pPr>
            <w:r>
              <w:rPr>
                <w:sz w:val="20"/>
              </w:rPr>
              <w:t xml:space="preserve">планируемый</w:t>
            </w:r>
          </w:p>
        </w:tc>
        <w:tc>
          <w:tcPr>
            <w:tcW w:w="1590" w:type="dxa"/>
            <w:vAlign w:val="center"/>
          </w:tcPr>
          <w:p>
            <w:pPr>
              <w:pStyle w:val="0"/>
              <w:jc w:val="center"/>
            </w:pPr>
            <w:r>
              <w:rPr>
                <w:sz w:val="20"/>
              </w:rPr>
              <w:t xml:space="preserve">н/д</w:t>
            </w:r>
          </w:p>
        </w:tc>
        <w:tc>
          <w:tcPr>
            <w:tcW w:w="1706" w:type="dxa"/>
            <w:vAlign w:val="center"/>
          </w:tcPr>
          <w:p>
            <w:pPr>
              <w:pStyle w:val="0"/>
              <w:jc w:val="center"/>
            </w:pPr>
            <w:r>
              <w:rPr>
                <w:sz w:val="20"/>
              </w:rPr>
              <w:t xml:space="preserve">н/д</w:t>
            </w:r>
          </w:p>
        </w:tc>
      </w:tr>
      <w:tr>
        <w:tc>
          <w:tcPr>
            <w:tcW w:w="2324" w:type="dxa"/>
            <w:vAlign w:val="center"/>
          </w:tcPr>
          <w:p>
            <w:pPr>
              <w:pStyle w:val="0"/>
              <w:jc w:val="center"/>
            </w:pPr>
            <w:r>
              <w:rPr>
                <w:sz w:val="20"/>
              </w:rPr>
              <w:t xml:space="preserve">ООО "Агропром-комплектация - Курск"</w:t>
            </w:r>
          </w:p>
        </w:tc>
        <w:tc>
          <w:tcPr>
            <w:tcW w:w="2551" w:type="dxa"/>
            <w:vAlign w:val="center"/>
          </w:tcPr>
          <w:p>
            <w:pPr>
              <w:pStyle w:val="0"/>
              <w:jc w:val="center"/>
            </w:pPr>
            <w:r>
              <w:rPr>
                <w:sz w:val="20"/>
              </w:rPr>
              <w:t xml:space="preserve">Строительство свиноводческого комплекса, приобретение оборудования, племенной продукции, гибридного маточного поголовья, техники и специализированного транспорта</w:t>
            </w:r>
          </w:p>
        </w:tc>
        <w:tc>
          <w:tcPr>
            <w:tcW w:w="1305" w:type="dxa"/>
            <w:vAlign w:val="center"/>
          </w:tcPr>
          <w:p>
            <w:pPr>
              <w:pStyle w:val="0"/>
              <w:jc w:val="center"/>
            </w:pPr>
            <w:r>
              <w:rPr>
                <w:sz w:val="20"/>
              </w:rPr>
              <w:t xml:space="preserve">2018 - 2020 гг.</w:t>
            </w:r>
          </w:p>
        </w:tc>
        <w:tc>
          <w:tcPr>
            <w:tcW w:w="3005" w:type="dxa"/>
            <w:vAlign w:val="center"/>
          </w:tcPr>
          <w:p>
            <w:pPr>
              <w:pStyle w:val="0"/>
              <w:jc w:val="center"/>
            </w:pPr>
            <w:r>
              <w:rPr>
                <w:sz w:val="20"/>
              </w:rPr>
              <w:t xml:space="preserve">Строительство свиноводческого комплекса, приобретение оборудования, племенной продукции, гибридного маточного поголовья, техники и специализированного транспорта</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2205,939</w:t>
            </w:r>
          </w:p>
        </w:tc>
        <w:tc>
          <w:tcPr>
            <w:tcW w:w="1706" w:type="dxa"/>
            <w:vAlign w:val="center"/>
          </w:tcPr>
          <w:p>
            <w:pPr>
              <w:pStyle w:val="0"/>
              <w:jc w:val="center"/>
            </w:pPr>
            <w:r>
              <w:rPr>
                <w:sz w:val="20"/>
              </w:rPr>
              <w:t xml:space="preserve">128</w:t>
            </w:r>
          </w:p>
        </w:tc>
      </w:tr>
      <w:tr>
        <w:tc>
          <w:tcPr>
            <w:tcW w:w="2324" w:type="dxa"/>
            <w:vAlign w:val="center"/>
          </w:tcPr>
          <w:p>
            <w:pPr>
              <w:pStyle w:val="0"/>
              <w:jc w:val="center"/>
            </w:pPr>
            <w:r>
              <w:rPr>
                <w:sz w:val="20"/>
              </w:rPr>
              <w:t xml:space="preserve">ООО "Агропром-комплектация - Курск"</w:t>
            </w:r>
          </w:p>
        </w:tc>
        <w:tc>
          <w:tcPr>
            <w:tcW w:w="2551" w:type="dxa"/>
            <w:vAlign w:val="center"/>
          </w:tcPr>
          <w:p>
            <w:pPr>
              <w:pStyle w:val="0"/>
              <w:jc w:val="center"/>
            </w:pPr>
            <w:r>
              <w:rPr>
                <w:sz w:val="20"/>
              </w:rPr>
              <w:t xml:space="preserve">Строительство двух свиноводческих комплексов, приобретение оборудования, племенной продукции, гибридного маточного поголовья, техники и специализированного транспорта</w:t>
            </w:r>
          </w:p>
        </w:tc>
        <w:tc>
          <w:tcPr>
            <w:tcW w:w="1305" w:type="dxa"/>
            <w:vAlign w:val="center"/>
          </w:tcPr>
          <w:p>
            <w:pPr>
              <w:pStyle w:val="0"/>
              <w:jc w:val="center"/>
            </w:pPr>
            <w:r>
              <w:rPr>
                <w:sz w:val="20"/>
              </w:rPr>
              <w:t xml:space="preserve">2018 - 2020 гг.</w:t>
            </w:r>
          </w:p>
        </w:tc>
        <w:tc>
          <w:tcPr>
            <w:tcW w:w="3005" w:type="dxa"/>
            <w:vAlign w:val="center"/>
          </w:tcPr>
          <w:p>
            <w:pPr>
              <w:pStyle w:val="0"/>
              <w:jc w:val="center"/>
            </w:pPr>
            <w:r>
              <w:rPr>
                <w:sz w:val="20"/>
              </w:rPr>
              <w:t xml:space="preserve">Строительство двух свиноводческих комплексов, приобретение оборудования, племенной продукции, гибридного маточного поголовья, техники и специализированного транспорта</w:t>
            </w:r>
          </w:p>
        </w:tc>
        <w:tc>
          <w:tcPr>
            <w:tcW w:w="2027" w:type="dxa"/>
            <w:vAlign w:val="center"/>
          </w:tcPr>
          <w:p>
            <w:pPr>
              <w:pStyle w:val="0"/>
              <w:jc w:val="center"/>
            </w:pPr>
            <w:r>
              <w:rPr>
                <w:sz w:val="20"/>
              </w:rPr>
              <w:t xml:space="preserve">реализованный</w:t>
            </w:r>
          </w:p>
        </w:tc>
        <w:tc>
          <w:tcPr>
            <w:tcW w:w="1590" w:type="dxa"/>
            <w:vAlign w:val="center"/>
          </w:tcPr>
          <w:p>
            <w:pPr>
              <w:pStyle w:val="0"/>
              <w:jc w:val="center"/>
            </w:pPr>
            <w:r>
              <w:rPr>
                <w:sz w:val="20"/>
              </w:rPr>
              <w:t xml:space="preserve">4619,06</w:t>
            </w:r>
          </w:p>
        </w:tc>
        <w:tc>
          <w:tcPr>
            <w:tcW w:w="1706" w:type="dxa"/>
            <w:vAlign w:val="center"/>
          </w:tcPr>
          <w:p>
            <w:pPr>
              <w:pStyle w:val="0"/>
              <w:jc w:val="center"/>
            </w:pPr>
            <w:r>
              <w:rPr>
                <w:sz w:val="20"/>
              </w:rPr>
              <w:t xml:space="preserve">256</w:t>
            </w:r>
          </w:p>
        </w:tc>
      </w:tr>
      <w:tr>
        <w:tc>
          <w:tcPr>
            <w:tcW w:w="2324" w:type="dxa"/>
            <w:vAlign w:val="center"/>
          </w:tcPr>
          <w:p>
            <w:pPr>
              <w:pStyle w:val="0"/>
              <w:jc w:val="center"/>
            </w:pPr>
            <w:r>
              <w:rPr>
                <w:sz w:val="20"/>
              </w:rPr>
              <w:t xml:space="preserve">ООО "Агропром-комплектация - Курск"</w:t>
            </w:r>
          </w:p>
        </w:tc>
        <w:tc>
          <w:tcPr>
            <w:tcW w:w="2551" w:type="dxa"/>
            <w:vAlign w:val="center"/>
          </w:tcPr>
          <w:p>
            <w:pPr>
              <w:pStyle w:val="0"/>
              <w:jc w:val="center"/>
            </w:pPr>
            <w:r>
              <w:rPr>
                <w:sz w:val="20"/>
              </w:rPr>
              <w:t xml:space="preserve">Реконструкция и модернизация мясохладобойни, включая приемку, первичную и последующую (промышленную) переработку свиней с холодильной обработкой мясной продукции, а также приобретение оборудования и специализированного транспорта на цели реализации инвестиционного проекта</w:t>
            </w:r>
          </w:p>
        </w:tc>
        <w:tc>
          <w:tcPr>
            <w:tcW w:w="1305" w:type="dxa"/>
            <w:vAlign w:val="center"/>
          </w:tcPr>
          <w:p>
            <w:pPr>
              <w:pStyle w:val="0"/>
              <w:jc w:val="center"/>
            </w:pPr>
            <w:r>
              <w:rPr>
                <w:sz w:val="20"/>
              </w:rPr>
              <w:t xml:space="preserve">2020 - 2021 гг.</w:t>
            </w:r>
          </w:p>
        </w:tc>
        <w:tc>
          <w:tcPr>
            <w:tcW w:w="3005" w:type="dxa"/>
            <w:vAlign w:val="center"/>
          </w:tcPr>
          <w:p>
            <w:pPr>
              <w:pStyle w:val="0"/>
              <w:jc w:val="center"/>
            </w:pPr>
            <w:r>
              <w:rPr>
                <w:sz w:val="20"/>
              </w:rPr>
              <w:t xml:space="preserve">Реконструкция и модернизация мясохладобойни, включая приемку, первичную и последующую (промышленную) переработку свиней с холодильной обработкой мясной продукции, а также приобретение оборудования и специализированного транспорта на цели реализации инвестиционного проекта</w:t>
            </w:r>
          </w:p>
        </w:tc>
        <w:tc>
          <w:tcPr>
            <w:tcW w:w="2027" w:type="dxa"/>
            <w:vAlign w:val="center"/>
          </w:tcPr>
          <w:p>
            <w:pPr>
              <w:pStyle w:val="0"/>
              <w:jc w:val="center"/>
            </w:pPr>
            <w:r>
              <w:rPr>
                <w:sz w:val="20"/>
              </w:rPr>
              <w:t xml:space="preserve">планирование</w:t>
            </w:r>
          </w:p>
        </w:tc>
        <w:tc>
          <w:tcPr>
            <w:tcW w:w="1590" w:type="dxa"/>
            <w:vAlign w:val="center"/>
          </w:tcPr>
          <w:p>
            <w:pPr>
              <w:pStyle w:val="0"/>
              <w:jc w:val="center"/>
            </w:pPr>
            <w:r>
              <w:rPr>
                <w:sz w:val="20"/>
              </w:rPr>
              <w:t xml:space="preserve">2503</w:t>
            </w:r>
          </w:p>
        </w:tc>
        <w:tc>
          <w:tcPr>
            <w:tcW w:w="1706" w:type="dxa"/>
            <w:vAlign w:val="center"/>
          </w:tcPr>
          <w:p>
            <w:pPr>
              <w:pStyle w:val="0"/>
              <w:jc w:val="center"/>
            </w:pPr>
            <w:r>
              <w:rPr>
                <w:sz w:val="20"/>
              </w:rPr>
              <w:t xml:space="preserve">-</w:t>
            </w:r>
          </w:p>
        </w:tc>
      </w:tr>
      <w:tr>
        <w:tc>
          <w:tcPr>
            <w:tcW w:w="2324" w:type="dxa"/>
            <w:vAlign w:val="center"/>
          </w:tcPr>
          <w:p>
            <w:pPr>
              <w:pStyle w:val="0"/>
              <w:jc w:val="center"/>
            </w:pPr>
            <w:r>
              <w:rPr>
                <w:sz w:val="20"/>
              </w:rPr>
              <w:t xml:space="preserve">ООО "Агропром-комплектация - Курск"</w:t>
            </w:r>
          </w:p>
        </w:tc>
        <w:tc>
          <w:tcPr>
            <w:tcW w:w="2551" w:type="dxa"/>
            <w:vAlign w:val="center"/>
          </w:tcPr>
          <w:p>
            <w:pPr>
              <w:pStyle w:val="0"/>
              <w:jc w:val="center"/>
            </w:pPr>
            <w:r>
              <w:rPr>
                <w:sz w:val="20"/>
              </w:rPr>
              <w:t xml:space="preserve">Поэтапное строительство в Дмитриевском районе Курской области животноводческого комплекса молочного направления,</w:t>
            </w:r>
          </w:p>
          <w:p>
            <w:pPr>
              <w:pStyle w:val="0"/>
              <w:jc w:val="center"/>
            </w:pPr>
            <w:r>
              <w:rPr>
                <w:sz w:val="20"/>
              </w:rPr>
              <w:t xml:space="preserve">предназначенного для содержания и доения коров на 6 460 скотомест, с площадкой для выращивания и откорма молодняка крупного рогатого скота молочных пород на 6060 скотомест,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w:t>
            </w:r>
          </w:p>
        </w:tc>
        <w:tc>
          <w:tcPr>
            <w:tcW w:w="1305" w:type="dxa"/>
            <w:vAlign w:val="center"/>
          </w:tcPr>
          <w:p>
            <w:pPr>
              <w:pStyle w:val="0"/>
              <w:jc w:val="center"/>
            </w:pPr>
            <w:r>
              <w:rPr>
                <w:sz w:val="20"/>
              </w:rPr>
              <w:t xml:space="preserve">2020 - 2021 гг.</w:t>
            </w:r>
          </w:p>
        </w:tc>
        <w:tc>
          <w:tcPr>
            <w:tcW w:w="3005" w:type="dxa"/>
            <w:vAlign w:val="center"/>
          </w:tcPr>
          <w:p>
            <w:pPr>
              <w:pStyle w:val="0"/>
              <w:jc w:val="center"/>
            </w:pPr>
            <w:r>
              <w:rPr>
                <w:sz w:val="20"/>
              </w:rPr>
              <w:t xml:space="preserve">Строительство в Дмитриевском районе Курской области животноводческого комплекса молочного направления, предназначенного для содержания и доения коров на 6460 скотомест, с площадкой для выращивания и откорма молодняка крупного рогатого скота молочных пород на 6060 скотомест</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8550,00</w:t>
            </w:r>
          </w:p>
        </w:tc>
        <w:tc>
          <w:tcPr>
            <w:tcW w:w="1706" w:type="dxa"/>
            <w:vAlign w:val="center"/>
          </w:tcPr>
          <w:p>
            <w:pPr>
              <w:pStyle w:val="0"/>
              <w:jc w:val="center"/>
            </w:pPr>
            <w:r>
              <w:rPr>
                <w:sz w:val="20"/>
              </w:rPr>
              <w:t xml:space="preserve">120</w:t>
            </w:r>
          </w:p>
        </w:tc>
      </w:tr>
      <w:tr>
        <w:tc>
          <w:tcPr>
            <w:tcW w:w="2324" w:type="dxa"/>
            <w:vAlign w:val="center"/>
          </w:tcPr>
          <w:p>
            <w:pPr>
              <w:pStyle w:val="0"/>
              <w:jc w:val="center"/>
            </w:pPr>
            <w:r>
              <w:rPr>
                <w:sz w:val="20"/>
              </w:rPr>
              <w:t xml:space="preserve">ООО "Агропром-комплектация - Курск"</w:t>
            </w:r>
          </w:p>
        </w:tc>
        <w:tc>
          <w:tcPr>
            <w:tcW w:w="2551" w:type="dxa"/>
            <w:vAlign w:val="center"/>
          </w:tcPr>
          <w:p>
            <w:pPr>
              <w:pStyle w:val="0"/>
              <w:jc w:val="center"/>
            </w:pPr>
            <w:r>
              <w:rPr>
                <w:sz w:val="20"/>
              </w:rPr>
              <w:t xml:space="preserve">Поэтапное строительство в Железногорском районе Курской области животноводческого комплекса молочного направления, предназначенного для содержания и доения коров на 3230 скотомест, с площадкой для выращивания и откорма молодняка крупного рогатого скота молочных пород</w:t>
            </w:r>
          </w:p>
        </w:tc>
        <w:tc>
          <w:tcPr>
            <w:tcW w:w="1305" w:type="dxa"/>
            <w:vAlign w:val="center"/>
          </w:tcPr>
          <w:p>
            <w:pPr>
              <w:pStyle w:val="0"/>
              <w:jc w:val="center"/>
            </w:pPr>
            <w:r>
              <w:rPr>
                <w:sz w:val="20"/>
              </w:rPr>
              <w:t xml:space="preserve">2020 - 2021 гг.</w:t>
            </w:r>
          </w:p>
        </w:tc>
        <w:tc>
          <w:tcPr>
            <w:tcW w:w="3005" w:type="dxa"/>
            <w:vAlign w:val="center"/>
          </w:tcPr>
          <w:p>
            <w:pPr>
              <w:pStyle w:val="0"/>
              <w:jc w:val="center"/>
            </w:pPr>
            <w:r>
              <w:rPr>
                <w:sz w:val="20"/>
              </w:rPr>
              <w:t xml:space="preserve">Строительство в Железногорском районе Курской области животноводческого комплекса молочного направления на 3230 скотомест с площадкой для выращивания и откорма молодняка крупного рогатого скота молочных пород на 3030 скотомест</w:t>
            </w:r>
          </w:p>
        </w:tc>
        <w:tc>
          <w:tcPr>
            <w:tcW w:w="2027" w:type="dxa"/>
            <w:vAlign w:val="center"/>
          </w:tcPr>
          <w:p>
            <w:pPr>
              <w:pStyle w:val="0"/>
              <w:jc w:val="center"/>
            </w:pPr>
            <w:r>
              <w:rPr>
                <w:sz w:val="20"/>
              </w:rPr>
              <w:t xml:space="preserve">реализуемый</w:t>
            </w:r>
          </w:p>
        </w:tc>
        <w:tc>
          <w:tcPr>
            <w:tcW w:w="1590" w:type="dxa"/>
            <w:vAlign w:val="center"/>
          </w:tcPr>
          <w:p>
            <w:pPr>
              <w:pStyle w:val="0"/>
              <w:jc w:val="center"/>
            </w:pPr>
            <w:r>
              <w:rPr>
                <w:sz w:val="20"/>
              </w:rPr>
              <w:t xml:space="preserve">4507,00</w:t>
            </w:r>
          </w:p>
        </w:tc>
        <w:tc>
          <w:tcPr>
            <w:tcW w:w="1706" w:type="dxa"/>
            <w:vAlign w:val="center"/>
          </w:tcPr>
          <w:p>
            <w:pPr>
              <w:pStyle w:val="0"/>
              <w:jc w:val="center"/>
            </w:pPr>
            <w:r>
              <w:rPr>
                <w:sz w:val="20"/>
              </w:rPr>
              <w:t xml:space="preserve">100</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Стратегии социально-экономического</w:t>
      </w:r>
    </w:p>
    <w:p>
      <w:pPr>
        <w:pStyle w:val="0"/>
        <w:jc w:val="right"/>
      </w:pPr>
      <w:r>
        <w:rPr>
          <w:sz w:val="20"/>
        </w:rPr>
        <w:t xml:space="preserve">развития Курской области на период</w:t>
      </w:r>
    </w:p>
    <w:p>
      <w:pPr>
        <w:pStyle w:val="0"/>
        <w:jc w:val="right"/>
      </w:pPr>
      <w:r>
        <w:rPr>
          <w:sz w:val="20"/>
        </w:rPr>
        <w:t xml:space="preserve">до 2030 года</w:t>
      </w:r>
    </w:p>
    <w:p>
      <w:pPr>
        <w:pStyle w:val="0"/>
        <w:jc w:val="both"/>
      </w:pPr>
      <w:r>
        <w:rPr>
          <w:sz w:val="20"/>
        </w:rPr>
      </w:r>
    </w:p>
    <w:bookmarkStart w:id="6011" w:name="P6011"/>
    <w:bookmarkEnd w:id="6011"/>
    <w:p>
      <w:pPr>
        <w:pStyle w:val="2"/>
        <w:jc w:val="center"/>
      </w:pPr>
      <w:r>
        <w:rPr>
          <w:sz w:val="20"/>
        </w:rPr>
        <w:t xml:space="preserve">ПЕРЕЧЕНЬ</w:t>
      </w:r>
    </w:p>
    <w:p>
      <w:pPr>
        <w:pStyle w:val="2"/>
        <w:jc w:val="center"/>
      </w:pPr>
      <w:r>
        <w:rPr>
          <w:sz w:val="20"/>
        </w:rPr>
        <w:t xml:space="preserve">ГОСУДАРСТВЕННЫХ ПРОГРАММ КУРСКОЙ ОБЛАСТИ</w:t>
      </w:r>
    </w:p>
    <w:p>
      <w:pPr>
        <w:pStyle w:val="2"/>
        <w:jc w:val="center"/>
      </w:pPr>
      <w:r>
        <w:rPr>
          <w:sz w:val="20"/>
        </w:rPr>
        <w:t xml:space="preserve">(ПО СОСТОЯНИЮ НА 01.10.2020)</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9"/>
        <w:gridCol w:w="8334"/>
      </w:tblGrid>
      <w:tr>
        <w:tc>
          <w:tcPr>
            <w:gridSpan w:val="2"/>
            <w:tcW w:w="9043" w:type="dxa"/>
          </w:tcPr>
          <w:p>
            <w:pPr>
              <w:pStyle w:val="0"/>
              <w:outlineLvl w:val="2"/>
              <w:jc w:val="center"/>
            </w:pPr>
            <w:r>
              <w:rPr>
                <w:sz w:val="20"/>
              </w:rPr>
              <w:t xml:space="preserve">I. Новое качество жизни</w:t>
            </w:r>
          </w:p>
        </w:tc>
      </w:tr>
      <w:tr>
        <w:tc>
          <w:tcPr>
            <w:tcW w:w="709" w:type="dxa"/>
          </w:tcPr>
          <w:p>
            <w:pPr>
              <w:pStyle w:val="0"/>
            </w:pPr>
            <w:r>
              <w:rPr>
                <w:sz w:val="20"/>
              </w:rPr>
              <w:t xml:space="preserve">1.</w:t>
            </w:r>
          </w:p>
        </w:tc>
        <w:tc>
          <w:tcPr>
            <w:tcW w:w="8334" w:type="dxa"/>
          </w:tcPr>
          <w:p>
            <w:pPr>
              <w:pStyle w:val="0"/>
              <w:jc w:val="both"/>
            </w:pPr>
            <w:r>
              <w:rPr>
                <w:sz w:val="20"/>
              </w:rPr>
              <w:t xml:space="preserve">Развитие здравоохранения в Курской области</w:t>
            </w:r>
          </w:p>
        </w:tc>
      </w:tr>
      <w:tr>
        <w:tc>
          <w:tcPr>
            <w:tcW w:w="709" w:type="dxa"/>
          </w:tcPr>
          <w:p>
            <w:pPr>
              <w:pStyle w:val="0"/>
            </w:pPr>
            <w:r>
              <w:rPr>
                <w:sz w:val="20"/>
              </w:rPr>
              <w:t xml:space="preserve">2.</w:t>
            </w:r>
          </w:p>
        </w:tc>
        <w:tc>
          <w:tcPr>
            <w:tcW w:w="8334" w:type="dxa"/>
          </w:tcPr>
          <w:p>
            <w:pPr>
              <w:pStyle w:val="0"/>
              <w:jc w:val="both"/>
            </w:pPr>
            <w:r>
              <w:rPr>
                <w:sz w:val="20"/>
              </w:rPr>
              <w:t xml:space="preserve">Развитие образования в Курской области</w:t>
            </w:r>
          </w:p>
        </w:tc>
      </w:tr>
      <w:tr>
        <w:tc>
          <w:tcPr>
            <w:tcW w:w="709" w:type="dxa"/>
          </w:tcPr>
          <w:p>
            <w:pPr>
              <w:pStyle w:val="0"/>
            </w:pPr>
            <w:r>
              <w:rPr>
                <w:sz w:val="20"/>
              </w:rPr>
              <w:t xml:space="preserve">3.</w:t>
            </w:r>
          </w:p>
        </w:tc>
        <w:tc>
          <w:tcPr>
            <w:tcW w:w="8334" w:type="dxa"/>
          </w:tcPr>
          <w:p>
            <w:pPr>
              <w:pStyle w:val="0"/>
              <w:jc w:val="both"/>
            </w:pPr>
            <w:r>
              <w:rPr>
                <w:sz w:val="20"/>
              </w:rPr>
              <w:t xml:space="preserve">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w:t>
            </w:r>
          </w:p>
        </w:tc>
      </w:tr>
      <w:tr>
        <w:tc>
          <w:tcPr>
            <w:tcW w:w="709" w:type="dxa"/>
          </w:tcPr>
          <w:p>
            <w:pPr>
              <w:pStyle w:val="0"/>
            </w:pPr>
            <w:r>
              <w:rPr>
                <w:sz w:val="20"/>
              </w:rPr>
              <w:t xml:space="preserve">4.</w:t>
            </w:r>
          </w:p>
        </w:tc>
        <w:tc>
          <w:tcPr>
            <w:tcW w:w="8334" w:type="dxa"/>
          </w:tcPr>
          <w:p>
            <w:pPr>
              <w:pStyle w:val="0"/>
              <w:jc w:val="both"/>
            </w:pPr>
            <w:r>
              <w:rPr>
                <w:sz w:val="20"/>
              </w:rPr>
              <w:t xml:space="preserve">Социальная поддержка граждан в Курской области</w:t>
            </w:r>
          </w:p>
        </w:tc>
      </w:tr>
      <w:tr>
        <w:tc>
          <w:tcPr>
            <w:tcW w:w="709" w:type="dxa"/>
          </w:tcPr>
          <w:p>
            <w:pPr>
              <w:pStyle w:val="0"/>
            </w:pPr>
            <w:r>
              <w:rPr>
                <w:sz w:val="20"/>
              </w:rPr>
              <w:t xml:space="preserve">5.</w:t>
            </w:r>
          </w:p>
        </w:tc>
        <w:tc>
          <w:tcPr>
            <w:tcW w:w="8334" w:type="dxa"/>
          </w:tcPr>
          <w:p>
            <w:pPr>
              <w:pStyle w:val="0"/>
              <w:jc w:val="both"/>
            </w:pPr>
            <w:r>
              <w:rPr>
                <w:sz w:val="20"/>
              </w:rPr>
              <w:t xml:space="preserve">Обеспечение доступности приоритетных объектов и услуг в приоритетных сферах жизнедеятельности инвалидов и других маломобильных групп населения в Курской области</w:t>
            </w:r>
          </w:p>
        </w:tc>
      </w:tr>
      <w:tr>
        <w:tc>
          <w:tcPr>
            <w:tcW w:w="709" w:type="dxa"/>
          </w:tcPr>
          <w:p>
            <w:pPr>
              <w:pStyle w:val="0"/>
            </w:pPr>
            <w:r>
              <w:rPr>
                <w:sz w:val="20"/>
              </w:rPr>
              <w:t xml:space="preserve">6.</w:t>
            </w:r>
          </w:p>
        </w:tc>
        <w:tc>
          <w:tcPr>
            <w:tcW w:w="8334" w:type="dxa"/>
          </w:tcPr>
          <w:p>
            <w:pPr>
              <w:pStyle w:val="0"/>
              <w:jc w:val="both"/>
            </w:pPr>
            <w:r>
              <w:rPr>
                <w:sz w:val="20"/>
              </w:rPr>
              <w:t xml:space="preserve">Обеспечение доступным и комфортным жильем и коммунальными услугами граждан в Курской области</w:t>
            </w:r>
          </w:p>
        </w:tc>
      </w:tr>
      <w:tr>
        <w:tc>
          <w:tcPr>
            <w:tcW w:w="709" w:type="dxa"/>
          </w:tcPr>
          <w:p>
            <w:pPr>
              <w:pStyle w:val="0"/>
            </w:pPr>
            <w:r>
              <w:rPr>
                <w:sz w:val="20"/>
              </w:rPr>
              <w:t xml:space="preserve">7.</w:t>
            </w:r>
          </w:p>
        </w:tc>
        <w:tc>
          <w:tcPr>
            <w:tcW w:w="8334" w:type="dxa"/>
          </w:tcPr>
          <w:p>
            <w:pPr>
              <w:pStyle w:val="0"/>
              <w:jc w:val="both"/>
            </w:pPr>
            <w:r>
              <w:rPr>
                <w:sz w:val="20"/>
              </w:rPr>
              <w:t xml:space="preserve">Формирование современной городской среды в Курской области</w:t>
            </w:r>
          </w:p>
        </w:tc>
      </w:tr>
      <w:tr>
        <w:tc>
          <w:tcPr>
            <w:tcW w:w="709" w:type="dxa"/>
          </w:tcPr>
          <w:p>
            <w:pPr>
              <w:pStyle w:val="0"/>
            </w:pPr>
            <w:r>
              <w:rPr>
                <w:sz w:val="20"/>
              </w:rPr>
              <w:t xml:space="preserve">8.</w:t>
            </w:r>
          </w:p>
        </w:tc>
        <w:tc>
          <w:tcPr>
            <w:tcW w:w="8334" w:type="dxa"/>
          </w:tcPr>
          <w:p>
            <w:pPr>
              <w:pStyle w:val="0"/>
              <w:jc w:val="both"/>
            </w:pPr>
            <w:r>
              <w:rPr>
                <w:sz w:val="20"/>
              </w:rPr>
              <w:t xml:space="preserve">Содействие занятости населения в Курской области</w:t>
            </w:r>
          </w:p>
        </w:tc>
      </w:tr>
      <w:tr>
        <w:tc>
          <w:tcPr>
            <w:tcW w:w="709" w:type="dxa"/>
          </w:tcPr>
          <w:p>
            <w:pPr>
              <w:pStyle w:val="0"/>
            </w:pPr>
            <w:r>
              <w:rPr>
                <w:sz w:val="20"/>
              </w:rPr>
              <w:t xml:space="preserve">9.</w:t>
            </w:r>
          </w:p>
        </w:tc>
        <w:tc>
          <w:tcPr>
            <w:tcW w:w="8334" w:type="dxa"/>
          </w:tcPr>
          <w:p>
            <w:pPr>
              <w:pStyle w:val="0"/>
              <w:jc w:val="both"/>
            </w:pPr>
            <w:r>
              <w:rPr>
                <w:sz w:val="20"/>
              </w:rPr>
              <w:t xml:space="preserve">Защита населения и территорий от чрезвычайных ситуаций, обеспечение пожарной безопасности и безопасности людей на водных объектах</w:t>
            </w:r>
          </w:p>
        </w:tc>
      </w:tr>
      <w:tr>
        <w:tc>
          <w:tcPr>
            <w:tcW w:w="709" w:type="dxa"/>
          </w:tcPr>
          <w:p>
            <w:pPr>
              <w:pStyle w:val="0"/>
            </w:pPr>
            <w:r>
              <w:rPr>
                <w:sz w:val="20"/>
              </w:rPr>
              <w:t xml:space="preserve">10.</w:t>
            </w:r>
          </w:p>
        </w:tc>
        <w:tc>
          <w:tcPr>
            <w:tcW w:w="8334" w:type="dxa"/>
          </w:tcPr>
          <w:p>
            <w:pPr>
              <w:pStyle w:val="0"/>
              <w:jc w:val="both"/>
            </w:pPr>
            <w:r>
              <w:rPr>
                <w:sz w:val="20"/>
              </w:rPr>
              <w:t xml:space="preserve">Развитие культуры в Курской области</w:t>
            </w:r>
          </w:p>
        </w:tc>
      </w:tr>
      <w:tr>
        <w:tc>
          <w:tcPr>
            <w:tcW w:w="709" w:type="dxa"/>
          </w:tcPr>
          <w:p>
            <w:pPr>
              <w:pStyle w:val="0"/>
            </w:pPr>
            <w:r>
              <w:rPr>
                <w:sz w:val="20"/>
              </w:rPr>
              <w:t xml:space="preserve">11.</w:t>
            </w:r>
          </w:p>
        </w:tc>
        <w:tc>
          <w:tcPr>
            <w:tcW w:w="8334" w:type="dxa"/>
          </w:tcPr>
          <w:p>
            <w:pPr>
              <w:pStyle w:val="0"/>
              <w:jc w:val="both"/>
            </w:pPr>
            <w:r>
              <w:rPr>
                <w:sz w:val="20"/>
              </w:rPr>
              <w:t xml:space="preserve">Развитие физической культуры и спорта в Курской области</w:t>
            </w:r>
          </w:p>
        </w:tc>
      </w:tr>
      <w:tr>
        <w:tc>
          <w:tcPr>
            <w:tcW w:w="709" w:type="dxa"/>
          </w:tcPr>
          <w:p>
            <w:pPr>
              <w:pStyle w:val="0"/>
            </w:pPr>
            <w:r>
              <w:rPr>
                <w:sz w:val="20"/>
              </w:rPr>
              <w:t xml:space="preserve">12.</w:t>
            </w:r>
          </w:p>
        </w:tc>
        <w:tc>
          <w:tcPr>
            <w:tcW w:w="8334" w:type="dxa"/>
          </w:tcPr>
          <w:p>
            <w:pPr>
              <w:pStyle w:val="0"/>
              <w:jc w:val="both"/>
            </w:pPr>
            <w:r>
              <w:rPr>
                <w:sz w:val="20"/>
              </w:rPr>
              <w:t xml:space="preserve">Повышение эффективности реализации молодежной политики, создание благоприятных условий для развития туризма и развитие системы оздоровления и отдыха детей в Курской области</w:t>
            </w:r>
          </w:p>
        </w:tc>
      </w:tr>
      <w:tr>
        <w:tc>
          <w:tcPr>
            <w:tcW w:w="709" w:type="dxa"/>
          </w:tcPr>
          <w:p>
            <w:pPr>
              <w:pStyle w:val="0"/>
            </w:pPr>
            <w:r>
              <w:rPr>
                <w:sz w:val="20"/>
              </w:rPr>
              <w:t xml:space="preserve">13.</w:t>
            </w:r>
          </w:p>
        </w:tc>
        <w:tc>
          <w:tcPr>
            <w:tcW w:w="8334" w:type="dxa"/>
          </w:tcPr>
          <w:p>
            <w:pPr>
              <w:pStyle w:val="0"/>
              <w:jc w:val="both"/>
            </w:pPr>
            <w:r>
              <w:rPr>
                <w:sz w:val="20"/>
              </w:rPr>
              <w:t xml:space="preserve">Развитие архивного дела в Курской области</w:t>
            </w:r>
          </w:p>
        </w:tc>
      </w:tr>
      <w:tr>
        <w:tc>
          <w:tcPr>
            <w:gridSpan w:val="2"/>
            <w:tcW w:w="9043" w:type="dxa"/>
          </w:tcPr>
          <w:p>
            <w:pPr>
              <w:pStyle w:val="0"/>
              <w:outlineLvl w:val="2"/>
              <w:jc w:val="center"/>
            </w:pPr>
            <w:r>
              <w:rPr>
                <w:sz w:val="20"/>
              </w:rPr>
              <w:t xml:space="preserve">II. Инновационное развитие и модернизация экономики</w:t>
            </w:r>
          </w:p>
        </w:tc>
      </w:tr>
      <w:tr>
        <w:tc>
          <w:tcPr>
            <w:tcW w:w="709" w:type="dxa"/>
          </w:tcPr>
          <w:p>
            <w:pPr>
              <w:pStyle w:val="0"/>
            </w:pPr>
            <w:r>
              <w:rPr>
                <w:sz w:val="20"/>
              </w:rPr>
              <w:t xml:space="preserve">14.</w:t>
            </w:r>
          </w:p>
        </w:tc>
        <w:tc>
          <w:tcPr>
            <w:tcW w:w="8334" w:type="dxa"/>
          </w:tcPr>
          <w:p>
            <w:pPr>
              <w:pStyle w:val="0"/>
              <w:jc w:val="both"/>
            </w:pPr>
            <w:r>
              <w:rPr>
                <w:sz w:val="20"/>
              </w:rPr>
              <w:t xml:space="preserve">Развитие экономики и внешних связей Курской области</w:t>
            </w:r>
          </w:p>
        </w:tc>
      </w:tr>
      <w:tr>
        <w:tc>
          <w:tcPr>
            <w:tcW w:w="709" w:type="dxa"/>
          </w:tcPr>
          <w:p>
            <w:pPr>
              <w:pStyle w:val="0"/>
            </w:pPr>
            <w:r>
              <w:rPr>
                <w:sz w:val="20"/>
              </w:rPr>
              <w:t xml:space="preserve">15.</w:t>
            </w:r>
          </w:p>
        </w:tc>
        <w:tc>
          <w:tcPr>
            <w:tcW w:w="8334" w:type="dxa"/>
          </w:tcPr>
          <w:p>
            <w:pPr>
              <w:pStyle w:val="0"/>
              <w:jc w:val="both"/>
            </w:pPr>
            <w:r>
              <w:rPr>
                <w:sz w:val="20"/>
              </w:rPr>
              <w:t xml:space="preserve">Развитие промышленности в Курской области и повышение ее конкурентоспособности</w:t>
            </w:r>
          </w:p>
        </w:tc>
      </w:tr>
      <w:tr>
        <w:tc>
          <w:tcPr>
            <w:tcW w:w="709" w:type="dxa"/>
          </w:tcPr>
          <w:p>
            <w:pPr>
              <w:pStyle w:val="0"/>
            </w:pPr>
            <w:r>
              <w:rPr>
                <w:sz w:val="20"/>
              </w:rPr>
              <w:t xml:space="preserve">16.</w:t>
            </w:r>
          </w:p>
        </w:tc>
        <w:tc>
          <w:tcPr>
            <w:tcW w:w="8334" w:type="dxa"/>
          </w:tcPr>
          <w:p>
            <w:pPr>
              <w:pStyle w:val="0"/>
              <w:jc w:val="both"/>
            </w:pPr>
            <w:r>
              <w:rPr>
                <w:sz w:val="20"/>
              </w:rPr>
              <w:t xml:space="preserve">Развитие информационного общества в Курской области</w:t>
            </w:r>
          </w:p>
        </w:tc>
      </w:tr>
      <w:tr>
        <w:tc>
          <w:tcPr>
            <w:tcW w:w="709" w:type="dxa"/>
          </w:tcPr>
          <w:p>
            <w:pPr>
              <w:pStyle w:val="0"/>
            </w:pPr>
            <w:r>
              <w:rPr>
                <w:sz w:val="20"/>
              </w:rPr>
              <w:t xml:space="preserve">17.</w:t>
            </w:r>
          </w:p>
        </w:tc>
        <w:tc>
          <w:tcPr>
            <w:tcW w:w="8334" w:type="dxa"/>
          </w:tcPr>
          <w:p>
            <w:pPr>
              <w:pStyle w:val="0"/>
              <w:jc w:val="both"/>
            </w:pPr>
            <w:r>
              <w:rPr>
                <w:sz w:val="20"/>
              </w:rPr>
              <w:t xml:space="preserve">Развитие транспортной системы, обеспечение перевозки пассажиров в Курской области и безопасности дорожного движения</w:t>
            </w:r>
          </w:p>
        </w:tc>
      </w:tr>
      <w:tr>
        <w:tc>
          <w:tcPr>
            <w:tcW w:w="709" w:type="dxa"/>
          </w:tcPr>
          <w:p>
            <w:pPr>
              <w:pStyle w:val="0"/>
            </w:pPr>
            <w:r>
              <w:rPr>
                <w:sz w:val="20"/>
              </w:rPr>
              <w:t xml:space="preserve">18.</w:t>
            </w:r>
          </w:p>
        </w:tc>
        <w:tc>
          <w:tcPr>
            <w:tcW w:w="8334" w:type="dxa"/>
          </w:tcPr>
          <w:p>
            <w:pPr>
              <w:pStyle w:val="0"/>
              <w:jc w:val="both"/>
            </w:pPr>
            <w:r>
              <w:rPr>
                <w:sz w:val="20"/>
              </w:rPr>
              <w:t xml:space="preserve">Развитие сельского хозяйства и регулирование рынков сельскохозяйственной продукции, сырья и продовольствия в Курской области</w:t>
            </w:r>
          </w:p>
        </w:tc>
      </w:tr>
      <w:tr>
        <w:tc>
          <w:tcPr>
            <w:tcW w:w="709" w:type="dxa"/>
          </w:tcPr>
          <w:p>
            <w:pPr>
              <w:pStyle w:val="0"/>
            </w:pPr>
            <w:r>
              <w:rPr>
                <w:sz w:val="20"/>
              </w:rPr>
              <w:t xml:space="preserve">19.</w:t>
            </w:r>
          </w:p>
        </w:tc>
        <w:tc>
          <w:tcPr>
            <w:tcW w:w="8334" w:type="dxa"/>
          </w:tcPr>
          <w:p>
            <w:pPr>
              <w:pStyle w:val="0"/>
              <w:jc w:val="both"/>
            </w:pPr>
            <w:r>
              <w:rPr>
                <w:sz w:val="20"/>
              </w:rPr>
              <w:t xml:space="preserve">Комплексное развитие сельских территорий Курской области</w:t>
            </w:r>
          </w:p>
        </w:tc>
      </w:tr>
      <w:tr>
        <w:tc>
          <w:tcPr>
            <w:tcW w:w="709" w:type="dxa"/>
          </w:tcPr>
          <w:p>
            <w:pPr>
              <w:pStyle w:val="0"/>
            </w:pPr>
            <w:r>
              <w:rPr>
                <w:sz w:val="20"/>
              </w:rPr>
              <w:t xml:space="preserve">20.</w:t>
            </w:r>
          </w:p>
        </w:tc>
        <w:tc>
          <w:tcPr>
            <w:tcW w:w="8334" w:type="dxa"/>
          </w:tcPr>
          <w:p>
            <w:pPr>
              <w:pStyle w:val="0"/>
              <w:jc w:val="both"/>
            </w:pPr>
            <w:r>
              <w:rPr>
                <w:sz w:val="20"/>
              </w:rPr>
              <w:t xml:space="preserve">Воспроизводство и использование природных ресурсов, охрана окружающей среды в Курской области</w:t>
            </w:r>
          </w:p>
        </w:tc>
      </w:tr>
      <w:tr>
        <w:tc>
          <w:tcPr>
            <w:tcW w:w="709" w:type="dxa"/>
          </w:tcPr>
          <w:p>
            <w:pPr>
              <w:pStyle w:val="0"/>
            </w:pPr>
            <w:r>
              <w:rPr>
                <w:sz w:val="20"/>
              </w:rPr>
              <w:t xml:space="preserve">21.</w:t>
            </w:r>
          </w:p>
        </w:tc>
        <w:tc>
          <w:tcPr>
            <w:tcW w:w="8334" w:type="dxa"/>
          </w:tcPr>
          <w:p>
            <w:pPr>
              <w:pStyle w:val="0"/>
              <w:jc w:val="both"/>
            </w:pPr>
            <w:r>
              <w:rPr>
                <w:sz w:val="20"/>
              </w:rPr>
              <w:t xml:space="preserve">Развитие лесного хозяйства в Курской области</w:t>
            </w:r>
          </w:p>
        </w:tc>
      </w:tr>
      <w:tr>
        <w:tc>
          <w:tcPr>
            <w:tcW w:w="709" w:type="dxa"/>
          </w:tcPr>
          <w:p>
            <w:pPr>
              <w:pStyle w:val="0"/>
            </w:pPr>
            <w:r>
              <w:rPr>
                <w:sz w:val="20"/>
              </w:rPr>
              <w:t xml:space="preserve">22.</w:t>
            </w:r>
          </w:p>
        </w:tc>
        <w:tc>
          <w:tcPr>
            <w:tcW w:w="8334" w:type="dxa"/>
          </w:tcPr>
          <w:p>
            <w:pPr>
              <w:pStyle w:val="0"/>
              <w:jc w:val="both"/>
            </w:pPr>
            <w:r>
              <w:rPr>
                <w:sz w:val="20"/>
              </w:rPr>
              <w:t xml:space="preserve">Повышение энергоэффективности и развитие энергетики в Курской области</w:t>
            </w:r>
          </w:p>
        </w:tc>
      </w:tr>
      <w:tr>
        <w:tc>
          <w:tcPr>
            <w:gridSpan w:val="2"/>
            <w:tcW w:w="9043" w:type="dxa"/>
          </w:tcPr>
          <w:p>
            <w:pPr>
              <w:pStyle w:val="0"/>
              <w:outlineLvl w:val="2"/>
              <w:jc w:val="center"/>
            </w:pPr>
            <w:r>
              <w:rPr>
                <w:sz w:val="20"/>
              </w:rPr>
              <w:t xml:space="preserve">III. Эффективное государство</w:t>
            </w:r>
          </w:p>
        </w:tc>
      </w:tr>
      <w:tr>
        <w:tc>
          <w:tcPr>
            <w:tcW w:w="709" w:type="dxa"/>
          </w:tcPr>
          <w:p>
            <w:pPr>
              <w:pStyle w:val="0"/>
              <w:jc w:val="center"/>
            </w:pPr>
            <w:r>
              <w:rPr>
                <w:sz w:val="20"/>
              </w:rPr>
              <w:t xml:space="preserve">23.</w:t>
            </w:r>
          </w:p>
        </w:tc>
        <w:tc>
          <w:tcPr>
            <w:tcW w:w="8334" w:type="dxa"/>
          </w:tcPr>
          <w:p>
            <w:pPr>
              <w:pStyle w:val="0"/>
              <w:jc w:val="both"/>
            </w:pPr>
            <w:r>
              <w:rPr>
                <w:sz w:val="20"/>
              </w:rPr>
              <w:t xml:space="preserve">Создание условий для эффективного и ответственного управления региональными и муниципальными финансами, государственным долгом и повышения устойчивости бюджетов Курской области</w:t>
            </w:r>
          </w:p>
        </w:tc>
      </w:tr>
      <w:tr>
        <w:tc>
          <w:tcPr>
            <w:tcW w:w="709" w:type="dxa"/>
          </w:tcPr>
          <w:p>
            <w:pPr>
              <w:pStyle w:val="0"/>
              <w:jc w:val="center"/>
            </w:pPr>
            <w:r>
              <w:rPr>
                <w:sz w:val="20"/>
              </w:rPr>
              <w:t xml:space="preserve">24.</w:t>
            </w:r>
          </w:p>
        </w:tc>
        <w:tc>
          <w:tcPr>
            <w:tcW w:w="8334" w:type="dxa"/>
          </w:tcPr>
          <w:p>
            <w:pPr>
              <w:pStyle w:val="0"/>
              <w:jc w:val="both"/>
            </w:pPr>
            <w:r>
              <w:rPr>
                <w:sz w:val="20"/>
              </w:rPr>
              <w:t xml:space="preserve">Управление государственным имуществом Курской области</w:t>
            </w:r>
          </w:p>
        </w:tc>
      </w:tr>
      <w:tr>
        <w:tc>
          <w:tcPr>
            <w:tcW w:w="709" w:type="dxa"/>
          </w:tcPr>
          <w:p>
            <w:pPr>
              <w:pStyle w:val="0"/>
              <w:jc w:val="center"/>
            </w:pPr>
            <w:r>
              <w:rPr>
                <w:sz w:val="20"/>
              </w:rPr>
              <w:t xml:space="preserve">25.</w:t>
            </w:r>
          </w:p>
        </w:tc>
        <w:tc>
          <w:tcPr>
            <w:tcW w:w="8334" w:type="dxa"/>
          </w:tcPr>
          <w:p>
            <w:pPr>
              <w:pStyle w:val="0"/>
              <w:jc w:val="both"/>
            </w:pPr>
            <w:r>
              <w:rPr>
                <w:sz w:val="20"/>
              </w:rPr>
              <w:t xml:space="preserve">Реализация государственной политики в сфере печати и массовой информации в Курской области</w:t>
            </w:r>
          </w:p>
        </w:tc>
      </w:tr>
      <w:tr>
        <w:tc>
          <w:tcPr>
            <w:tcW w:w="709" w:type="dxa"/>
          </w:tcPr>
          <w:p>
            <w:pPr>
              <w:pStyle w:val="0"/>
              <w:jc w:val="center"/>
            </w:pPr>
            <w:r>
              <w:rPr>
                <w:sz w:val="20"/>
              </w:rPr>
              <w:t xml:space="preserve">26.</w:t>
            </w:r>
          </w:p>
        </w:tc>
        <w:tc>
          <w:tcPr>
            <w:tcW w:w="8334" w:type="dxa"/>
          </w:tcPr>
          <w:p>
            <w:pPr>
              <w:pStyle w:val="0"/>
              <w:jc w:val="both"/>
            </w:pPr>
            <w:r>
              <w:rPr>
                <w:sz w:val="20"/>
              </w:rPr>
              <w:t xml:space="preserve">Программа Курской области по оказанию содействия добровольному переселению в Российскую Федерацию соотечественников, проживающих за рубежом</w:t>
            </w:r>
          </w:p>
        </w:tc>
      </w:tr>
      <w:tr>
        <w:tc>
          <w:tcPr>
            <w:tcW w:w="709" w:type="dxa"/>
          </w:tcPr>
          <w:p>
            <w:pPr>
              <w:pStyle w:val="0"/>
              <w:jc w:val="center"/>
            </w:pPr>
            <w:r>
              <w:rPr>
                <w:sz w:val="20"/>
              </w:rPr>
              <w:t xml:space="preserve">27.</w:t>
            </w:r>
          </w:p>
        </w:tc>
        <w:tc>
          <w:tcPr>
            <w:tcW w:w="8334" w:type="dxa"/>
          </w:tcPr>
          <w:p>
            <w:pPr>
              <w:pStyle w:val="0"/>
              <w:jc w:val="both"/>
            </w:pPr>
            <w:r>
              <w:rPr>
                <w:sz w:val="20"/>
              </w:rPr>
              <w:t xml:space="preserve">Создание условий для эффективного исполнения полномочий в сфере юстиции</w:t>
            </w:r>
          </w:p>
        </w:tc>
      </w:tr>
      <w:tr>
        <w:tc>
          <w:tcPr>
            <w:tcW w:w="709" w:type="dxa"/>
          </w:tcPr>
          <w:p>
            <w:pPr>
              <w:pStyle w:val="0"/>
              <w:jc w:val="center"/>
            </w:pPr>
            <w:r>
              <w:rPr>
                <w:sz w:val="20"/>
              </w:rPr>
              <w:t xml:space="preserve">28.</w:t>
            </w:r>
          </w:p>
        </w:tc>
        <w:tc>
          <w:tcPr>
            <w:tcW w:w="8334" w:type="dxa"/>
          </w:tcPr>
          <w:p>
            <w:pPr>
              <w:pStyle w:val="0"/>
              <w:jc w:val="both"/>
            </w:pPr>
            <w:r>
              <w:rPr>
                <w:sz w:val="20"/>
              </w:rPr>
              <w:t xml:space="preserve">Профилактика правонарушений в Курской области</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Стратегии социально-экономического</w:t>
      </w:r>
    </w:p>
    <w:p>
      <w:pPr>
        <w:pStyle w:val="0"/>
        <w:jc w:val="right"/>
      </w:pPr>
      <w:r>
        <w:rPr>
          <w:sz w:val="20"/>
        </w:rPr>
        <w:t xml:space="preserve">развития Курской области на период</w:t>
      </w:r>
    </w:p>
    <w:p>
      <w:pPr>
        <w:pStyle w:val="0"/>
        <w:jc w:val="right"/>
      </w:pPr>
      <w:r>
        <w:rPr>
          <w:sz w:val="20"/>
        </w:rPr>
        <w:t xml:space="preserve">до 2030 года</w:t>
      </w:r>
    </w:p>
    <w:p>
      <w:pPr>
        <w:pStyle w:val="0"/>
        <w:ind w:left="540"/>
        <w:jc w:val="both"/>
      </w:pPr>
      <w:r>
        <w:rPr>
          <w:sz w:val="20"/>
        </w:rPr>
      </w:r>
    </w:p>
    <w:bookmarkStart w:id="6084" w:name="P6084"/>
    <w:bookmarkEnd w:id="6084"/>
    <w:p>
      <w:pPr>
        <w:pStyle w:val="2"/>
        <w:jc w:val="center"/>
      </w:pPr>
      <w:r>
        <w:rPr>
          <w:sz w:val="20"/>
        </w:rPr>
        <w:t xml:space="preserve">ЭКСПОРТНАЯ СТРАТЕГИЯ КУРСКОЙ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Законов Курской области</w:t>
            </w:r>
          </w:p>
          <w:p>
            <w:pPr>
              <w:pStyle w:val="0"/>
              <w:jc w:val="center"/>
            </w:pPr>
            <w:r>
              <w:rPr>
                <w:sz w:val="20"/>
                <w:color w:val="392c69"/>
              </w:rPr>
              <w:t xml:space="preserve">от 23.12.2022 </w:t>
            </w:r>
            <w:hyperlink w:history="0" r:id="rId119"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N 169-ЗКО</w:t>
              </w:r>
            </w:hyperlink>
            <w:r>
              <w:rPr>
                <w:sz w:val="20"/>
                <w:color w:val="392c69"/>
              </w:rPr>
              <w:t xml:space="preserve">, от 04.05.2023 </w:t>
            </w:r>
            <w:hyperlink w:history="0" r:id="rId120"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N 40-ЗКО</w:t>
              </w:r>
            </w:hyperlink>
            <w:r>
              <w:rPr>
                <w:sz w:val="20"/>
                <w:color w:val="392c69"/>
              </w:rPr>
              <w:t xml:space="preserve">, от 06.10.2023 </w:t>
            </w:r>
            <w:hyperlink w:history="0" r:id="rId121"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N 73-ЗКО</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2"/>
        <w:outlineLvl w:val="2"/>
        <w:jc w:val="center"/>
      </w:pPr>
      <w:r>
        <w:rPr>
          <w:sz w:val="20"/>
        </w:rPr>
        <w:t xml:space="preserve">1. Текущее состояние экспорта Курской области</w:t>
      </w:r>
    </w:p>
    <w:p>
      <w:pPr>
        <w:pStyle w:val="0"/>
        <w:ind w:firstLine="540"/>
        <w:jc w:val="both"/>
      </w:pPr>
      <w:r>
        <w:rPr>
          <w:sz w:val="20"/>
        </w:rPr>
      </w:r>
    </w:p>
    <w:p>
      <w:pPr>
        <w:pStyle w:val="2"/>
        <w:outlineLvl w:val="3"/>
        <w:ind w:firstLine="540"/>
        <w:jc w:val="both"/>
      </w:pPr>
      <w:r>
        <w:rPr>
          <w:sz w:val="20"/>
        </w:rPr>
        <w:t xml:space="preserve">1.1. Экспортная деятельность региона</w:t>
      </w:r>
    </w:p>
    <w:p>
      <w:pPr>
        <w:pStyle w:val="0"/>
        <w:ind w:firstLine="540"/>
        <w:jc w:val="both"/>
      </w:pPr>
      <w:r>
        <w:rPr>
          <w:sz w:val="20"/>
        </w:rPr>
      </w:r>
    </w:p>
    <w:p>
      <w:pPr>
        <w:pStyle w:val="2"/>
        <w:outlineLvl w:val="4"/>
        <w:jc w:val="center"/>
      </w:pPr>
      <w:r>
        <w:rPr>
          <w:sz w:val="20"/>
        </w:rPr>
        <w:t xml:space="preserve">Динамика объема экспорта Курской области в 2015 - 2018 гг.</w:t>
      </w:r>
    </w:p>
    <w:p>
      <w:pPr>
        <w:pStyle w:val="0"/>
        <w:ind w:firstLine="540"/>
        <w:jc w:val="both"/>
      </w:pPr>
      <w:r>
        <w:rPr>
          <w:sz w:val="20"/>
        </w:rPr>
      </w:r>
    </w:p>
    <w:p>
      <w:pPr>
        <w:pStyle w:val="0"/>
        <w:ind w:firstLine="540"/>
        <w:jc w:val="both"/>
      </w:pPr>
      <w:r>
        <w:rPr>
          <w:sz w:val="20"/>
        </w:rPr>
        <w:t xml:space="preserve">Суммарный объем экспорта Курской области в 2018 году достиг 692,9 млн. долл. США, из которых 9,4 млн. долл. США (1,4%) составляет экспорт услуг. Относительно уровня 2017 года объем экспорта увеличился на 9,8%. При этом доля сектора услуг осталась на прежнем уровне.</w:t>
      </w:r>
    </w:p>
    <w:p>
      <w:pPr>
        <w:pStyle w:val="0"/>
        <w:spacing w:before="200" w:line-rule="auto"/>
        <w:ind w:firstLine="540"/>
        <w:jc w:val="both"/>
      </w:pPr>
      <w:r>
        <w:rPr>
          <w:sz w:val="20"/>
        </w:rPr>
        <w:t xml:space="preserve">В структуре экспорта услуг наибольшую долю (89,9%) занимают услуги образования. Следующий сектор по величине доли в экспорте услуг - услуги гостиниц и ресторанов - занимает 4,5%, при этом в общем объеме услуг доля услуг образования снизилась на 0,9%, а услуг гостиниц и ресторанов - на 1,9%. Большая часть доходов поступает от потребителей услуг из стран дальнего зарубежья - на их долю приходится 91,8% объема доходов от экспорта.</w:t>
      </w:r>
    </w:p>
    <w:p>
      <w:pPr>
        <w:pStyle w:val="0"/>
        <w:spacing w:before="200" w:line-rule="auto"/>
        <w:ind w:firstLine="540"/>
        <w:jc w:val="both"/>
      </w:pPr>
      <w:r>
        <w:rPr>
          <w:sz w:val="20"/>
        </w:rPr>
        <w:t xml:space="preserve">Объем товарного экспорта Курской области &lt;1&gt; в 2018 году достиг 683,5 млн. долларов США, что составляет 0,2% суммарного экспорта Российской Федерации. По сравнению с 2017 годом экспорт увеличился на 9,8%, при этом среднегодовой рост за период после введения антироссийских санкций (с 2015 года) достиг 20%. Несмотря на продолжающийся три года рост экспортных поставок, предприятиям региона все еще не удается восстановить "досанкционные" объемы пятилетней давности - в 2013 году экспорт Курской области составлял 696 млн. долларов США.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Ввиду несущественной разницы величины суммарного экспорта и объема товарного экспорта, здесь и далее анализ экспортной деятельности Курской области проводится на основании данных об экспорте товаров.</w:t>
      </w:r>
    </w:p>
    <w:p>
      <w:pPr>
        <w:pStyle w:val="0"/>
        <w:ind w:firstLine="540"/>
        <w:jc w:val="both"/>
      </w:pPr>
      <w:r>
        <w:rPr>
          <w:sz w:val="20"/>
        </w:rPr>
      </w:r>
    </w:p>
    <w:p>
      <w:pPr>
        <w:pStyle w:val="0"/>
        <w:outlineLvl w:val="5"/>
        <w:jc w:val="right"/>
      </w:pPr>
      <w:r>
        <w:rPr>
          <w:sz w:val="20"/>
        </w:rPr>
        <w:t xml:space="preserve">Таблица N 1</w:t>
      </w:r>
    </w:p>
    <w:p>
      <w:pPr>
        <w:pStyle w:val="0"/>
        <w:jc w:val="center"/>
      </w:pPr>
      <w:r>
        <w:rPr>
          <w:sz w:val="20"/>
        </w:rPr>
      </w:r>
    </w:p>
    <w:p>
      <w:pPr>
        <w:pStyle w:val="2"/>
        <w:jc w:val="center"/>
      </w:pPr>
      <w:r>
        <w:rPr>
          <w:sz w:val="20"/>
        </w:rPr>
        <w:t xml:space="preserve">Объем экспорта Курской области и доля региона в экспорте</w:t>
      </w:r>
    </w:p>
    <w:p>
      <w:pPr>
        <w:pStyle w:val="2"/>
        <w:jc w:val="center"/>
      </w:pPr>
      <w:r>
        <w:rPr>
          <w:sz w:val="20"/>
        </w:rPr>
        <w:t xml:space="preserve">Российской Федерации</w:t>
      </w:r>
    </w:p>
    <w:p>
      <w:pPr>
        <w:pStyle w:val="0"/>
        <w:jc w:val="center"/>
      </w:pPr>
      <w:r>
        <w:rPr>
          <w:sz w:val="20"/>
        </w:rPr>
        <w:t xml:space="preserve">(в ред. </w:t>
      </w:r>
      <w:hyperlink w:history="0" r:id="rId122"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w:t>
      </w:r>
    </w:p>
    <w:p>
      <w:pPr>
        <w:pStyle w:val="0"/>
        <w:jc w:val="center"/>
      </w:pPr>
      <w:r>
        <w:rPr>
          <w:sz w:val="20"/>
        </w:rPr>
        <w:t xml:space="preserve">от 06.10.2023 N 73-ЗКО)</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793"/>
        <w:gridCol w:w="793"/>
        <w:gridCol w:w="793"/>
        <w:gridCol w:w="793"/>
        <w:gridCol w:w="793"/>
        <w:gridCol w:w="793"/>
        <w:gridCol w:w="793"/>
        <w:gridCol w:w="793"/>
        <w:gridCol w:w="820"/>
      </w:tblGrid>
      <w:tr>
        <w:tc>
          <w:tcPr>
            <w:tcW w:w="2324" w:type="dxa"/>
            <w:vAlign w:val="center"/>
          </w:tcPr>
          <w:p>
            <w:pPr>
              <w:pStyle w:val="0"/>
              <w:jc w:val="center"/>
            </w:pPr>
            <w:r>
              <w:rPr>
                <w:sz w:val="20"/>
              </w:rPr>
              <w:t xml:space="preserve">Показатель</w:t>
            </w:r>
          </w:p>
        </w:tc>
        <w:tc>
          <w:tcPr>
            <w:tcW w:w="793" w:type="dxa"/>
            <w:vAlign w:val="center"/>
          </w:tcPr>
          <w:p>
            <w:pPr>
              <w:pStyle w:val="0"/>
              <w:jc w:val="center"/>
            </w:pPr>
            <w:r>
              <w:rPr>
                <w:sz w:val="20"/>
              </w:rPr>
              <w:t xml:space="preserve">2013 год</w:t>
            </w:r>
          </w:p>
        </w:tc>
        <w:tc>
          <w:tcPr>
            <w:tcW w:w="793" w:type="dxa"/>
            <w:vAlign w:val="center"/>
          </w:tcPr>
          <w:p>
            <w:pPr>
              <w:pStyle w:val="0"/>
              <w:jc w:val="center"/>
            </w:pPr>
            <w:r>
              <w:rPr>
                <w:sz w:val="20"/>
              </w:rPr>
              <w:t xml:space="preserve">2014 год</w:t>
            </w:r>
          </w:p>
        </w:tc>
        <w:tc>
          <w:tcPr>
            <w:tcW w:w="793" w:type="dxa"/>
            <w:vAlign w:val="center"/>
          </w:tcPr>
          <w:p>
            <w:pPr>
              <w:pStyle w:val="0"/>
              <w:jc w:val="center"/>
            </w:pPr>
            <w:r>
              <w:rPr>
                <w:sz w:val="20"/>
              </w:rPr>
              <w:t xml:space="preserve">2015 год</w:t>
            </w:r>
          </w:p>
        </w:tc>
        <w:tc>
          <w:tcPr>
            <w:tcW w:w="793" w:type="dxa"/>
            <w:vAlign w:val="center"/>
          </w:tcPr>
          <w:p>
            <w:pPr>
              <w:pStyle w:val="0"/>
              <w:jc w:val="center"/>
            </w:pPr>
            <w:r>
              <w:rPr>
                <w:sz w:val="20"/>
              </w:rPr>
              <w:t xml:space="preserve">2016 год</w:t>
            </w:r>
          </w:p>
        </w:tc>
        <w:tc>
          <w:tcPr>
            <w:tcW w:w="793" w:type="dxa"/>
            <w:vAlign w:val="center"/>
          </w:tcPr>
          <w:p>
            <w:pPr>
              <w:pStyle w:val="0"/>
              <w:jc w:val="center"/>
            </w:pPr>
            <w:r>
              <w:rPr>
                <w:sz w:val="20"/>
              </w:rPr>
              <w:t xml:space="preserve">2017 год</w:t>
            </w:r>
          </w:p>
        </w:tc>
        <w:tc>
          <w:tcPr>
            <w:tcW w:w="793" w:type="dxa"/>
            <w:vAlign w:val="center"/>
          </w:tcPr>
          <w:p>
            <w:pPr>
              <w:pStyle w:val="0"/>
              <w:jc w:val="center"/>
            </w:pPr>
            <w:r>
              <w:rPr>
                <w:sz w:val="20"/>
              </w:rPr>
              <w:t xml:space="preserve">2018 год</w:t>
            </w:r>
          </w:p>
        </w:tc>
        <w:tc>
          <w:tcPr>
            <w:tcW w:w="793" w:type="dxa"/>
            <w:vAlign w:val="center"/>
          </w:tcPr>
          <w:p>
            <w:pPr>
              <w:pStyle w:val="0"/>
              <w:jc w:val="center"/>
            </w:pPr>
            <w:r>
              <w:rPr>
                <w:sz w:val="20"/>
              </w:rPr>
              <w:t xml:space="preserve">2019 год</w:t>
            </w:r>
          </w:p>
        </w:tc>
        <w:tc>
          <w:tcPr>
            <w:tcW w:w="793" w:type="dxa"/>
            <w:vAlign w:val="center"/>
          </w:tcPr>
          <w:p>
            <w:pPr>
              <w:pStyle w:val="0"/>
              <w:jc w:val="center"/>
            </w:pPr>
            <w:r>
              <w:rPr>
                <w:sz w:val="20"/>
              </w:rPr>
              <w:t xml:space="preserve">2020 год</w:t>
            </w:r>
          </w:p>
        </w:tc>
        <w:tc>
          <w:tcPr>
            <w:tcW w:w="820" w:type="dxa"/>
            <w:vAlign w:val="center"/>
          </w:tcPr>
          <w:p>
            <w:pPr>
              <w:pStyle w:val="0"/>
              <w:jc w:val="center"/>
            </w:pPr>
            <w:r>
              <w:rPr>
                <w:sz w:val="20"/>
              </w:rPr>
              <w:t xml:space="preserve">2021 год</w:t>
            </w:r>
          </w:p>
        </w:tc>
      </w:tr>
      <w:tr>
        <w:tc>
          <w:tcPr>
            <w:tcW w:w="2324" w:type="dxa"/>
            <w:vAlign w:val="center"/>
          </w:tcPr>
          <w:p>
            <w:pPr>
              <w:pStyle w:val="0"/>
            </w:pPr>
            <w:r>
              <w:rPr>
                <w:sz w:val="20"/>
              </w:rPr>
              <w:t xml:space="preserve">Экспорт Курской области, млн. долл. США</w:t>
            </w:r>
          </w:p>
        </w:tc>
        <w:tc>
          <w:tcPr>
            <w:tcW w:w="793" w:type="dxa"/>
            <w:vAlign w:val="center"/>
          </w:tcPr>
          <w:p>
            <w:pPr>
              <w:pStyle w:val="0"/>
              <w:jc w:val="center"/>
            </w:pPr>
            <w:r>
              <w:rPr>
                <w:sz w:val="20"/>
              </w:rPr>
              <w:t xml:space="preserve">696,0</w:t>
            </w:r>
          </w:p>
        </w:tc>
        <w:tc>
          <w:tcPr>
            <w:tcW w:w="793" w:type="dxa"/>
            <w:vAlign w:val="center"/>
          </w:tcPr>
          <w:p>
            <w:pPr>
              <w:pStyle w:val="0"/>
              <w:jc w:val="center"/>
            </w:pPr>
            <w:r>
              <w:rPr>
                <w:sz w:val="20"/>
              </w:rPr>
              <w:t xml:space="preserve">577,3</w:t>
            </w:r>
          </w:p>
        </w:tc>
        <w:tc>
          <w:tcPr>
            <w:tcW w:w="793" w:type="dxa"/>
            <w:vAlign w:val="center"/>
          </w:tcPr>
          <w:p>
            <w:pPr>
              <w:pStyle w:val="0"/>
              <w:jc w:val="center"/>
            </w:pPr>
            <w:r>
              <w:rPr>
                <w:sz w:val="20"/>
              </w:rPr>
              <w:t xml:space="preserve">396,4</w:t>
            </w:r>
          </w:p>
        </w:tc>
        <w:tc>
          <w:tcPr>
            <w:tcW w:w="793" w:type="dxa"/>
            <w:vAlign w:val="center"/>
          </w:tcPr>
          <w:p>
            <w:pPr>
              <w:pStyle w:val="0"/>
              <w:jc w:val="center"/>
            </w:pPr>
            <w:r>
              <w:rPr>
                <w:sz w:val="20"/>
              </w:rPr>
              <w:t xml:space="preserve">452,9</w:t>
            </w:r>
          </w:p>
        </w:tc>
        <w:tc>
          <w:tcPr>
            <w:tcW w:w="793" w:type="dxa"/>
            <w:vAlign w:val="center"/>
          </w:tcPr>
          <w:p>
            <w:pPr>
              <w:pStyle w:val="0"/>
              <w:jc w:val="center"/>
            </w:pPr>
            <w:r>
              <w:rPr>
                <w:sz w:val="20"/>
              </w:rPr>
              <w:t xml:space="preserve">622,3</w:t>
            </w:r>
          </w:p>
        </w:tc>
        <w:tc>
          <w:tcPr>
            <w:tcW w:w="793" w:type="dxa"/>
            <w:vAlign w:val="center"/>
          </w:tcPr>
          <w:p>
            <w:pPr>
              <w:pStyle w:val="0"/>
              <w:jc w:val="center"/>
            </w:pPr>
            <w:r>
              <w:rPr>
                <w:sz w:val="20"/>
              </w:rPr>
              <w:t xml:space="preserve">683,5</w:t>
            </w:r>
          </w:p>
        </w:tc>
        <w:tc>
          <w:tcPr>
            <w:tcW w:w="793" w:type="dxa"/>
            <w:vAlign w:val="center"/>
          </w:tcPr>
          <w:p>
            <w:pPr>
              <w:pStyle w:val="0"/>
              <w:jc w:val="center"/>
            </w:pPr>
            <w:r>
              <w:rPr>
                <w:sz w:val="20"/>
              </w:rPr>
              <w:t xml:space="preserve">793,2</w:t>
            </w:r>
          </w:p>
        </w:tc>
        <w:tc>
          <w:tcPr>
            <w:tcW w:w="793" w:type="dxa"/>
            <w:vAlign w:val="center"/>
          </w:tcPr>
          <w:p>
            <w:pPr>
              <w:pStyle w:val="0"/>
              <w:jc w:val="center"/>
            </w:pPr>
            <w:r>
              <w:rPr>
                <w:sz w:val="20"/>
              </w:rPr>
              <w:t xml:space="preserve">704,0</w:t>
            </w:r>
          </w:p>
        </w:tc>
        <w:tc>
          <w:tcPr>
            <w:tcW w:w="820" w:type="dxa"/>
            <w:vAlign w:val="center"/>
          </w:tcPr>
          <w:p>
            <w:pPr>
              <w:pStyle w:val="0"/>
              <w:jc w:val="center"/>
            </w:pPr>
            <w:r>
              <w:rPr>
                <w:sz w:val="20"/>
              </w:rPr>
              <w:t xml:space="preserve">1631,4</w:t>
            </w:r>
          </w:p>
        </w:tc>
      </w:tr>
      <w:tr>
        <w:tc>
          <w:tcPr>
            <w:tcW w:w="2324" w:type="dxa"/>
            <w:vAlign w:val="center"/>
          </w:tcPr>
          <w:p>
            <w:pPr>
              <w:pStyle w:val="0"/>
            </w:pPr>
            <w:r>
              <w:rPr>
                <w:sz w:val="20"/>
              </w:rPr>
              <w:t xml:space="preserve">Экспорт Российской Федерации, млрд. долл. США</w:t>
            </w:r>
          </w:p>
        </w:tc>
        <w:tc>
          <w:tcPr>
            <w:tcW w:w="793" w:type="dxa"/>
            <w:vAlign w:val="center"/>
          </w:tcPr>
          <w:p>
            <w:pPr>
              <w:pStyle w:val="0"/>
              <w:jc w:val="center"/>
            </w:pPr>
            <w:r>
              <w:rPr>
                <w:sz w:val="20"/>
              </w:rPr>
              <w:t xml:space="preserve">526,0</w:t>
            </w:r>
          </w:p>
        </w:tc>
        <w:tc>
          <w:tcPr>
            <w:tcW w:w="793" w:type="dxa"/>
            <w:vAlign w:val="center"/>
          </w:tcPr>
          <w:p>
            <w:pPr>
              <w:pStyle w:val="0"/>
              <w:jc w:val="center"/>
            </w:pPr>
            <w:r>
              <w:rPr>
                <w:sz w:val="20"/>
              </w:rPr>
              <w:t xml:space="preserve">497,4</w:t>
            </w:r>
          </w:p>
        </w:tc>
        <w:tc>
          <w:tcPr>
            <w:tcW w:w="793" w:type="dxa"/>
            <w:vAlign w:val="center"/>
          </w:tcPr>
          <w:p>
            <w:pPr>
              <w:pStyle w:val="0"/>
              <w:jc w:val="center"/>
            </w:pPr>
            <w:r>
              <w:rPr>
                <w:sz w:val="20"/>
              </w:rPr>
              <w:t xml:space="preserve">343,5</w:t>
            </w:r>
          </w:p>
        </w:tc>
        <w:tc>
          <w:tcPr>
            <w:tcW w:w="793" w:type="dxa"/>
            <w:vAlign w:val="center"/>
          </w:tcPr>
          <w:p>
            <w:pPr>
              <w:pStyle w:val="0"/>
              <w:jc w:val="center"/>
            </w:pPr>
            <w:r>
              <w:rPr>
                <w:sz w:val="20"/>
              </w:rPr>
              <w:t xml:space="preserve">285,5</w:t>
            </w:r>
          </w:p>
        </w:tc>
        <w:tc>
          <w:tcPr>
            <w:tcW w:w="793" w:type="dxa"/>
            <w:vAlign w:val="center"/>
          </w:tcPr>
          <w:p>
            <w:pPr>
              <w:pStyle w:val="0"/>
              <w:jc w:val="center"/>
            </w:pPr>
            <w:r>
              <w:rPr>
                <w:sz w:val="20"/>
              </w:rPr>
              <w:t xml:space="preserve">357,3</w:t>
            </w:r>
          </w:p>
        </w:tc>
        <w:tc>
          <w:tcPr>
            <w:tcW w:w="793" w:type="dxa"/>
            <w:vAlign w:val="center"/>
          </w:tcPr>
          <w:p>
            <w:pPr>
              <w:pStyle w:val="0"/>
              <w:jc w:val="center"/>
            </w:pPr>
            <w:r>
              <w:rPr>
                <w:sz w:val="20"/>
              </w:rPr>
              <w:t xml:space="preserve">449,6</w:t>
            </w:r>
          </w:p>
        </w:tc>
        <w:tc>
          <w:tcPr>
            <w:tcW w:w="793" w:type="dxa"/>
            <w:vAlign w:val="center"/>
          </w:tcPr>
          <w:p>
            <w:pPr>
              <w:pStyle w:val="0"/>
              <w:jc w:val="center"/>
            </w:pPr>
            <w:r>
              <w:rPr>
                <w:sz w:val="20"/>
              </w:rPr>
              <w:t xml:space="preserve">426,3</w:t>
            </w:r>
          </w:p>
        </w:tc>
        <w:tc>
          <w:tcPr>
            <w:tcW w:w="793" w:type="dxa"/>
            <w:vAlign w:val="center"/>
          </w:tcPr>
          <w:p>
            <w:pPr>
              <w:pStyle w:val="0"/>
              <w:jc w:val="center"/>
            </w:pPr>
            <w:r>
              <w:rPr>
                <w:sz w:val="20"/>
              </w:rPr>
              <w:t xml:space="preserve">338,6</w:t>
            </w:r>
          </w:p>
        </w:tc>
        <w:tc>
          <w:tcPr>
            <w:tcW w:w="820" w:type="dxa"/>
            <w:vAlign w:val="center"/>
          </w:tcPr>
          <w:p>
            <w:pPr>
              <w:pStyle w:val="0"/>
              <w:jc w:val="center"/>
            </w:pPr>
            <w:r>
              <w:rPr>
                <w:sz w:val="20"/>
              </w:rPr>
              <w:t xml:space="preserve">493,3</w:t>
            </w:r>
          </w:p>
        </w:tc>
      </w:tr>
      <w:tr>
        <w:tc>
          <w:tcPr>
            <w:tcW w:w="2324" w:type="dxa"/>
            <w:vAlign w:val="center"/>
          </w:tcPr>
          <w:p>
            <w:pPr>
              <w:pStyle w:val="0"/>
            </w:pPr>
            <w:r>
              <w:rPr>
                <w:sz w:val="20"/>
              </w:rPr>
              <w:t xml:space="preserve">Доля Курской области в экспорте Российской Федерации, %</w:t>
            </w:r>
          </w:p>
        </w:tc>
        <w:tc>
          <w:tcPr>
            <w:tcW w:w="793" w:type="dxa"/>
            <w:vAlign w:val="center"/>
          </w:tcPr>
          <w:p>
            <w:pPr>
              <w:pStyle w:val="0"/>
              <w:jc w:val="center"/>
            </w:pPr>
            <w:r>
              <w:rPr>
                <w:sz w:val="20"/>
              </w:rPr>
              <w:t xml:space="preserve">0,13%</w:t>
            </w:r>
          </w:p>
        </w:tc>
        <w:tc>
          <w:tcPr>
            <w:tcW w:w="793" w:type="dxa"/>
            <w:vAlign w:val="center"/>
          </w:tcPr>
          <w:p>
            <w:pPr>
              <w:pStyle w:val="0"/>
              <w:jc w:val="center"/>
            </w:pPr>
            <w:r>
              <w:rPr>
                <w:sz w:val="20"/>
              </w:rPr>
              <w:t xml:space="preserve">0,12%</w:t>
            </w:r>
          </w:p>
        </w:tc>
        <w:tc>
          <w:tcPr>
            <w:tcW w:w="793" w:type="dxa"/>
            <w:vAlign w:val="center"/>
          </w:tcPr>
          <w:p>
            <w:pPr>
              <w:pStyle w:val="0"/>
              <w:jc w:val="center"/>
            </w:pPr>
            <w:r>
              <w:rPr>
                <w:sz w:val="20"/>
              </w:rPr>
              <w:t xml:space="preserve">0,12%</w:t>
            </w:r>
          </w:p>
        </w:tc>
        <w:tc>
          <w:tcPr>
            <w:tcW w:w="793" w:type="dxa"/>
            <w:vAlign w:val="center"/>
          </w:tcPr>
          <w:p>
            <w:pPr>
              <w:pStyle w:val="0"/>
              <w:jc w:val="center"/>
            </w:pPr>
            <w:r>
              <w:rPr>
                <w:sz w:val="20"/>
              </w:rPr>
              <w:t xml:space="preserve">0,16%</w:t>
            </w:r>
          </w:p>
        </w:tc>
        <w:tc>
          <w:tcPr>
            <w:tcW w:w="793" w:type="dxa"/>
            <w:vAlign w:val="center"/>
          </w:tcPr>
          <w:p>
            <w:pPr>
              <w:pStyle w:val="0"/>
              <w:jc w:val="center"/>
            </w:pPr>
            <w:r>
              <w:rPr>
                <w:sz w:val="20"/>
              </w:rPr>
              <w:t xml:space="preserve">0,17%</w:t>
            </w:r>
          </w:p>
        </w:tc>
        <w:tc>
          <w:tcPr>
            <w:tcW w:w="793" w:type="dxa"/>
            <w:vAlign w:val="center"/>
          </w:tcPr>
          <w:p>
            <w:pPr>
              <w:pStyle w:val="0"/>
              <w:jc w:val="center"/>
            </w:pPr>
            <w:r>
              <w:rPr>
                <w:sz w:val="20"/>
              </w:rPr>
              <w:t xml:space="preserve">0,15%</w:t>
            </w:r>
          </w:p>
        </w:tc>
        <w:tc>
          <w:tcPr>
            <w:tcW w:w="793" w:type="dxa"/>
            <w:vAlign w:val="center"/>
          </w:tcPr>
          <w:p>
            <w:pPr>
              <w:pStyle w:val="0"/>
              <w:jc w:val="center"/>
            </w:pPr>
            <w:r>
              <w:rPr>
                <w:sz w:val="20"/>
              </w:rPr>
              <w:t xml:space="preserve">0,19%</w:t>
            </w:r>
          </w:p>
        </w:tc>
        <w:tc>
          <w:tcPr>
            <w:tcW w:w="793" w:type="dxa"/>
            <w:vAlign w:val="center"/>
          </w:tcPr>
          <w:p>
            <w:pPr>
              <w:pStyle w:val="0"/>
              <w:jc w:val="center"/>
            </w:pPr>
            <w:r>
              <w:rPr>
                <w:sz w:val="20"/>
              </w:rPr>
              <w:t xml:space="preserve">0,21%</w:t>
            </w:r>
          </w:p>
        </w:tc>
        <w:tc>
          <w:tcPr>
            <w:tcW w:w="820" w:type="dxa"/>
            <w:vAlign w:val="center"/>
          </w:tcPr>
          <w:p>
            <w:pPr>
              <w:pStyle w:val="0"/>
              <w:jc w:val="center"/>
            </w:pPr>
            <w:r>
              <w:rPr>
                <w:sz w:val="20"/>
              </w:rPr>
              <w:t xml:space="preserve">0,33%</w:t>
            </w:r>
          </w:p>
        </w:tc>
      </w:tr>
      <w:tr>
        <w:tc>
          <w:tcPr>
            <w:tcW w:w="2324" w:type="dxa"/>
            <w:vAlign w:val="center"/>
          </w:tcPr>
          <w:p>
            <w:pPr>
              <w:pStyle w:val="0"/>
            </w:pPr>
            <w:r>
              <w:rPr>
                <w:sz w:val="20"/>
              </w:rPr>
              <w:t xml:space="preserve">Несырьевой неэнергетический экспорт Курской области, млн. долл. США</w:t>
            </w:r>
          </w:p>
        </w:tc>
        <w:tc>
          <w:tcPr>
            <w:tcW w:w="793" w:type="dxa"/>
            <w:vAlign w:val="center"/>
          </w:tcPr>
          <w:p>
            <w:pPr>
              <w:pStyle w:val="0"/>
              <w:jc w:val="center"/>
            </w:pPr>
            <w:r>
              <w:rPr>
                <w:sz w:val="20"/>
              </w:rPr>
              <w:t xml:space="preserve">346,5</w:t>
            </w:r>
          </w:p>
        </w:tc>
        <w:tc>
          <w:tcPr>
            <w:tcW w:w="793" w:type="dxa"/>
            <w:vAlign w:val="center"/>
          </w:tcPr>
          <w:p>
            <w:pPr>
              <w:pStyle w:val="0"/>
              <w:jc w:val="center"/>
            </w:pPr>
            <w:r>
              <w:rPr>
                <w:sz w:val="20"/>
              </w:rPr>
              <w:t xml:space="preserve">299,6</w:t>
            </w:r>
          </w:p>
        </w:tc>
        <w:tc>
          <w:tcPr>
            <w:tcW w:w="793" w:type="dxa"/>
            <w:vAlign w:val="center"/>
          </w:tcPr>
          <w:p>
            <w:pPr>
              <w:pStyle w:val="0"/>
              <w:jc w:val="center"/>
            </w:pPr>
            <w:r>
              <w:rPr>
                <w:sz w:val="20"/>
              </w:rPr>
              <w:t xml:space="preserve">293,8</w:t>
            </w:r>
          </w:p>
        </w:tc>
        <w:tc>
          <w:tcPr>
            <w:tcW w:w="793" w:type="dxa"/>
            <w:vAlign w:val="center"/>
          </w:tcPr>
          <w:p>
            <w:pPr>
              <w:pStyle w:val="0"/>
              <w:jc w:val="center"/>
            </w:pPr>
            <w:r>
              <w:rPr>
                <w:sz w:val="20"/>
              </w:rPr>
              <w:t xml:space="preserve">324,0</w:t>
            </w:r>
          </w:p>
        </w:tc>
        <w:tc>
          <w:tcPr>
            <w:tcW w:w="793" w:type="dxa"/>
            <w:vAlign w:val="center"/>
          </w:tcPr>
          <w:p>
            <w:pPr>
              <w:pStyle w:val="0"/>
              <w:jc w:val="center"/>
            </w:pPr>
            <w:r>
              <w:rPr>
                <w:sz w:val="20"/>
              </w:rPr>
              <w:t xml:space="preserve">334,9</w:t>
            </w:r>
          </w:p>
        </w:tc>
        <w:tc>
          <w:tcPr>
            <w:tcW w:w="793" w:type="dxa"/>
            <w:vAlign w:val="center"/>
          </w:tcPr>
          <w:p>
            <w:pPr>
              <w:pStyle w:val="0"/>
              <w:jc w:val="center"/>
            </w:pPr>
            <w:r>
              <w:rPr>
                <w:sz w:val="20"/>
              </w:rPr>
              <w:t xml:space="preserve">378,1</w:t>
            </w:r>
          </w:p>
        </w:tc>
        <w:tc>
          <w:tcPr>
            <w:tcW w:w="793" w:type="dxa"/>
            <w:vAlign w:val="center"/>
          </w:tcPr>
          <w:p>
            <w:pPr>
              <w:pStyle w:val="0"/>
              <w:jc w:val="center"/>
            </w:pPr>
            <w:r>
              <w:rPr>
                <w:sz w:val="20"/>
              </w:rPr>
              <w:t xml:space="preserve">367,6</w:t>
            </w:r>
          </w:p>
        </w:tc>
        <w:tc>
          <w:tcPr>
            <w:tcW w:w="793" w:type="dxa"/>
            <w:vAlign w:val="center"/>
          </w:tcPr>
          <w:p>
            <w:pPr>
              <w:pStyle w:val="0"/>
              <w:jc w:val="center"/>
            </w:pPr>
            <w:r>
              <w:rPr>
                <w:sz w:val="20"/>
              </w:rPr>
              <w:t xml:space="preserve">437,0</w:t>
            </w:r>
          </w:p>
        </w:tc>
        <w:tc>
          <w:tcPr>
            <w:tcW w:w="820" w:type="dxa"/>
            <w:vAlign w:val="center"/>
          </w:tcPr>
          <w:p>
            <w:pPr>
              <w:pStyle w:val="0"/>
              <w:jc w:val="center"/>
            </w:pPr>
            <w:r>
              <w:rPr>
                <w:sz w:val="20"/>
              </w:rPr>
              <w:t xml:space="preserve">555,3</w:t>
            </w:r>
          </w:p>
        </w:tc>
      </w:tr>
      <w:tr>
        <w:tc>
          <w:tcPr>
            <w:tcW w:w="2324" w:type="dxa"/>
            <w:vAlign w:val="center"/>
          </w:tcPr>
          <w:p>
            <w:pPr>
              <w:pStyle w:val="0"/>
            </w:pPr>
            <w:r>
              <w:rPr>
                <w:sz w:val="20"/>
              </w:rPr>
              <w:t xml:space="preserve">Несырьевой неэнергетический экспорт Российской Федерации, млрд. долл. США</w:t>
            </w:r>
          </w:p>
        </w:tc>
        <w:tc>
          <w:tcPr>
            <w:tcW w:w="793" w:type="dxa"/>
            <w:vAlign w:val="center"/>
          </w:tcPr>
          <w:p>
            <w:pPr>
              <w:pStyle w:val="0"/>
              <w:jc w:val="center"/>
            </w:pPr>
            <w:r>
              <w:rPr>
                <w:sz w:val="20"/>
              </w:rPr>
              <w:t xml:space="preserve">142,0</w:t>
            </w:r>
          </w:p>
        </w:tc>
        <w:tc>
          <w:tcPr>
            <w:tcW w:w="793" w:type="dxa"/>
            <w:vAlign w:val="center"/>
          </w:tcPr>
          <w:p>
            <w:pPr>
              <w:pStyle w:val="0"/>
              <w:jc w:val="center"/>
            </w:pPr>
            <w:r>
              <w:rPr>
                <w:sz w:val="20"/>
              </w:rPr>
              <w:t xml:space="preserve">139,3</w:t>
            </w:r>
          </w:p>
        </w:tc>
        <w:tc>
          <w:tcPr>
            <w:tcW w:w="793" w:type="dxa"/>
            <w:vAlign w:val="center"/>
          </w:tcPr>
          <w:p>
            <w:pPr>
              <w:pStyle w:val="0"/>
              <w:jc w:val="center"/>
            </w:pPr>
            <w:r>
              <w:rPr>
                <w:sz w:val="20"/>
              </w:rPr>
              <w:t xml:space="preserve">116,8</w:t>
            </w:r>
          </w:p>
        </w:tc>
        <w:tc>
          <w:tcPr>
            <w:tcW w:w="793" w:type="dxa"/>
            <w:vAlign w:val="center"/>
          </w:tcPr>
          <w:p>
            <w:pPr>
              <w:pStyle w:val="0"/>
              <w:jc w:val="center"/>
            </w:pPr>
            <w:r>
              <w:rPr>
                <w:sz w:val="20"/>
              </w:rPr>
              <w:t xml:space="preserve">108,6</w:t>
            </w:r>
          </w:p>
        </w:tc>
        <w:tc>
          <w:tcPr>
            <w:tcW w:w="793" w:type="dxa"/>
            <w:vAlign w:val="center"/>
          </w:tcPr>
          <w:p>
            <w:pPr>
              <w:pStyle w:val="0"/>
              <w:jc w:val="center"/>
            </w:pPr>
            <w:r>
              <w:rPr>
                <w:sz w:val="20"/>
              </w:rPr>
              <w:t xml:space="preserve">132,4</w:t>
            </w:r>
          </w:p>
        </w:tc>
        <w:tc>
          <w:tcPr>
            <w:tcW w:w="793" w:type="dxa"/>
            <w:vAlign w:val="center"/>
          </w:tcPr>
          <w:p>
            <w:pPr>
              <w:pStyle w:val="0"/>
              <w:jc w:val="center"/>
            </w:pPr>
            <w:r>
              <w:rPr>
                <w:sz w:val="20"/>
              </w:rPr>
              <w:t xml:space="preserve">154,3</w:t>
            </w:r>
          </w:p>
        </w:tc>
        <w:tc>
          <w:tcPr>
            <w:tcW w:w="793" w:type="dxa"/>
            <w:vAlign w:val="center"/>
          </w:tcPr>
          <w:p>
            <w:pPr>
              <w:pStyle w:val="0"/>
              <w:jc w:val="center"/>
            </w:pPr>
            <w:r>
              <w:rPr>
                <w:sz w:val="20"/>
              </w:rPr>
              <w:t xml:space="preserve">154,4</w:t>
            </w:r>
          </w:p>
        </w:tc>
        <w:tc>
          <w:tcPr>
            <w:tcW w:w="793" w:type="dxa"/>
            <w:vAlign w:val="center"/>
          </w:tcPr>
          <w:p>
            <w:pPr>
              <w:pStyle w:val="0"/>
              <w:jc w:val="center"/>
            </w:pPr>
            <w:r>
              <w:rPr>
                <w:sz w:val="20"/>
              </w:rPr>
              <w:t xml:space="preserve">337,3</w:t>
            </w:r>
          </w:p>
        </w:tc>
        <w:tc>
          <w:tcPr>
            <w:tcW w:w="820" w:type="dxa"/>
            <w:vAlign w:val="center"/>
          </w:tcPr>
          <w:p>
            <w:pPr>
              <w:pStyle w:val="0"/>
              <w:jc w:val="center"/>
            </w:pPr>
            <w:r>
              <w:rPr>
                <w:sz w:val="20"/>
              </w:rPr>
              <w:t xml:space="preserve">493,1</w:t>
            </w:r>
          </w:p>
        </w:tc>
      </w:tr>
      <w:tr>
        <w:tc>
          <w:tcPr>
            <w:tcW w:w="2324" w:type="dxa"/>
            <w:vAlign w:val="center"/>
          </w:tcPr>
          <w:p>
            <w:pPr>
              <w:pStyle w:val="0"/>
            </w:pPr>
            <w:r>
              <w:rPr>
                <w:sz w:val="20"/>
              </w:rPr>
              <w:t xml:space="preserve">Доля Курской области в несырьевом неэнергетическом экспорте Российской Федерации, %</w:t>
            </w:r>
          </w:p>
        </w:tc>
        <w:tc>
          <w:tcPr>
            <w:tcW w:w="793" w:type="dxa"/>
            <w:vAlign w:val="center"/>
          </w:tcPr>
          <w:p>
            <w:pPr>
              <w:pStyle w:val="0"/>
              <w:jc w:val="center"/>
            </w:pPr>
            <w:r>
              <w:rPr>
                <w:sz w:val="20"/>
              </w:rPr>
              <w:t xml:space="preserve">0,24</w:t>
            </w:r>
          </w:p>
        </w:tc>
        <w:tc>
          <w:tcPr>
            <w:tcW w:w="793" w:type="dxa"/>
            <w:vAlign w:val="center"/>
          </w:tcPr>
          <w:p>
            <w:pPr>
              <w:pStyle w:val="0"/>
              <w:jc w:val="center"/>
            </w:pPr>
            <w:r>
              <w:rPr>
                <w:sz w:val="20"/>
              </w:rPr>
              <w:t xml:space="preserve">0,22</w:t>
            </w:r>
          </w:p>
        </w:tc>
        <w:tc>
          <w:tcPr>
            <w:tcW w:w="793" w:type="dxa"/>
            <w:vAlign w:val="center"/>
          </w:tcPr>
          <w:p>
            <w:pPr>
              <w:pStyle w:val="0"/>
              <w:jc w:val="center"/>
            </w:pPr>
            <w:r>
              <w:rPr>
                <w:sz w:val="20"/>
              </w:rPr>
              <w:t xml:space="preserve">0,25</w:t>
            </w:r>
          </w:p>
        </w:tc>
        <w:tc>
          <w:tcPr>
            <w:tcW w:w="793" w:type="dxa"/>
            <w:vAlign w:val="center"/>
          </w:tcPr>
          <w:p>
            <w:pPr>
              <w:pStyle w:val="0"/>
              <w:jc w:val="center"/>
            </w:pPr>
            <w:r>
              <w:rPr>
                <w:sz w:val="20"/>
              </w:rPr>
              <w:t xml:space="preserve">0,30</w:t>
            </w:r>
          </w:p>
        </w:tc>
        <w:tc>
          <w:tcPr>
            <w:tcW w:w="793" w:type="dxa"/>
            <w:vAlign w:val="center"/>
          </w:tcPr>
          <w:p>
            <w:pPr>
              <w:pStyle w:val="0"/>
              <w:jc w:val="center"/>
            </w:pPr>
            <w:r>
              <w:rPr>
                <w:sz w:val="20"/>
              </w:rPr>
              <w:t xml:space="preserve">0,25</w:t>
            </w:r>
          </w:p>
        </w:tc>
        <w:tc>
          <w:tcPr>
            <w:tcW w:w="793" w:type="dxa"/>
            <w:vAlign w:val="center"/>
          </w:tcPr>
          <w:p>
            <w:pPr>
              <w:pStyle w:val="0"/>
              <w:jc w:val="center"/>
            </w:pPr>
            <w:r>
              <w:rPr>
                <w:sz w:val="20"/>
              </w:rPr>
              <w:t xml:space="preserve">0,25</w:t>
            </w:r>
          </w:p>
        </w:tc>
        <w:tc>
          <w:tcPr>
            <w:tcW w:w="793" w:type="dxa"/>
            <w:vAlign w:val="center"/>
          </w:tcPr>
          <w:p>
            <w:pPr>
              <w:pStyle w:val="0"/>
              <w:jc w:val="center"/>
            </w:pPr>
            <w:r>
              <w:rPr>
                <w:sz w:val="20"/>
              </w:rPr>
              <w:t xml:space="preserve">0,24</w:t>
            </w:r>
          </w:p>
        </w:tc>
        <w:tc>
          <w:tcPr>
            <w:tcW w:w="793" w:type="dxa"/>
            <w:vAlign w:val="center"/>
          </w:tcPr>
          <w:p>
            <w:pPr>
              <w:pStyle w:val="0"/>
              <w:jc w:val="center"/>
            </w:pPr>
            <w:r>
              <w:rPr>
                <w:sz w:val="20"/>
              </w:rPr>
              <w:t xml:space="preserve">0,13</w:t>
            </w:r>
          </w:p>
        </w:tc>
        <w:tc>
          <w:tcPr>
            <w:tcW w:w="820" w:type="dxa"/>
            <w:vAlign w:val="center"/>
          </w:tcPr>
          <w:p>
            <w:pPr>
              <w:pStyle w:val="0"/>
              <w:jc w:val="center"/>
            </w:pPr>
            <w:r>
              <w:rPr>
                <w:sz w:val="20"/>
              </w:rPr>
              <w:t xml:space="preserve">0,29</w:t>
            </w:r>
          </w:p>
        </w:tc>
      </w:tr>
      <w:tr>
        <w:tc>
          <w:tcPr>
            <w:tcW w:w="2324" w:type="dxa"/>
            <w:vAlign w:val="center"/>
          </w:tcPr>
          <w:p>
            <w:pPr>
              <w:pStyle w:val="0"/>
              <w:jc w:val="both"/>
            </w:pPr>
            <w:r>
              <w:rPr>
                <w:sz w:val="20"/>
              </w:rPr>
              <w:t xml:space="preserve">Объем несырьевого неэнергетического экспорта субъектов малого и среднего предпринимательства, млн. долл. США</w:t>
            </w:r>
          </w:p>
        </w:tc>
        <w:tc>
          <w:tcPr>
            <w:tcW w:w="793" w:type="dxa"/>
            <w:vAlign w:val="center"/>
          </w:tcPr>
          <w:p>
            <w:pPr>
              <w:pStyle w:val="0"/>
              <w:jc w:val="center"/>
            </w:pPr>
            <w:r>
              <w:rPr>
                <w:sz w:val="20"/>
              </w:rPr>
              <w:t xml:space="preserve">69,3</w:t>
            </w:r>
          </w:p>
        </w:tc>
        <w:tc>
          <w:tcPr>
            <w:tcW w:w="793" w:type="dxa"/>
            <w:vAlign w:val="center"/>
          </w:tcPr>
          <w:p>
            <w:pPr>
              <w:pStyle w:val="0"/>
              <w:jc w:val="center"/>
            </w:pPr>
            <w:r>
              <w:rPr>
                <w:sz w:val="20"/>
              </w:rPr>
              <w:t xml:space="preserve">59,9</w:t>
            </w:r>
          </w:p>
        </w:tc>
        <w:tc>
          <w:tcPr>
            <w:tcW w:w="793" w:type="dxa"/>
            <w:vAlign w:val="center"/>
          </w:tcPr>
          <w:p>
            <w:pPr>
              <w:pStyle w:val="0"/>
              <w:jc w:val="center"/>
            </w:pPr>
            <w:r>
              <w:rPr>
                <w:sz w:val="20"/>
              </w:rPr>
              <w:t xml:space="preserve">67,6</w:t>
            </w:r>
          </w:p>
        </w:tc>
        <w:tc>
          <w:tcPr>
            <w:tcW w:w="793" w:type="dxa"/>
            <w:vAlign w:val="center"/>
          </w:tcPr>
          <w:p>
            <w:pPr>
              <w:pStyle w:val="0"/>
              <w:jc w:val="center"/>
            </w:pPr>
            <w:r>
              <w:rPr>
                <w:sz w:val="20"/>
              </w:rPr>
              <w:t xml:space="preserve">74,5</w:t>
            </w:r>
          </w:p>
        </w:tc>
        <w:tc>
          <w:tcPr>
            <w:tcW w:w="793" w:type="dxa"/>
            <w:vAlign w:val="center"/>
          </w:tcPr>
          <w:p>
            <w:pPr>
              <w:pStyle w:val="0"/>
              <w:jc w:val="center"/>
            </w:pPr>
            <w:r>
              <w:rPr>
                <w:sz w:val="20"/>
              </w:rPr>
              <w:t xml:space="preserve">90,4</w:t>
            </w:r>
          </w:p>
        </w:tc>
        <w:tc>
          <w:tcPr>
            <w:tcW w:w="793" w:type="dxa"/>
            <w:vAlign w:val="center"/>
          </w:tcPr>
          <w:p>
            <w:pPr>
              <w:pStyle w:val="0"/>
              <w:jc w:val="center"/>
            </w:pPr>
            <w:r>
              <w:rPr>
                <w:sz w:val="20"/>
              </w:rPr>
              <w:t xml:space="preserve">94,5</w:t>
            </w:r>
          </w:p>
        </w:tc>
        <w:tc>
          <w:tcPr>
            <w:tcW w:w="793" w:type="dxa"/>
            <w:vAlign w:val="center"/>
          </w:tcPr>
          <w:p>
            <w:pPr>
              <w:pStyle w:val="0"/>
              <w:jc w:val="center"/>
            </w:pPr>
            <w:r>
              <w:rPr>
                <w:sz w:val="20"/>
              </w:rPr>
              <w:t xml:space="preserve">146,9</w:t>
            </w:r>
          </w:p>
        </w:tc>
        <w:tc>
          <w:tcPr>
            <w:tcW w:w="793" w:type="dxa"/>
            <w:vAlign w:val="center"/>
          </w:tcPr>
          <w:p>
            <w:pPr>
              <w:pStyle w:val="0"/>
              <w:jc w:val="center"/>
            </w:pPr>
            <w:r>
              <w:rPr>
                <w:sz w:val="20"/>
              </w:rPr>
              <w:t xml:space="preserve">135,4</w:t>
            </w:r>
          </w:p>
        </w:tc>
        <w:tc>
          <w:tcPr>
            <w:tcW w:w="820" w:type="dxa"/>
            <w:vAlign w:val="center"/>
          </w:tcPr>
          <w:p>
            <w:pPr>
              <w:pStyle w:val="0"/>
              <w:jc w:val="center"/>
            </w:pPr>
            <w:r>
              <w:rPr>
                <w:sz w:val="20"/>
              </w:rPr>
              <w:t xml:space="preserve">141,0</w:t>
            </w:r>
          </w:p>
        </w:tc>
      </w:tr>
      <w:tr>
        <w:tc>
          <w:tcPr>
            <w:tcW w:w="2324" w:type="dxa"/>
            <w:vAlign w:val="center"/>
          </w:tcPr>
          <w:p>
            <w:pPr>
              <w:pStyle w:val="0"/>
              <w:jc w:val="both"/>
            </w:pPr>
            <w:r>
              <w:rPr>
                <w:sz w:val="20"/>
              </w:rPr>
              <w:t xml:space="preserve">Доля экспорта субъектов малого и среднего предпринимательства в общем объеме несырьевого неэнергетического экспорта, %</w:t>
            </w:r>
          </w:p>
        </w:tc>
        <w:tc>
          <w:tcPr>
            <w:tcW w:w="793" w:type="dxa"/>
            <w:vAlign w:val="center"/>
          </w:tcPr>
          <w:p>
            <w:pPr>
              <w:pStyle w:val="0"/>
              <w:jc w:val="center"/>
            </w:pPr>
            <w:r>
              <w:rPr>
                <w:sz w:val="20"/>
              </w:rPr>
              <w:t xml:space="preserve">20,0</w:t>
            </w:r>
          </w:p>
        </w:tc>
        <w:tc>
          <w:tcPr>
            <w:tcW w:w="793" w:type="dxa"/>
            <w:vAlign w:val="center"/>
          </w:tcPr>
          <w:p>
            <w:pPr>
              <w:pStyle w:val="0"/>
              <w:jc w:val="center"/>
            </w:pPr>
            <w:r>
              <w:rPr>
                <w:sz w:val="20"/>
              </w:rPr>
              <w:t xml:space="preserve">20,0</w:t>
            </w:r>
          </w:p>
        </w:tc>
        <w:tc>
          <w:tcPr>
            <w:tcW w:w="793" w:type="dxa"/>
            <w:vAlign w:val="center"/>
          </w:tcPr>
          <w:p>
            <w:pPr>
              <w:pStyle w:val="0"/>
              <w:jc w:val="center"/>
            </w:pPr>
            <w:r>
              <w:rPr>
                <w:sz w:val="20"/>
              </w:rPr>
              <w:t xml:space="preserve">23,0</w:t>
            </w:r>
          </w:p>
        </w:tc>
        <w:tc>
          <w:tcPr>
            <w:tcW w:w="793" w:type="dxa"/>
            <w:vAlign w:val="center"/>
          </w:tcPr>
          <w:p>
            <w:pPr>
              <w:pStyle w:val="0"/>
              <w:jc w:val="center"/>
            </w:pPr>
            <w:r>
              <w:rPr>
                <w:sz w:val="20"/>
              </w:rPr>
              <w:t xml:space="preserve">23,0</w:t>
            </w:r>
          </w:p>
        </w:tc>
        <w:tc>
          <w:tcPr>
            <w:tcW w:w="793" w:type="dxa"/>
            <w:vAlign w:val="center"/>
          </w:tcPr>
          <w:p>
            <w:pPr>
              <w:pStyle w:val="0"/>
              <w:jc w:val="center"/>
            </w:pPr>
            <w:r>
              <w:rPr>
                <w:sz w:val="20"/>
              </w:rPr>
              <w:t xml:space="preserve">27,0</w:t>
            </w:r>
          </w:p>
        </w:tc>
        <w:tc>
          <w:tcPr>
            <w:tcW w:w="793" w:type="dxa"/>
            <w:vAlign w:val="center"/>
          </w:tcPr>
          <w:p>
            <w:pPr>
              <w:pStyle w:val="0"/>
              <w:jc w:val="center"/>
            </w:pPr>
            <w:r>
              <w:rPr>
                <w:sz w:val="20"/>
              </w:rPr>
              <w:t xml:space="preserve">25,0</w:t>
            </w:r>
          </w:p>
        </w:tc>
        <w:tc>
          <w:tcPr>
            <w:tcW w:w="793" w:type="dxa"/>
            <w:vAlign w:val="center"/>
          </w:tcPr>
          <w:p>
            <w:pPr>
              <w:pStyle w:val="0"/>
              <w:jc w:val="center"/>
            </w:pPr>
            <w:r>
              <w:rPr>
                <w:sz w:val="20"/>
              </w:rPr>
              <w:t xml:space="preserve">40,0</w:t>
            </w:r>
          </w:p>
        </w:tc>
        <w:tc>
          <w:tcPr>
            <w:tcW w:w="793" w:type="dxa"/>
            <w:vAlign w:val="center"/>
          </w:tcPr>
          <w:p>
            <w:pPr>
              <w:pStyle w:val="0"/>
              <w:jc w:val="center"/>
            </w:pPr>
            <w:r>
              <w:rPr>
                <w:sz w:val="20"/>
              </w:rPr>
              <w:t xml:space="preserve">31,0</w:t>
            </w:r>
          </w:p>
        </w:tc>
        <w:tc>
          <w:tcPr>
            <w:tcW w:w="820" w:type="dxa"/>
            <w:vAlign w:val="center"/>
          </w:tcPr>
          <w:p>
            <w:pPr>
              <w:pStyle w:val="0"/>
              <w:jc w:val="center"/>
            </w:pPr>
            <w:r>
              <w:rPr>
                <w:sz w:val="20"/>
              </w:rPr>
              <w:t xml:space="preserve">25,4</w:t>
            </w:r>
          </w:p>
        </w:tc>
      </w:tr>
    </w:tbl>
    <w:p>
      <w:pPr>
        <w:pStyle w:val="0"/>
        <w:ind w:firstLine="540"/>
        <w:jc w:val="both"/>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расчет АО "Альянс Консалтинг", Аналитический центр группы АО "Российский экспортный центр", 2021 год".</w:t>
      </w:r>
    </w:p>
    <w:p>
      <w:pPr>
        <w:pStyle w:val="0"/>
        <w:ind w:firstLine="540"/>
        <w:jc w:val="both"/>
      </w:pPr>
      <w:r>
        <w:rPr>
          <w:sz w:val="20"/>
        </w:rPr>
      </w:r>
    </w:p>
    <w:p>
      <w:pPr>
        <w:pStyle w:val="0"/>
        <w:ind w:firstLine="540"/>
        <w:jc w:val="both"/>
      </w:pPr>
      <w:r>
        <w:rPr>
          <w:sz w:val="20"/>
        </w:rPr>
        <w:t xml:space="preserve">Сальдо внешней торговли Курского области в 2018 году было положительным и достигло уровня 161,1 млн. долларов США. После 2015 года, когда импорт региона превышал экспорт на 85,6 млн. долларов США, два года наблюдался ежегодный рост объема чистого экспорта на фоне продолжающегося расширения внешнеторгового оборота. Однако, по итогам 2018 года сальдо внешней торговли Курской области сократилось на 4,8% по сравнению с уровнем 2017 года.</w:t>
      </w:r>
    </w:p>
    <w:p>
      <w:pPr>
        <w:pStyle w:val="0"/>
        <w:spacing w:before="200" w:line-rule="auto"/>
        <w:ind w:firstLine="540"/>
        <w:jc w:val="both"/>
      </w:pPr>
      <w:r>
        <w:rPr>
          <w:sz w:val="20"/>
        </w:rPr>
        <w:t xml:space="preserve">По размеру экспорта Курская область занимает 52-е место среди всех субъектов Российской Федерации и 11-е место среди регионов Центрального федерального округа (рисунок 1). За последние 5 лет рейтинг региона как в стране, так в федеральном округе существенно не изменился - наивысшим местом в Российской Федерации было 49-е (2013 год, 2016 год), самым низким - 53-е (2015 год), что свидетельствует о синхронности развития экспорта Курской области и федеральных трендов.</w:t>
      </w:r>
    </w:p>
    <w:p>
      <w:pPr>
        <w:pStyle w:val="0"/>
        <w:ind w:firstLine="540"/>
        <w:jc w:val="both"/>
      </w:pPr>
      <w:r>
        <w:rPr>
          <w:sz w:val="20"/>
        </w:rPr>
      </w:r>
    </w:p>
    <w:p>
      <w:pPr>
        <w:pStyle w:val="0"/>
        <w:jc w:val="center"/>
      </w:pPr>
      <w:r>
        <w:rPr>
          <w:position w:val="-200"/>
        </w:rPr>
        <w:drawing>
          <wp:inline distT="0" distB="0" distL="0" distR="0">
            <wp:extent cx="4681855" cy="267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4681855" cy="2676525"/>
                    </a:xfrm>
                    <a:prstGeom prst="rect">
                      <a:avLst/>
                    </a:prstGeom>
                    <a:noFill/>
                    <a:ln>
                      <a:noFill/>
                    </a:ln>
                  </pic:spPr>
                </pic:pic>
              </a:graphicData>
            </a:graphic>
          </wp:inline>
        </w:drawing>
      </w:r>
    </w:p>
    <w:p>
      <w:pPr>
        <w:pStyle w:val="0"/>
        <w:ind w:firstLine="540"/>
        <w:jc w:val="both"/>
      </w:pPr>
      <w:r>
        <w:rPr>
          <w:sz w:val="20"/>
        </w:rPr>
      </w:r>
    </w:p>
    <w:p>
      <w:pPr>
        <w:pStyle w:val="2"/>
        <w:outlineLvl w:val="5"/>
        <w:jc w:val="center"/>
      </w:pPr>
      <w:r>
        <w:rPr>
          <w:sz w:val="20"/>
        </w:rPr>
        <w:t xml:space="preserve">Рисунок 1. Рейтинг регионов ЦФО по объему экспорта</w:t>
      </w:r>
    </w:p>
    <w:p>
      <w:pPr>
        <w:pStyle w:val="0"/>
        <w:jc w:val="center"/>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w:t>
      </w:r>
    </w:p>
    <w:p>
      <w:pPr>
        <w:pStyle w:val="0"/>
        <w:ind w:firstLine="540"/>
        <w:jc w:val="both"/>
      </w:pPr>
      <w:r>
        <w:rPr>
          <w:sz w:val="20"/>
        </w:rPr>
      </w:r>
    </w:p>
    <w:p>
      <w:pPr>
        <w:pStyle w:val="0"/>
        <w:ind w:firstLine="540"/>
        <w:jc w:val="both"/>
      </w:pPr>
      <w:r>
        <w:rPr>
          <w:sz w:val="20"/>
        </w:rPr>
        <w:t xml:space="preserve">Доля региона в экспорте ЦФО составляет 0,3%, без учета Москвы - 2,4%. Данный показатель рос в 2015 - 2017 гг., при этом Курская область занимала лидирующие позиции в федеральном округе по темпам роста объема экспорта - в 2016 году область была на 3-м месте, в 2017 году - на 5-м месте среди регионов ЦФО. Однако в 2018 году рост прекратился, доля региона в объеме экспорта ЦФО снизилась до 0,3%, а по темпам роста Курская область уступала большинству регионов ЦФО.</w:t>
      </w:r>
    </w:p>
    <w:p>
      <w:pPr>
        <w:pStyle w:val="0"/>
        <w:ind w:firstLine="540"/>
        <w:jc w:val="both"/>
      </w:pPr>
      <w:r>
        <w:rPr>
          <w:sz w:val="20"/>
        </w:rPr>
      </w:r>
    </w:p>
    <w:p>
      <w:pPr>
        <w:pStyle w:val="0"/>
        <w:outlineLvl w:val="5"/>
        <w:jc w:val="right"/>
      </w:pPr>
      <w:r>
        <w:rPr>
          <w:sz w:val="20"/>
        </w:rPr>
        <w:t xml:space="preserve">Таблица N 2</w:t>
      </w:r>
    </w:p>
    <w:p>
      <w:pPr>
        <w:pStyle w:val="0"/>
        <w:jc w:val="center"/>
      </w:pPr>
      <w:r>
        <w:rPr>
          <w:sz w:val="20"/>
        </w:rPr>
      </w:r>
    </w:p>
    <w:p>
      <w:pPr>
        <w:pStyle w:val="2"/>
        <w:jc w:val="center"/>
      </w:pPr>
      <w:r>
        <w:rPr>
          <w:sz w:val="20"/>
        </w:rPr>
        <w:t xml:space="preserve">Доля Курской области в объеме экспорта ЦФО</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1077"/>
        <w:gridCol w:w="1077"/>
        <w:gridCol w:w="1077"/>
        <w:gridCol w:w="1077"/>
        <w:gridCol w:w="1077"/>
        <w:gridCol w:w="1077"/>
      </w:tblGrid>
      <w:tr>
        <w:tc>
          <w:tcPr>
            <w:tcW w:w="2608" w:type="dxa"/>
            <w:vAlign w:val="center"/>
          </w:tcPr>
          <w:p>
            <w:pPr>
              <w:pStyle w:val="0"/>
              <w:jc w:val="center"/>
            </w:pPr>
            <w:r>
              <w:rPr>
                <w:sz w:val="20"/>
              </w:rPr>
              <w:t xml:space="preserve">Показатель</w:t>
            </w:r>
          </w:p>
        </w:tc>
        <w:tc>
          <w:tcPr>
            <w:tcW w:w="1077" w:type="dxa"/>
            <w:vAlign w:val="center"/>
          </w:tcPr>
          <w:p>
            <w:pPr>
              <w:pStyle w:val="0"/>
              <w:jc w:val="center"/>
            </w:pPr>
            <w:r>
              <w:rPr>
                <w:sz w:val="20"/>
              </w:rPr>
              <w:t xml:space="preserve">2013 г.</w:t>
            </w:r>
          </w:p>
        </w:tc>
        <w:tc>
          <w:tcPr>
            <w:tcW w:w="1077" w:type="dxa"/>
            <w:vAlign w:val="center"/>
          </w:tcPr>
          <w:p>
            <w:pPr>
              <w:pStyle w:val="0"/>
              <w:jc w:val="center"/>
            </w:pPr>
            <w:r>
              <w:rPr>
                <w:sz w:val="20"/>
              </w:rPr>
              <w:t xml:space="preserve">2014 г.</w:t>
            </w:r>
          </w:p>
        </w:tc>
        <w:tc>
          <w:tcPr>
            <w:tcW w:w="1077" w:type="dxa"/>
            <w:vAlign w:val="center"/>
          </w:tcPr>
          <w:p>
            <w:pPr>
              <w:pStyle w:val="0"/>
              <w:jc w:val="center"/>
            </w:pPr>
            <w:r>
              <w:rPr>
                <w:sz w:val="20"/>
              </w:rPr>
              <w:t xml:space="preserve">2015 г.</w:t>
            </w:r>
          </w:p>
        </w:tc>
        <w:tc>
          <w:tcPr>
            <w:tcW w:w="1077" w:type="dxa"/>
            <w:vAlign w:val="center"/>
          </w:tcPr>
          <w:p>
            <w:pPr>
              <w:pStyle w:val="0"/>
              <w:jc w:val="center"/>
            </w:pPr>
            <w:r>
              <w:rPr>
                <w:sz w:val="20"/>
              </w:rPr>
              <w:t xml:space="preserve">2016 г.</w:t>
            </w:r>
          </w:p>
        </w:tc>
        <w:tc>
          <w:tcPr>
            <w:tcW w:w="1077" w:type="dxa"/>
            <w:vAlign w:val="center"/>
          </w:tcPr>
          <w:p>
            <w:pPr>
              <w:pStyle w:val="0"/>
              <w:jc w:val="center"/>
            </w:pPr>
            <w:r>
              <w:rPr>
                <w:sz w:val="20"/>
              </w:rPr>
              <w:t xml:space="preserve">2017 г.</w:t>
            </w:r>
          </w:p>
        </w:tc>
        <w:tc>
          <w:tcPr>
            <w:tcW w:w="1077" w:type="dxa"/>
            <w:vAlign w:val="center"/>
          </w:tcPr>
          <w:p>
            <w:pPr>
              <w:pStyle w:val="0"/>
              <w:jc w:val="center"/>
            </w:pPr>
            <w:r>
              <w:rPr>
                <w:sz w:val="20"/>
              </w:rPr>
              <w:t xml:space="preserve">2018 г.</w:t>
            </w:r>
          </w:p>
        </w:tc>
      </w:tr>
      <w:tr>
        <w:tc>
          <w:tcPr>
            <w:tcW w:w="2608" w:type="dxa"/>
          </w:tcPr>
          <w:p>
            <w:pPr>
              <w:pStyle w:val="0"/>
            </w:pPr>
            <w:r>
              <w:rPr>
                <w:sz w:val="20"/>
              </w:rPr>
              <w:t xml:space="preserve">Экспорт Курской области, млн. долл. США</w:t>
            </w:r>
          </w:p>
        </w:tc>
        <w:tc>
          <w:tcPr>
            <w:tcW w:w="1077" w:type="dxa"/>
          </w:tcPr>
          <w:p>
            <w:pPr>
              <w:pStyle w:val="0"/>
              <w:jc w:val="center"/>
            </w:pPr>
            <w:r>
              <w:rPr>
                <w:sz w:val="20"/>
              </w:rPr>
              <w:t xml:space="preserve">696,0</w:t>
            </w:r>
          </w:p>
        </w:tc>
        <w:tc>
          <w:tcPr>
            <w:tcW w:w="1077" w:type="dxa"/>
          </w:tcPr>
          <w:p>
            <w:pPr>
              <w:pStyle w:val="0"/>
              <w:jc w:val="center"/>
            </w:pPr>
            <w:r>
              <w:rPr>
                <w:sz w:val="20"/>
              </w:rPr>
              <w:t xml:space="preserve">577,3</w:t>
            </w:r>
          </w:p>
        </w:tc>
        <w:tc>
          <w:tcPr>
            <w:tcW w:w="1077" w:type="dxa"/>
          </w:tcPr>
          <w:p>
            <w:pPr>
              <w:pStyle w:val="0"/>
              <w:jc w:val="center"/>
            </w:pPr>
            <w:r>
              <w:rPr>
                <w:sz w:val="20"/>
              </w:rPr>
              <w:t xml:space="preserve">396,4</w:t>
            </w:r>
          </w:p>
        </w:tc>
        <w:tc>
          <w:tcPr>
            <w:tcW w:w="1077" w:type="dxa"/>
          </w:tcPr>
          <w:p>
            <w:pPr>
              <w:pStyle w:val="0"/>
              <w:jc w:val="center"/>
            </w:pPr>
            <w:r>
              <w:rPr>
                <w:sz w:val="20"/>
              </w:rPr>
              <w:t xml:space="preserve">452,9</w:t>
            </w:r>
          </w:p>
        </w:tc>
        <w:tc>
          <w:tcPr>
            <w:tcW w:w="1077" w:type="dxa"/>
          </w:tcPr>
          <w:p>
            <w:pPr>
              <w:pStyle w:val="0"/>
              <w:jc w:val="center"/>
            </w:pPr>
            <w:r>
              <w:rPr>
                <w:sz w:val="20"/>
              </w:rPr>
              <w:t xml:space="preserve">622,3</w:t>
            </w:r>
          </w:p>
        </w:tc>
        <w:tc>
          <w:tcPr>
            <w:tcW w:w="1077" w:type="dxa"/>
          </w:tcPr>
          <w:p>
            <w:pPr>
              <w:pStyle w:val="0"/>
              <w:jc w:val="center"/>
            </w:pPr>
            <w:r>
              <w:rPr>
                <w:sz w:val="20"/>
              </w:rPr>
              <w:t xml:space="preserve">683,5</w:t>
            </w:r>
          </w:p>
        </w:tc>
      </w:tr>
      <w:tr>
        <w:tc>
          <w:tcPr>
            <w:tcW w:w="2608" w:type="dxa"/>
          </w:tcPr>
          <w:p>
            <w:pPr>
              <w:pStyle w:val="0"/>
            </w:pPr>
            <w:r>
              <w:rPr>
                <w:sz w:val="20"/>
              </w:rPr>
              <w:t xml:space="preserve">Экспорт ЦФО, млн. долл. США</w:t>
            </w:r>
          </w:p>
        </w:tc>
        <w:tc>
          <w:tcPr>
            <w:tcW w:w="1077" w:type="dxa"/>
          </w:tcPr>
          <w:p>
            <w:pPr>
              <w:pStyle w:val="0"/>
              <w:jc w:val="center"/>
            </w:pPr>
            <w:r>
              <w:rPr>
                <w:sz w:val="20"/>
              </w:rPr>
              <w:t xml:space="preserve">256823,1</w:t>
            </w:r>
          </w:p>
        </w:tc>
        <w:tc>
          <w:tcPr>
            <w:tcW w:w="1077" w:type="dxa"/>
          </w:tcPr>
          <w:p>
            <w:pPr>
              <w:pStyle w:val="0"/>
              <w:jc w:val="center"/>
            </w:pPr>
            <w:r>
              <w:rPr>
                <w:sz w:val="20"/>
              </w:rPr>
              <w:t xml:space="preserve">255585,2</w:t>
            </w:r>
          </w:p>
        </w:tc>
        <w:tc>
          <w:tcPr>
            <w:tcW w:w="1077" w:type="dxa"/>
          </w:tcPr>
          <w:p>
            <w:pPr>
              <w:pStyle w:val="0"/>
              <w:jc w:val="center"/>
            </w:pPr>
            <w:r>
              <w:rPr>
                <w:sz w:val="20"/>
              </w:rPr>
              <w:t xml:space="preserve">169497,3</w:t>
            </w:r>
          </w:p>
        </w:tc>
        <w:tc>
          <w:tcPr>
            <w:tcW w:w="1077" w:type="dxa"/>
          </w:tcPr>
          <w:p>
            <w:pPr>
              <w:pStyle w:val="0"/>
              <w:jc w:val="center"/>
            </w:pPr>
            <w:r>
              <w:rPr>
                <w:sz w:val="20"/>
              </w:rPr>
              <w:t xml:space="preserve">137730,6</w:t>
            </w:r>
          </w:p>
        </w:tc>
        <w:tc>
          <w:tcPr>
            <w:tcW w:w="1077" w:type="dxa"/>
          </w:tcPr>
          <w:p>
            <w:pPr>
              <w:pStyle w:val="0"/>
              <w:jc w:val="center"/>
            </w:pPr>
            <w:r>
              <w:rPr>
                <w:sz w:val="20"/>
              </w:rPr>
              <w:t xml:space="preserve">175043,0</w:t>
            </w:r>
          </w:p>
        </w:tc>
        <w:tc>
          <w:tcPr>
            <w:tcW w:w="1077" w:type="dxa"/>
          </w:tcPr>
          <w:p>
            <w:pPr>
              <w:pStyle w:val="0"/>
              <w:jc w:val="center"/>
            </w:pPr>
            <w:r>
              <w:rPr>
                <w:sz w:val="20"/>
              </w:rPr>
              <w:t xml:space="preserve">225779,5</w:t>
            </w:r>
          </w:p>
        </w:tc>
      </w:tr>
      <w:tr>
        <w:tc>
          <w:tcPr>
            <w:tcW w:w="2608" w:type="dxa"/>
          </w:tcPr>
          <w:p>
            <w:pPr>
              <w:pStyle w:val="0"/>
            </w:pPr>
            <w:r>
              <w:rPr>
                <w:sz w:val="20"/>
              </w:rPr>
              <w:t xml:space="preserve">Экспорт ЦФО (без Москвы), млн. долл. США</w:t>
            </w:r>
          </w:p>
        </w:tc>
        <w:tc>
          <w:tcPr>
            <w:tcW w:w="1077" w:type="dxa"/>
          </w:tcPr>
          <w:p>
            <w:pPr>
              <w:pStyle w:val="0"/>
              <w:jc w:val="center"/>
            </w:pPr>
            <w:r>
              <w:rPr>
                <w:sz w:val="20"/>
              </w:rPr>
              <w:t xml:space="preserve">28569,6</w:t>
            </w:r>
          </w:p>
        </w:tc>
        <w:tc>
          <w:tcPr>
            <w:tcW w:w="1077" w:type="dxa"/>
          </w:tcPr>
          <w:p>
            <w:pPr>
              <w:pStyle w:val="0"/>
              <w:jc w:val="center"/>
            </w:pPr>
            <w:r>
              <w:rPr>
                <w:sz w:val="20"/>
              </w:rPr>
              <w:t xml:space="preserve">25715,3</w:t>
            </w:r>
          </w:p>
        </w:tc>
        <w:tc>
          <w:tcPr>
            <w:tcW w:w="1077" w:type="dxa"/>
          </w:tcPr>
          <w:p>
            <w:pPr>
              <w:pStyle w:val="0"/>
              <w:jc w:val="center"/>
            </w:pPr>
            <w:r>
              <w:rPr>
                <w:sz w:val="20"/>
              </w:rPr>
              <w:t xml:space="preserve">20388,8</w:t>
            </w:r>
          </w:p>
        </w:tc>
        <w:tc>
          <w:tcPr>
            <w:tcW w:w="1077" w:type="dxa"/>
          </w:tcPr>
          <w:p>
            <w:pPr>
              <w:pStyle w:val="0"/>
              <w:jc w:val="center"/>
            </w:pPr>
            <w:r>
              <w:rPr>
                <w:sz w:val="20"/>
              </w:rPr>
              <w:t xml:space="preserve">19340,1</w:t>
            </w:r>
          </w:p>
        </w:tc>
        <w:tc>
          <w:tcPr>
            <w:tcW w:w="1077" w:type="dxa"/>
          </w:tcPr>
          <w:p>
            <w:pPr>
              <w:pStyle w:val="0"/>
              <w:jc w:val="center"/>
            </w:pPr>
            <w:r>
              <w:rPr>
                <w:sz w:val="20"/>
              </w:rPr>
              <w:t xml:space="preserve">25803,5</w:t>
            </w:r>
          </w:p>
        </w:tc>
        <w:tc>
          <w:tcPr>
            <w:tcW w:w="1077" w:type="dxa"/>
          </w:tcPr>
          <w:p>
            <w:pPr>
              <w:pStyle w:val="0"/>
              <w:jc w:val="center"/>
            </w:pPr>
            <w:r>
              <w:rPr>
                <w:sz w:val="20"/>
              </w:rPr>
              <w:t xml:space="preserve">28659,0</w:t>
            </w:r>
          </w:p>
        </w:tc>
      </w:tr>
      <w:tr>
        <w:tc>
          <w:tcPr>
            <w:tcW w:w="2608" w:type="dxa"/>
          </w:tcPr>
          <w:p>
            <w:pPr>
              <w:pStyle w:val="0"/>
            </w:pPr>
            <w:r>
              <w:rPr>
                <w:sz w:val="20"/>
              </w:rPr>
              <w:t xml:space="preserve">Рейтинг в ЦФО по объему экспорта</w:t>
            </w:r>
          </w:p>
        </w:tc>
        <w:tc>
          <w:tcPr>
            <w:tcW w:w="1077" w:type="dxa"/>
          </w:tcPr>
          <w:p>
            <w:pPr>
              <w:pStyle w:val="0"/>
              <w:jc w:val="center"/>
            </w:pPr>
            <w:r>
              <w:rPr>
                <w:sz w:val="20"/>
              </w:rPr>
              <w:t xml:space="preserve">11</w:t>
            </w:r>
          </w:p>
        </w:tc>
        <w:tc>
          <w:tcPr>
            <w:tcW w:w="1077" w:type="dxa"/>
          </w:tcPr>
          <w:p>
            <w:pPr>
              <w:pStyle w:val="0"/>
              <w:jc w:val="center"/>
            </w:pPr>
            <w:r>
              <w:rPr>
                <w:sz w:val="20"/>
              </w:rPr>
              <w:t xml:space="preserve">11</w:t>
            </w:r>
          </w:p>
        </w:tc>
        <w:tc>
          <w:tcPr>
            <w:tcW w:w="1077" w:type="dxa"/>
          </w:tcPr>
          <w:p>
            <w:pPr>
              <w:pStyle w:val="0"/>
              <w:jc w:val="center"/>
            </w:pPr>
            <w:r>
              <w:rPr>
                <w:sz w:val="20"/>
              </w:rPr>
              <w:t xml:space="preserve">11</w:t>
            </w:r>
          </w:p>
        </w:tc>
        <w:tc>
          <w:tcPr>
            <w:tcW w:w="1077" w:type="dxa"/>
          </w:tcPr>
          <w:p>
            <w:pPr>
              <w:pStyle w:val="0"/>
              <w:jc w:val="center"/>
            </w:pPr>
            <w:r>
              <w:rPr>
                <w:sz w:val="20"/>
              </w:rPr>
              <w:t xml:space="preserve">11</w:t>
            </w:r>
          </w:p>
        </w:tc>
        <w:tc>
          <w:tcPr>
            <w:tcW w:w="1077" w:type="dxa"/>
          </w:tcPr>
          <w:p>
            <w:pPr>
              <w:pStyle w:val="0"/>
              <w:jc w:val="center"/>
            </w:pPr>
            <w:r>
              <w:rPr>
                <w:sz w:val="20"/>
              </w:rPr>
              <w:t xml:space="preserve">12</w:t>
            </w:r>
          </w:p>
        </w:tc>
        <w:tc>
          <w:tcPr>
            <w:tcW w:w="1077" w:type="dxa"/>
          </w:tcPr>
          <w:p>
            <w:pPr>
              <w:pStyle w:val="0"/>
              <w:jc w:val="center"/>
            </w:pPr>
            <w:r>
              <w:rPr>
                <w:sz w:val="20"/>
              </w:rPr>
              <w:t xml:space="preserve">11</w:t>
            </w:r>
          </w:p>
        </w:tc>
      </w:tr>
      <w:tr>
        <w:tc>
          <w:tcPr>
            <w:tcW w:w="2608" w:type="dxa"/>
          </w:tcPr>
          <w:p>
            <w:pPr>
              <w:pStyle w:val="0"/>
            </w:pPr>
            <w:r>
              <w:rPr>
                <w:sz w:val="20"/>
              </w:rPr>
              <w:t xml:space="preserve">Доля региона в экспорте ЦФО</w:t>
            </w:r>
          </w:p>
        </w:tc>
        <w:tc>
          <w:tcPr>
            <w:tcW w:w="1077" w:type="dxa"/>
          </w:tcPr>
          <w:p>
            <w:pPr>
              <w:pStyle w:val="0"/>
              <w:jc w:val="center"/>
            </w:pPr>
            <w:r>
              <w:rPr>
                <w:sz w:val="20"/>
              </w:rPr>
              <w:t xml:space="preserve">0,3%</w:t>
            </w:r>
          </w:p>
        </w:tc>
        <w:tc>
          <w:tcPr>
            <w:tcW w:w="1077" w:type="dxa"/>
          </w:tcPr>
          <w:p>
            <w:pPr>
              <w:pStyle w:val="0"/>
              <w:jc w:val="center"/>
            </w:pPr>
            <w:r>
              <w:rPr>
                <w:sz w:val="20"/>
              </w:rPr>
              <w:t xml:space="preserve">0,2%</w:t>
            </w:r>
          </w:p>
        </w:tc>
        <w:tc>
          <w:tcPr>
            <w:tcW w:w="1077" w:type="dxa"/>
          </w:tcPr>
          <w:p>
            <w:pPr>
              <w:pStyle w:val="0"/>
              <w:jc w:val="center"/>
            </w:pPr>
            <w:r>
              <w:rPr>
                <w:sz w:val="20"/>
              </w:rPr>
              <w:t xml:space="preserve">0,2%</w:t>
            </w:r>
          </w:p>
        </w:tc>
        <w:tc>
          <w:tcPr>
            <w:tcW w:w="1077" w:type="dxa"/>
          </w:tcPr>
          <w:p>
            <w:pPr>
              <w:pStyle w:val="0"/>
              <w:jc w:val="center"/>
            </w:pPr>
            <w:r>
              <w:rPr>
                <w:sz w:val="20"/>
              </w:rPr>
              <w:t xml:space="preserve">0,3%</w:t>
            </w:r>
          </w:p>
        </w:tc>
        <w:tc>
          <w:tcPr>
            <w:tcW w:w="1077" w:type="dxa"/>
          </w:tcPr>
          <w:p>
            <w:pPr>
              <w:pStyle w:val="0"/>
              <w:jc w:val="center"/>
            </w:pPr>
            <w:r>
              <w:rPr>
                <w:sz w:val="20"/>
              </w:rPr>
              <w:t xml:space="preserve">0,4%</w:t>
            </w:r>
          </w:p>
        </w:tc>
        <w:tc>
          <w:tcPr>
            <w:tcW w:w="1077" w:type="dxa"/>
          </w:tcPr>
          <w:p>
            <w:pPr>
              <w:pStyle w:val="0"/>
              <w:jc w:val="center"/>
            </w:pPr>
            <w:r>
              <w:rPr>
                <w:sz w:val="20"/>
              </w:rPr>
              <w:t xml:space="preserve">0,3%</w:t>
            </w:r>
          </w:p>
        </w:tc>
      </w:tr>
      <w:tr>
        <w:tc>
          <w:tcPr>
            <w:tcW w:w="2608" w:type="dxa"/>
          </w:tcPr>
          <w:p>
            <w:pPr>
              <w:pStyle w:val="0"/>
            </w:pPr>
            <w:r>
              <w:rPr>
                <w:sz w:val="20"/>
              </w:rPr>
              <w:t xml:space="preserve">Доля региона в экспорте ЦФО (без учета Москвы)</w:t>
            </w:r>
          </w:p>
        </w:tc>
        <w:tc>
          <w:tcPr>
            <w:tcW w:w="1077" w:type="dxa"/>
          </w:tcPr>
          <w:p>
            <w:pPr>
              <w:pStyle w:val="0"/>
              <w:jc w:val="center"/>
            </w:pPr>
            <w:r>
              <w:rPr>
                <w:sz w:val="20"/>
              </w:rPr>
              <w:t xml:space="preserve">2,4%</w:t>
            </w:r>
          </w:p>
        </w:tc>
        <w:tc>
          <w:tcPr>
            <w:tcW w:w="1077" w:type="dxa"/>
          </w:tcPr>
          <w:p>
            <w:pPr>
              <w:pStyle w:val="0"/>
              <w:jc w:val="center"/>
            </w:pPr>
            <w:r>
              <w:rPr>
                <w:sz w:val="20"/>
              </w:rPr>
              <w:t xml:space="preserve">2,2%</w:t>
            </w:r>
          </w:p>
        </w:tc>
        <w:tc>
          <w:tcPr>
            <w:tcW w:w="1077" w:type="dxa"/>
          </w:tcPr>
          <w:p>
            <w:pPr>
              <w:pStyle w:val="0"/>
              <w:jc w:val="center"/>
            </w:pPr>
            <w:r>
              <w:rPr>
                <w:sz w:val="20"/>
              </w:rPr>
              <w:t xml:space="preserve">1,9%</w:t>
            </w:r>
          </w:p>
        </w:tc>
        <w:tc>
          <w:tcPr>
            <w:tcW w:w="1077" w:type="dxa"/>
          </w:tcPr>
          <w:p>
            <w:pPr>
              <w:pStyle w:val="0"/>
              <w:jc w:val="center"/>
            </w:pPr>
            <w:r>
              <w:rPr>
                <w:sz w:val="20"/>
              </w:rPr>
              <w:t xml:space="preserve">2,3%</w:t>
            </w:r>
          </w:p>
        </w:tc>
        <w:tc>
          <w:tcPr>
            <w:tcW w:w="1077" w:type="dxa"/>
          </w:tcPr>
          <w:p>
            <w:pPr>
              <w:pStyle w:val="0"/>
              <w:jc w:val="center"/>
            </w:pPr>
            <w:r>
              <w:rPr>
                <w:sz w:val="20"/>
              </w:rPr>
              <w:t xml:space="preserve">2,4%</w:t>
            </w:r>
          </w:p>
        </w:tc>
        <w:tc>
          <w:tcPr>
            <w:tcW w:w="1077" w:type="dxa"/>
          </w:tcPr>
          <w:p>
            <w:pPr>
              <w:pStyle w:val="0"/>
              <w:jc w:val="center"/>
            </w:pPr>
            <w:r>
              <w:rPr>
                <w:sz w:val="20"/>
              </w:rPr>
              <w:t xml:space="preserve">2,4%</w:t>
            </w:r>
          </w:p>
        </w:tc>
      </w:tr>
    </w:tbl>
    <w:p>
      <w:pPr>
        <w:pStyle w:val="0"/>
        <w:jc w:val="both"/>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расчет АО "Альянс Консалтинг".</w:t>
      </w:r>
    </w:p>
    <w:p>
      <w:pPr>
        <w:pStyle w:val="0"/>
        <w:ind w:firstLine="540"/>
        <w:jc w:val="both"/>
      </w:pPr>
      <w:r>
        <w:rPr>
          <w:sz w:val="20"/>
        </w:rPr>
      </w:r>
    </w:p>
    <w:p>
      <w:pPr>
        <w:pStyle w:val="0"/>
        <w:ind w:firstLine="540"/>
        <w:jc w:val="both"/>
      </w:pPr>
      <w:r>
        <w:rPr>
          <w:sz w:val="20"/>
        </w:rPr>
        <w:t xml:space="preserve">Курская область занимает 10-е место в ЦФО по объему экспорта на душу населения - в 2018 году на одного жителя региона приходилось 615 долл. США экспортных поступлений. По данному показателю регион опережает Владимирскую, Костромскую, Рязанскую, Орловскую, Брянскую, Тверскую, Ивановскую и Тамбовскую области. При этом средний размер экспорта на душу населения в ЦФО (без учета Москвы) составляет 1070 долл. США.</w:t>
      </w:r>
    </w:p>
    <w:p>
      <w:pPr>
        <w:pStyle w:val="0"/>
        <w:ind w:firstLine="540"/>
        <w:jc w:val="both"/>
      </w:pPr>
      <w:r>
        <w:rPr>
          <w:sz w:val="20"/>
        </w:rPr>
      </w:r>
    </w:p>
    <w:p>
      <w:pPr>
        <w:pStyle w:val="0"/>
        <w:outlineLvl w:val="5"/>
        <w:jc w:val="right"/>
      </w:pPr>
      <w:r>
        <w:rPr>
          <w:sz w:val="20"/>
        </w:rPr>
        <w:t xml:space="preserve">Таблица N 3</w:t>
      </w:r>
    </w:p>
    <w:p>
      <w:pPr>
        <w:pStyle w:val="0"/>
        <w:jc w:val="center"/>
      </w:pPr>
      <w:r>
        <w:rPr>
          <w:sz w:val="20"/>
        </w:rPr>
      </w:r>
    </w:p>
    <w:p>
      <w:pPr>
        <w:pStyle w:val="2"/>
        <w:jc w:val="center"/>
      </w:pPr>
      <w:r>
        <w:rPr>
          <w:sz w:val="20"/>
        </w:rPr>
        <w:t xml:space="preserve">Объем экспорта на душу населения регионов ЦФО,</w:t>
      </w:r>
    </w:p>
    <w:p>
      <w:pPr>
        <w:pStyle w:val="2"/>
        <w:jc w:val="center"/>
      </w:pPr>
      <w:r>
        <w:rPr>
          <w:sz w:val="20"/>
        </w:rPr>
        <w:t xml:space="preserve">долл. США на чел.</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47"/>
        <w:gridCol w:w="1302"/>
        <w:gridCol w:w="1303"/>
        <w:gridCol w:w="1303"/>
        <w:gridCol w:w="1303"/>
        <w:gridCol w:w="1303"/>
      </w:tblGrid>
      <w:tr>
        <w:tc>
          <w:tcPr>
            <w:tcW w:w="2547" w:type="dxa"/>
            <w:vAlign w:val="center"/>
          </w:tcPr>
          <w:p>
            <w:pPr>
              <w:pStyle w:val="0"/>
              <w:jc w:val="center"/>
            </w:pPr>
            <w:r>
              <w:rPr>
                <w:sz w:val="20"/>
              </w:rPr>
              <w:t xml:space="preserve">Субъект РФ</w:t>
            </w:r>
          </w:p>
        </w:tc>
        <w:tc>
          <w:tcPr>
            <w:tcW w:w="1302" w:type="dxa"/>
            <w:vAlign w:val="center"/>
          </w:tcPr>
          <w:p>
            <w:pPr>
              <w:pStyle w:val="0"/>
              <w:jc w:val="center"/>
            </w:pPr>
            <w:r>
              <w:rPr>
                <w:sz w:val="20"/>
              </w:rPr>
              <w:t xml:space="preserve">2014 г.</w:t>
            </w:r>
          </w:p>
        </w:tc>
        <w:tc>
          <w:tcPr>
            <w:tcW w:w="1303" w:type="dxa"/>
            <w:vAlign w:val="center"/>
          </w:tcPr>
          <w:p>
            <w:pPr>
              <w:pStyle w:val="0"/>
              <w:jc w:val="center"/>
            </w:pPr>
            <w:r>
              <w:rPr>
                <w:sz w:val="20"/>
              </w:rPr>
              <w:t xml:space="preserve">2015 г.</w:t>
            </w:r>
          </w:p>
        </w:tc>
        <w:tc>
          <w:tcPr>
            <w:tcW w:w="1303" w:type="dxa"/>
            <w:vAlign w:val="center"/>
          </w:tcPr>
          <w:p>
            <w:pPr>
              <w:pStyle w:val="0"/>
              <w:jc w:val="center"/>
            </w:pPr>
            <w:r>
              <w:rPr>
                <w:sz w:val="20"/>
              </w:rPr>
              <w:t xml:space="preserve">2016 г.</w:t>
            </w:r>
          </w:p>
        </w:tc>
        <w:tc>
          <w:tcPr>
            <w:tcW w:w="1303" w:type="dxa"/>
            <w:vAlign w:val="center"/>
          </w:tcPr>
          <w:p>
            <w:pPr>
              <w:pStyle w:val="0"/>
              <w:jc w:val="center"/>
            </w:pPr>
            <w:r>
              <w:rPr>
                <w:sz w:val="20"/>
              </w:rPr>
              <w:t xml:space="preserve">2017 г.</w:t>
            </w:r>
          </w:p>
        </w:tc>
        <w:tc>
          <w:tcPr>
            <w:tcW w:w="1303" w:type="dxa"/>
            <w:vAlign w:val="center"/>
          </w:tcPr>
          <w:p>
            <w:pPr>
              <w:pStyle w:val="0"/>
              <w:jc w:val="center"/>
            </w:pPr>
            <w:r>
              <w:rPr>
                <w:sz w:val="20"/>
              </w:rPr>
              <w:t xml:space="preserve">2018 г.</w:t>
            </w:r>
          </w:p>
        </w:tc>
      </w:tr>
      <w:tr>
        <w:tc>
          <w:tcPr>
            <w:tcW w:w="2547" w:type="dxa"/>
            <w:vAlign w:val="center"/>
          </w:tcPr>
          <w:p>
            <w:pPr>
              <w:pStyle w:val="0"/>
            </w:pPr>
            <w:r>
              <w:rPr>
                <w:sz w:val="20"/>
              </w:rPr>
              <w:t xml:space="preserve">Москва</w:t>
            </w:r>
          </w:p>
        </w:tc>
        <w:tc>
          <w:tcPr>
            <w:tcW w:w="1302" w:type="dxa"/>
            <w:vAlign w:val="center"/>
          </w:tcPr>
          <w:p>
            <w:pPr>
              <w:pStyle w:val="0"/>
              <w:jc w:val="center"/>
            </w:pPr>
            <w:r>
              <w:rPr>
                <w:sz w:val="20"/>
              </w:rPr>
              <w:t xml:space="preserve">18914,8</w:t>
            </w:r>
          </w:p>
        </w:tc>
        <w:tc>
          <w:tcPr>
            <w:tcW w:w="1303" w:type="dxa"/>
            <w:vAlign w:val="center"/>
          </w:tcPr>
          <w:p>
            <w:pPr>
              <w:pStyle w:val="0"/>
              <w:jc w:val="center"/>
            </w:pPr>
            <w:r>
              <w:rPr>
                <w:sz w:val="20"/>
              </w:rPr>
              <w:t xml:space="preserve">12158,3</w:t>
            </w:r>
          </w:p>
        </w:tc>
        <w:tc>
          <w:tcPr>
            <w:tcW w:w="1303" w:type="dxa"/>
            <w:vAlign w:val="center"/>
          </w:tcPr>
          <w:p>
            <w:pPr>
              <w:pStyle w:val="0"/>
              <w:jc w:val="center"/>
            </w:pPr>
            <w:r>
              <w:rPr>
                <w:sz w:val="20"/>
              </w:rPr>
              <w:t xml:space="preserve">9582,1</w:t>
            </w:r>
          </w:p>
        </w:tc>
        <w:tc>
          <w:tcPr>
            <w:tcW w:w="1303" w:type="dxa"/>
            <w:vAlign w:val="center"/>
          </w:tcPr>
          <w:p>
            <w:pPr>
              <w:pStyle w:val="0"/>
              <w:jc w:val="center"/>
            </w:pPr>
            <w:r>
              <w:rPr>
                <w:sz w:val="20"/>
              </w:rPr>
              <w:t xml:space="preserve">11993,3</w:t>
            </w:r>
          </w:p>
        </w:tc>
        <w:tc>
          <w:tcPr>
            <w:tcW w:w="1303" w:type="dxa"/>
            <w:vAlign w:val="center"/>
          </w:tcPr>
          <w:p>
            <w:pPr>
              <w:pStyle w:val="0"/>
              <w:jc w:val="center"/>
            </w:pPr>
            <w:r>
              <w:rPr>
                <w:sz w:val="20"/>
              </w:rPr>
              <w:t xml:space="preserve">15693,2</w:t>
            </w:r>
          </w:p>
        </w:tc>
      </w:tr>
      <w:tr>
        <w:tc>
          <w:tcPr>
            <w:tcW w:w="2547" w:type="dxa"/>
            <w:vAlign w:val="center"/>
          </w:tcPr>
          <w:p>
            <w:pPr>
              <w:pStyle w:val="0"/>
            </w:pPr>
            <w:r>
              <w:rPr>
                <w:sz w:val="20"/>
              </w:rPr>
              <w:t xml:space="preserve">Липецкая область</w:t>
            </w:r>
          </w:p>
        </w:tc>
        <w:tc>
          <w:tcPr>
            <w:tcW w:w="1302" w:type="dxa"/>
            <w:vAlign w:val="center"/>
          </w:tcPr>
          <w:p>
            <w:pPr>
              <w:pStyle w:val="0"/>
              <w:jc w:val="center"/>
            </w:pPr>
            <w:r>
              <w:rPr>
                <w:sz w:val="20"/>
              </w:rPr>
              <w:t xml:space="preserve">3781,7</w:t>
            </w:r>
          </w:p>
        </w:tc>
        <w:tc>
          <w:tcPr>
            <w:tcW w:w="1303" w:type="dxa"/>
            <w:vAlign w:val="center"/>
          </w:tcPr>
          <w:p>
            <w:pPr>
              <w:pStyle w:val="0"/>
              <w:jc w:val="center"/>
            </w:pPr>
            <w:r>
              <w:rPr>
                <w:sz w:val="20"/>
              </w:rPr>
              <w:t xml:space="preserve">2773,4</w:t>
            </w:r>
          </w:p>
        </w:tc>
        <w:tc>
          <w:tcPr>
            <w:tcW w:w="1303" w:type="dxa"/>
            <w:vAlign w:val="center"/>
          </w:tcPr>
          <w:p>
            <w:pPr>
              <w:pStyle w:val="0"/>
              <w:jc w:val="center"/>
            </w:pPr>
            <w:r>
              <w:rPr>
                <w:sz w:val="20"/>
              </w:rPr>
              <w:t xml:space="preserve">2626,3</w:t>
            </w:r>
          </w:p>
        </w:tc>
        <w:tc>
          <w:tcPr>
            <w:tcW w:w="1303" w:type="dxa"/>
            <w:vAlign w:val="center"/>
          </w:tcPr>
          <w:p>
            <w:pPr>
              <w:pStyle w:val="0"/>
              <w:jc w:val="center"/>
            </w:pPr>
            <w:r>
              <w:rPr>
                <w:sz w:val="20"/>
              </w:rPr>
              <w:t xml:space="preserve">3750,5</w:t>
            </w:r>
          </w:p>
        </w:tc>
        <w:tc>
          <w:tcPr>
            <w:tcW w:w="1303" w:type="dxa"/>
            <w:vAlign w:val="center"/>
          </w:tcPr>
          <w:p>
            <w:pPr>
              <w:pStyle w:val="0"/>
              <w:jc w:val="center"/>
            </w:pPr>
            <w:r>
              <w:rPr>
                <w:sz w:val="20"/>
              </w:rPr>
              <w:t xml:space="preserve">4821,0</w:t>
            </w:r>
          </w:p>
        </w:tc>
      </w:tr>
      <w:tr>
        <w:tc>
          <w:tcPr>
            <w:tcW w:w="2547" w:type="dxa"/>
            <w:vAlign w:val="center"/>
          </w:tcPr>
          <w:p>
            <w:pPr>
              <w:pStyle w:val="0"/>
            </w:pPr>
            <w:r>
              <w:rPr>
                <w:sz w:val="20"/>
              </w:rPr>
              <w:t xml:space="preserve">Тульская область</w:t>
            </w:r>
          </w:p>
        </w:tc>
        <w:tc>
          <w:tcPr>
            <w:tcW w:w="1302" w:type="dxa"/>
            <w:vAlign w:val="center"/>
          </w:tcPr>
          <w:p>
            <w:pPr>
              <w:pStyle w:val="0"/>
              <w:jc w:val="center"/>
            </w:pPr>
            <w:r>
              <w:rPr>
                <w:sz w:val="20"/>
              </w:rPr>
              <w:t xml:space="preserve">2461,9</w:t>
            </w:r>
          </w:p>
        </w:tc>
        <w:tc>
          <w:tcPr>
            <w:tcW w:w="1303" w:type="dxa"/>
            <w:vAlign w:val="center"/>
          </w:tcPr>
          <w:p>
            <w:pPr>
              <w:pStyle w:val="0"/>
              <w:jc w:val="center"/>
            </w:pPr>
            <w:r>
              <w:rPr>
                <w:sz w:val="20"/>
              </w:rPr>
              <w:t xml:space="preserve">1961,2</w:t>
            </w:r>
          </w:p>
        </w:tc>
        <w:tc>
          <w:tcPr>
            <w:tcW w:w="1303" w:type="dxa"/>
            <w:vAlign w:val="center"/>
          </w:tcPr>
          <w:p>
            <w:pPr>
              <w:pStyle w:val="0"/>
              <w:jc w:val="center"/>
            </w:pPr>
            <w:r>
              <w:rPr>
                <w:sz w:val="20"/>
              </w:rPr>
              <w:t xml:space="preserve">1903,9</w:t>
            </w:r>
          </w:p>
        </w:tc>
        <w:tc>
          <w:tcPr>
            <w:tcW w:w="1303" w:type="dxa"/>
            <w:vAlign w:val="center"/>
          </w:tcPr>
          <w:p>
            <w:pPr>
              <w:pStyle w:val="0"/>
              <w:jc w:val="center"/>
            </w:pPr>
            <w:r>
              <w:rPr>
                <w:sz w:val="20"/>
              </w:rPr>
              <w:t xml:space="preserve">2520,6</w:t>
            </w:r>
          </w:p>
        </w:tc>
        <w:tc>
          <w:tcPr>
            <w:tcW w:w="1303" w:type="dxa"/>
            <w:vAlign w:val="center"/>
          </w:tcPr>
          <w:p>
            <w:pPr>
              <w:pStyle w:val="0"/>
              <w:jc w:val="center"/>
            </w:pPr>
            <w:r>
              <w:rPr>
                <w:sz w:val="20"/>
              </w:rPr>
              <w:t xml:space="preserve">2396,5</w:t>
            </w:r>
          </w:p>
        </w:tc>
      </w:tr>
      <w:tr>
        <w:tc>
          <w:tcPr>
            <w:tcW w:w="2547" w:type="dxa"/>
            <w:vAlign w:val="center"/>
          </w:tcPr>
          <w:p>
            <w:pPr>
              <w:pStyle w:val="0"/>
            </w:pPr>
            <w:r>
              <w:rPr>
                <w:sz w:val="20"/>
              </w:rPr>
              <w:t xml:space="preserve">Белгородская область</w:t>
            </w:r>
          </w:p>
        </w:tc>
        <w:tc>
          <w:tcPr>
            <w:tcW w:w="1302" w:type="dxa"/>
            <w:vAlign w:val="center"/>
          </w:tcPr>
          <w:p>
            <w:pPr>
              <w:pStyle w:val="0"/>
              <w:jc w:val="center"/>
            </w:pPr>
            <w:r>
              <w:rPr>
                <w:sz w:val="20"/>
              </w:rPr>
              <w:t xml:space="preserve">2071,9</w:t>
            </w:r>
          </w:p>
        </w:tc>
        <w:tc>
          <w:tcPr>
            <w:tcW w:w="1303" w:type="dxa"/>
            <w:vAlign w:val="center"/>
          </w:tcPr>
          <w:p>
            <w:pPr>
              <w:pStyle w:val="0"/>
              <w:jc w:val="center"/>
            </w:pPr>
            <w:r>
              <w:rPr>
                <w:sz w:val="20"/>
              </w:rPr>
              <w:t xml:space="preserve">1567,5</w:t>
            </w:r>
          </w:p>
        </w:tc>
        <w:tc>
          <w:tcPr>
            <w:tcW w:w="1303" w:type="dxa"/>
            <w:vAlign w:val="center"/>
          </w:tcPr>
          <w:p>
            <w:pPr>
              <w:pStyle w:val="0"/>
              <w:jc w:val="center"/>
            </w:pPr>
            <w:r>
              <w:rPr>
                <w:sz w:val="20"/>
              </w:rPr>
              <w:t xml:space="preserve">1409,7</w:t>
            </w:r>
          </w:p>
        </w:tc>
        <w:tc>
          <w:tcPr>
            <w:tcW w:w="1303" w:type="dxa"/>
            <w:vAlign w:val="center"/>
          </w:tcPr>
          <w:p>
            <w:pPr>
              <w:pStyle w:val="0"/>
              <w:jc w:val="center"/>
            </w:pPr>
            <w:r>
              <w:rPr>
                <w:sz w:val="20"/>
              </w:rPr>
              <w:t xml:space="preserve">1798,3</w:t>
            </w:r>
          </w:p>
        </w:tc>
        <w:tc>
          <w:tcPr>
            <w:tcW w:w="1303" w:type="dxa"/>
            <w:vAlign w:val="center"/>
          </w:tcPr>
          <w:p>
            <w:pPr>
              <w:pStyle w:val="0"/>
              <w:jc w:val="center"/>
            </w:pPr>
            <w:r>
              <w:rPr>
                <w:sz w:val="20"/>
              </w:rPr>
              <w:t xml:space="preserve">2156,4</w:t>
            </w:r>
          </w:p>
        </w:tc>
      </w:tr>
      <w:tr>
        <w:tc>
          <w:tcPr>
            <w:tcW w:w="2547" w:type="dxa"/>
            <w:vAlign w:val="center"/>
          </w:tcPr>
          <w:p>
            <w:pPr>
              <w:pStyle w:val="0"/>
            </w:pPr>
            <w:r>
              <w:rPr>
                <w:sz w:val="20"/>
              </w:rPr>
              <w:t xml:space="preserve">Калужская область</w:t>
            </w:r>
          </w:p>
        </w:tc>
        <w:tc>
          <w:tcPr>
            <w:tcW w:w="1302" w:type="dxa"/>
            <w:vAlign w:val="center"/>
          </w:tcPr>
          <w:p>
            <w:pPr>
              <w:pStyle w:val="0"/>
              <w:jc w:val="center"/>
            </w:pPr>
            <w:r>
              <w:rPr>
                <w:sz w:val="20"/>
              </w:rPr>
              <w:t xml:space="preserve">622,3</w:t>
            </w:r>
          </w:p>
        </w:tc>
        <w:tc>
          <w:tcPr>
            <w:tcW w:w="1303" w:type="dxa"/>
            <w:vAlign w:val="center"/>
          </w:tcPr>
          <w:p>
            <w:pPr>
              <w:pStyle w:val="0"/>
              <w:jc w:val="center"/>
            </w:pPr>
            <w:r>
              <w:rPr>
                <w:sz w:val="20"/>
              </w:rPr>
              <w:t xml:space="preserve">496,7</w:t>
            </w:r>
          </w:p>
        </w:tc>
        <w:tc>
          <w:tcPr>
            <w:tcW w:w="1303" w:type="dxa"/>
            <w:vAlign w:val="center"/>
          </w:tcPr>
          <w:p>
            <w:pPr>
              <w:pStyle w:val="0"/>
              <w:jc w:val="center"/>
            </w:pPr>
            <w:r>
              <w:rPr>
                <w:sz w:val="20"/>
              </w:rPr>
              <w:t xml:space="preserve">699,4</w:t>
            </w:r>
          </w:p>
        </w:tc>
        <w:tc>
          <w:tcPr>
            <w:tcW w:w="1303" w:type="dxa"/>
            <w:vAlign w:val="center"/>
          </w:tcPr>
          <w:p>
            <w:pPr>
              <w:pStyle w:val="0"/>
              <w:jc w:val="center"/>
            </w:pPr>
            <w:r>
              <w:rPr>
                <w:sz w:val="20"/>
              </w:rPr>
              <w:t xml:space="preserve">1316,3</w:t>
            </w:r>
          </w:p>
        </w:tc>
        <w:tc>
          <w:tcPr>
            <w:tcW w:w="1303" w:type="dxa"/>
            <w:vAlign w:val="center"/>
          </w:tcPr>
          <w:p>
            <w:pPr>
              <w:pStyle w:val="0"/>
              <w:jc w:val="center"/>
            </w:pPr>
            <w:r>
              <w:rPr>
                <w:sz w:val="20"/>
              </w:rPr>
              <w:t xml:space="preserve">1456,0</w:t>
            </w:r>
          </w:p>
        </w:tc>
      </w:tr>
      <w:tr>
        <w:tc>
          <w:tcPr>
            <w:tcW w:w="2547" w:type="dxa"/>
            <w:vAlign w:val="center"/>
          </w:tcPr>
          <w:p>
            <w:pPr>
              <w:pStyle w:val="0"/>
            </w:pPr>
            <w:r>
              <w:rPr>
                <w:sz w:val="20"/>
              </w:rPr>
              <w:t xml:space="preserve">Смоленская область</w:t>
            </w:r>
          </w:p>
        </w:tc>
        <w:tc>
          <w:tcPr>
            <w:tcW w:w="1302" w:type="dxa"/>
            <w:vAlign w:val="center"/>
          </w:tcPr>
          <w:p>
            <w:pPr>
              <w:pStyle w:val="0"/>
              <w:jc w:val="center"/>
            </w:pPr>
            <w:r>
              <w:rPr>
                <w:sz w:val="20"/>
              </w:rPr>
              <w:t xml:space="preserve">1247,1</w:t>
            </w:r>
          </w:p>
        </w:tc>
        <w:tc>
          <w:tcPr>
            <w:tcW w:w="1303" w:type="dxa"/>
            <w:vAlign w:val="center"/>
          </w:tcPr>
          <w:p>
            <w:pPr>
              <w:pStyle w:val="0"/>
              <w:jc w:val="center"/>
            </w:pPr>
            <w:r>
              <w:rPr>
                <w:sz w:val="20"/>
              </w:rPr>
              <w:t xml:space="preserve">928,0</w:t>
            </w:r>
          </w:p>
        </w:tc>
        <w:tc>
          <w:tcPr>
            <w:tcW w:w="1303" w:type="dxa"/>
            <w:vAlign w:val="center"/>
          </w:tcPr>
          <w:p>
            <w:pPr>
              <w:pStyle w:val="0"/>
              <w:jc w:val="center"/>
            </w:pPr>
            <w:r>
              <w:rPr>
                <w:sz w:val="20"/>
              </w:rPr>
              <w:t xml:space="preserve">995,1</w:t>
            </w:r>
          </w:p>
        </w:tc>
        <w:tc>
          <w:tcPr>
            <w:tcW w:w="1303" w:type="dxa"/>
            <w:vAlign w:val="center"/>
          </w:tcPr>
          <w:p>
            <w:pPr>
              <w:pStyle w:val="0"/>
              <w:jc w:val="center"/>
            </w:pPr>
            <w:r>
              <w:rPr>
                <w:sz w:val="20"/>
              </w:rPr>
              <w:t xml:space="preserve">1151,8</w:t>
            </w:r>
          </w:p>
        </w:tc>
        <w:tc>
          <w:tcPr>
            <w:tcW w:w="1303" w:type="dxa"/>
            <w:vAlign w:val="center"/>
          </w:tcPr>
          <w:p>
            <w:pPr>
              <w:pStyle w:val="0"/>
              <w:jc w:val="center"/>
            </w:pPr>
            <w:r>
              <w:rPr>
                <w:sz w:val="20"/>
              </w:rPr>
              <w:t xml:space="preserve">1313,2</w:t>
            </w:r>
          </w:p>
        </w:tc>
      </w:tr>
      <w:tr>
        <w:tc>
          <w:tcPr>
            <w:tcW w:w="2547" w:type="dxa"/>
            <w:vAlign w:val="center"/>
          </w:tcPr>
          <w:p>
            <w:pPr>
              <w:pStyle w:val="0"/>
            </w:pPr>
            <w:r>
              <w:rPr>
                <w:sz w:val="20"/>
              </w:rPr>
              <w:t xml:space="preserve">Рязанская область</w:t>
            </w:r>
          </w:p>
        </w:tc>
        <w:tc>
          <w:tcPr>
            <w:tcW w:w="1302" w:type="dxa"/>
            <w:vAlign w:val="center"/>
          </w:tcPr>
          <w:p>
            <w:pPr>
              <w:pStyle w:val="0"/>
              <w:jc w:val="center"/>
            </w:pPr>
            <w:r>
              <w:rPr>
                <w:sz w:val="20"/>
              </w:rPr>
              <w:t xml:space="preserve">332,2</w:t>
            </w:r>
          </w:p>
        </w:tc>
        <w:tc>
          <w:tcPr>
            <w:tcW w:w="1303" w:type="dxa"/>
            <w:vAlign w:val="center"/>
          </w:tcPr>
          <w:p>
            <w:pPr>
              <w:pStyle w:val="0"/>
              <w:jc w:val="center"/>
            </w:pPr>
            <w:r>
              <w:rPr>
                <w:sz w:val="20"/>
              </w:rPr>
              <w:t xml:space="preserve">316,5</w:t>
            </w:r>
          </w:p>
        </w:tc>
        <w:tc>
          <w:tcPr>
            <w:tcW w:w="1303" w:type="dxa"/>
            <w:vAlign w:val="center"/>
          </w:tcPr>
          <w:p>
            <w:pPr>
              <w:pStyle w:val="0"/>
              <w:jc w:val="center"/>
            </w:pPr>
            <w:r>
              <w:rPr>
                <w:sz w:val="20"/>
              </w:rPr>
              <w:t xml:space="preserve">354,2</w:t>
            </w:r>
          </w:p>
        </w:tc>
        <w:tc>
          <w:tcPr>
            <w:tcW w:w="1303" w:type="dxa"/>
            <w:vAlign w:val="center"/>
          </w:tcPr>
          <w:p>
            <w:pPr>
              <w:pStyle w:val="0"/>
              <w:jc w:val="center"/>
            </w:pPr>
            <w:r>
              <w:rPr>
                <w:sz w:val="20"/>
              </w:rPr>
              <w:t xml:space="preserve">886,5</w:t>
            </w:r>
          </w:p>
        </w:tc>
        <w:tc>
          <w:tcPr>
            <w:tcW w:w="1303" w:type="dxa"/>
            <w:vAlign w:val="center"/>
          </w:tcPr>
          <w:p>
            <w:pPr>
              <w:pStyle w:val="0"/>
              <w:jc w:val="center"/>
            </w:pPr>
            <w:r>
              <w:rPr>
                <w:sz w:val="20"/>
              </w:rPr>
              <w:t xml:space="preserve">435,4</w:t>
            </w:r>
          </w:p>
        </w:tc>
      </w:tr>
      <w:tr>
        <w:tc>
          <w:tcPr>
            <w:tcW w:w="2547" w:type="dxa"/>
            <w:vAlign w:val="center"/>
          </w:tcPr>
          <w:p>
            <w:pPr>
              <w:pStyle w:val="0"/>
            </w:pPr>
            <w:r>
              <w:rPr>
                <w:sz w:val="20"/>
              </w:rPr>
              <w:t xml:space="preserve">Московская область</w:t>
            </w:r>
          </w:p>
        </w:tc>
        <w:tc>
          <w:tcPr>
            <w:tcW w:w="1302" w:type="dxa"/>
            <w:vAlign w:val="center"/>
          </w:tcPr>
          <w:p>
            <w:pPr>
              <w:pStyle w:val="0"/>
              <w:jc w:val="center"/>
            </w:pPr>
            <w:r>
              <w:rPr>
                <w:sz w:val="20"/>
              </w:rPr>
              <w:t xml:space="preserve">807,0</w:t>
            </w:r>
          </w:p>
        </w:tc>
        <w:tc>
          <w:tcPr>
            <w:tcW w:w="1303" w:type="dxa"/>
            <w:vAlign w:val="center"/>
          </w:tcPr>
          <w:p>
            <w:pPr>
              <w:pStyle w:val="0"/>
              <w:jc w:val="center"/>
            </w:pPr>
            <w:r>
              <w:rPr>
                <w:sz w:val="20"/>
              </w:rPr>
              <w:t xml:space="preserve">674,0</w:t>
            </w:r>
          </w:p>
        </w:tc>
        <w:tc>
          <w:tcPr>
            <w:tcW w:w="1303" w:type="dxa"/>
            <w:vAlign w:val="center"/>
          </w:tcPr>
          <w:p>
            <w:pPr>
              <w:pStyle w:val="0"/>
              <w:jc w:val="center"/>
            </w:pPr>
            <w:r>
              <w:rPr>
                <w:sz w:val="20"/>
              </w:rPr>
              <w:t xml:space="preserve">646,4</w:t>
            </w:r>
          </w:p>
        </w:tc>
        <w:tc>
          <w:tcPr>
            <w:tcW w:w="1303" w:type="dxa"/>
            <w:vAlign w:val="center"/>
          </w:tcPr>
          <w:p>
            <w:pPr>
              <w:pStyle w:val="0"/>
              <w:jc w:val="center"/>
            </w:pPr>
            <w:r>
              <w:rPr>
                <w:sz w:val="20"/>
              </w:rPr>
              <w:t xml:space="preserve">897,3</w:t>
            </w:r>
          </w:p>
        </w:tc>
        <w:tc>
          <w:tcPr>
            <w:tcW w:w="1303" w:type="dxa"/>
            <w:vAlign w:val="center"/>
          </w:tcPr>
          <w:p>
            <w:pPr>
              <w:pStyle w:val="0"/>
              <w:jc w:val="center"/>
            </w:pPr>
            <w:r>
              <w:rPr>
                <w:sz w:val="20"/>
              </w:rPr>
              <w:t xml:space="preserve">939,6</w:t>
            </w:r>
          </w:p>
        </w:tc>
      </w:tr>
      <w:tr>
        <w:tc>
          <w:tcPr>
            <w:tcW w:w="2547" w:type="dxa"/>
            <w:vAlign w:val="center"/>
          </w:tcPr>
          <w:p>
            <w:pPr>
              <w:pStyle w:val="0"/>
            </w:pPr>
            <w:r>
              <w:rPr>
                <w:sz w:val="20"/>
              </w:rPr>
              <w:t xml:space="preserve">Ярославская область</w:t>
            </w:r>
          </w:p>
        </w:tc>
        <w:tc>
          <w:tcPr>
            <w:tcW w:w="1302" w:type="dxa"/>
            <w:vAlign w:val="center"/>
          </w:tcPr>
          <w:p>
            <w:pPr>
              <w:pStyle w:val="0"/>
              <w:jc w:val="center"/>
            </w:pPr>
            <w:r>
              <w:rPr>
                <w:sz w:val="20"/>
              </w:rPr>
              <w:t xml:space="preserve">810,1</w:t>
            </w:r>
          </w:p>
        </w:tc>
        <w:tc>
          <w:tcPr>
            <w:tcW w:w="1303" w:type="dxa"/>
            <w:vAlign w:val="center"/>
          </w:tcPr>
          <w:p>
            <w:pPr>
              <w:pStyle w:val="0"/>
              <w:jc w:val="center"/>
            </w:pPr>
            <w:r>
              <w:rPr>
                <w:sz w:val="20"/>
              </w:rPr>
              <w:t xml:space="preserve">639,5</w:t>
            </w:r>
          </w:p>
        </w:tc>
        <w:tc>
          <w:tcPr>
            <w:tcW w:w="1303" w:type="dxa"/>
            <w:vAlign w:val="center"/>
          </w:tcPr>
          <w:p>
            <w:pPr>
              <w:pStyle w:val="0"/>
              <w:jc w:val="center"/>
            </w:pPr>
            <w:r>
              <w:rPr>
                <w:sz w:val="20"/>
              </w:rPr>
              <w:t xml:space="preserve">493,0</w:t>
            </w:r>
          </w:p>
        </w:tc>
        <w:tc>
          <w:tcPr>
            <w:tcW w:w="1303" w:type="dxa"/>
            <w:vAlign w:val="center"/>
          </w:tcPr>
          <w:p>
            <w:pPr>
              <w:pStyle w:val="0"/>
              <w:jc w:val="center"/>
            </w:pPr>
            <w:r>
              <w:rPr>
                <w:sz w:val="20"/>
              </w:rPr>
              <w:t xml:space="preserve">650,8</w:t>
            </w:r>
          </w:p>
        </w:tc>
        <w:tc>
          <w:tcPr>
            <w:tcW w:w="1303" w:type="dxa"/>
            <w:vAlign w:val="center"/>
          </w:tcPr>
          <w:p>
            <w:pPr>
              <w:pStyle w:val="0"/>
              <w:jc w:val="center"/>
            </w:pPr>
            <w:r>
              <w:rPr>
                <w:sz w:val="20"/>
              </w:rPr>
              <w:t xml:space="preserve">960,9</w:t>
            </w:r>
          </w:p>
        </w:tc>
      </w:tr>
      <w:tr>
        <w:tc>
          <w:tcPr>
            <w:tcW w:w="2547" w:type="dxa"/>
            <w:vAlign w:val="center"/>
          </w:tcPr>
          <w:p>
            <w:pPr>
              <w:pStyle w:val="0"/>
            </w:pPr>
            <w:r>
              <w:rPr>
                <w:sz w:val="20"/>
              </w:rPr>
              <w:t xml:space="preserve">Воронежская область</w:t>
            </w:r>
          </w:p>
        </w:tc>
        <w:tc>
          <w:tcPr>
            <w:tcW w:w="1302" w:type="dxa"/>
            <w:vAlign w:val="center"/>
          </w:tcPr>
          <w:p>
            <w:pPr>
              <w:pStyle w:val="0"/>
              <w:jc w:val="center"/>
            </w:pPr>
            <w:r>
              <w:rPr>
                <w:sz w:val="20"/>
              </w:rPr>
              <w:t xml:space="preserve">671,8</w:t>
            </w:r>
          </w:p>
        </w:tc>
        <w:tc>
          <w:tcPr>
            <w:tcW w:w="1303" w:type="dxa"/>
            <w:vAlign w:val="center"/>
          </w:tcPr>
          <w:p>
            <w:pPr>
              <w:pStyle w:val="0"/>
              <w:jc w:val="center"/>
            </w:pPr>
            <w:r>
              <w:rPr>
                <w:sz w:val="20"/>
              </w:rPr>
              <w:t xml:space="preserve">581,7</w:t>
            </w:r>
          </w:p>
        </w:tc>
        <w:tc>
          <w:tcPr>
            <w:tcW w:w="1303" w:type="dxa"/>
            <w:vAlign w:val="center"/>
          </w:tcPr>
          <w:p>
            <w:pPr>
              <w:pStyle w:val="0"/>
              <w:jc w:val="center"/>
            </w:pPr>
            <w:r>
              <w:rPr>
                <w:sz w:val="20"/>
              </w:rPr>
              <w:t xml:space="preserve">491,2</w:t>
            </w:r>
          </w:p>
        </w:tc>
        <w:tc>
          <w:tcPr>
            <w:tcW w:w="1303" w:type="dxa"/>
            <w:vAlign w:val="center"/>
          </w:tcPr>
          <w:p>
            <w:pPr>
              <w:pStyle w:val="0"/>
              <w:jc w:val="center"/>
            </w:pPr>
            <w:r>
              <w:rPr>
                <w:sz w:val="20"/>
              </w:rPr>
              <w:t xml:space="preserve">567,3</w:t>
            </w:r>
          </w:p>
        </w:tc>
        <w:tc>
          <w:tcPr>
            <w:tcW w:w="1303" w:type="dxa"/>
            <w:vAlign w:val="center"/>
          </w:tcPr>
          <w:p>
            <w:pPr>
              <w:pStyle w:val="0"/>
              <w:jc w:val="center"/>
            </w:pPr>
            <w:r>
              <w:rPr>
                <w:sz w:val="20"/>
              </w:rPr>
              <w:t xml:space="preserve">676,5</w:t>
            </w:r>
          </w:p>
        </w:tc>
      </w:tr>
      <w:tr>
        <w:tc>
          <w:tcPr>
            <w:tcW w:w="2547" w:type="dxa"/>
            <w:vAlign w:val="center"/>
          </w:tcPr>
          <w:p>
            <w:pPr>
              <w:pStyle w:val="0"/>
            </w:pPr>
            <w:r>
              <w:rPr>
                <w:sz w:val="20"/>
              </w:rPr>
              <w:t xml:space="preserve">Курская область</w:t>
            </w:r>
          </w:p>
        </w:tc>
        <w:tc>
          <w:tcPr>
            <w:tcW w:w="1302" w:type="dxa"/>
            <w:vAlign w:val="center"/>
          </w:tcPr>
          <w:p>
            <w:pPr>
              <w:pStyle w:val="0"/>
              <w:jc w:val="center"/>
            </w:pPr>
            <w:r>
              <w:rPr>
                <w:sz w:val="20"/>
              </w:rPr>
              <w:t xml:space="preserve">516,3</w:t>
            </w:r>
          </w:p>
        </w:tc>
        <w:tc>
          <w:tcPr>
            <w:tcW w:w="1303" w:type="dxa"/>
            <w:vAlign w:val="center"/>
          </w:tcPr>
          <w:p>
            <w:pPr>
              <w:pStyle w:val="0"/>
              <w:jc w:val="center"/>
            </w:pPr>
            <w:r>
              <w:rPr>
                <w:sz w:val="20"/>
              </w:rPr>
              <w:t xml:space="preserve">354,4</w:t>
            </w:r>
          </w:p>
        </w:tc>
        <w:tc>
          <w:tcPr>
            <w:tcW w:w="1303" w:type="dxa"/>
            <w:vAlign w:val="center"/>
          </w:tcPr>
          <w:p>
            <w:pPr>
              <w:pStyle w:val="0"/>
              <w:jc w:val="center"/>
            </w:pPr>
            <w:r>
              <w:rPr>
                <w:sz w:val="20"/>
              </w:rPr>
              <w:t xml:space="preserve">403,8</w:t>
            </w:r>
          </w:p>
        </w:tc>
        <w:tc>
          <w:tcPr>
            <w:tcW w:w="1303" w:type="dxa"/>
            <w:vAlign w:val="center"/>
          </w:tcPr>
          <w:p>
            <w:pPr>
              <w:pStyle w:val="0"/>
              <w:jc w:val="center"/>
            </w:pPr>
            <w:r>
              <w:rPr>
                <w:sz w:val="20"/>
              </w:rPr>
              <w:t xml:space="preserve">556,1</w:t>
            </w:r>
          </w:p>
        </w:tc>
        <w:tc>
          <w:tcPr>
            <w:tcW w:w="1303" w:type="dxa"/>
            <w:vAlign w:val="center"/>
          </w:tcPr>
          <w:p>
            <w:pPr>
              <w:pStyle w:val="0"/>
              <w:jc w:val="center"/>
            </w:pPr>
            <w:r>
              <w:rPr>
                <w:sz w:val="20"/>
              </w:rPr>
              <w:t xml:space="preserve">615,1</w:t>
            </w:r>
          </w:p>
        </w:tc>
      </w:tr>
      <w:tr>
        <w:tc>
          <w:tcPr>
            <w:tcW w:w="2547" w:type="dxa"/>
            <w:vAlign w:val="center"/>
          </w:tcPr>
          <w:p>
            <w:pPr>
              <w:pStyle w:val="0"/>
            </w:pPr>
            <w:r>
              <w:rPr>
                <w:sz w:val="20"/>
              </w:rPr>
              <w:t xml:space="preserve">Владимирская область</w:t>
            </w:r>
          </w:p>
        </w:tc>
        <w:tc>
          <w:tcPr>
            <w:tcW w:w="1302" w:type="dxa"/>
            <w:vAlign w:val="center"/>
          </w:tcPr>
          <w:p>
            <w:pPr>
              <w:pStyle w:val="0"/>
              <w:jc w:val="center"/>
            </w:pPr>
            <w:r>
              <w:rPr>
                <w:sz w:val="20"/>
              </w:rPr>
              <w:t xml:space="preserve">701,7</w:t>
            </w:r>
          </w:p>
        </w:tc>
        <w:tc>
          <w:tcPr>
            <w:tcW w:w="1303" w:type="dxa"/>
            <w:vAlign w:val="center"/>
          </w:tcPr>
          <w:p>
            <w:pPr>
              <w:pStyle w:val="0"/>
              <w:jc w:val="center"/>
            </w:pPr>
            <w:r>
              <w:rPr>
                <w:sz w:val="20"/>
              </w:rPr>
              <w:t xml:space="preserve">478,9</w:t>
            </w:r>
          </w:p>
        </w:tc>
        <w:tc>
          <w:tcPr>
            <w:tcW w:w="1303" w:type="dxa"/>
            <w:vAlign w:val="center"/>
          </w:tcPr>
          <w:p>
            <w:pPr>
              <w:pStyle w:val="0"/>
              <w:jc w:val="center"/>
            </w:pPr>
            <w:r>
              <w:rPr>
                <w:sz w:val="20"/>
              </w:rPr>
              <w:t xml:space="preserve">454,8</w:t>
            </w:r>
          </w:p>
        </w:tc>
        <w:tc>
          <w:tcPr>
            <w:tcW w:w="1303" w:type="dxa"/>
            <w:vAlign w:val="center"/>
          </w:tcPr>
          <w:p>
            <w:pPr>
              <w:pStyle w:val="0"/>
              <w:jc w:val="center"/>
            </w:pPr>
            <w:r>
              <w:rPr>
                <w:sz w:val="20"/>
              </w:rPr>
              <w:t xml:space="preserve">485,5</w:t>
            </w:r>
          </w:p>
        </w:tc>
        <w:tc>
          <w:tcPr>
            <w:tcW w:w="1303" w:type="dxa"/>
            <w:vAlign w:val="center"/>
          </w:tcPr>
          <w:p>
            <w:pPr>
              <w:pStyle w:val="0"/>
              <w:jc w:val="center"/>
            </w:pPr>
            <w:r>
              <w:rPr>
                <w:sz w:val="20"/>
              </w:rPr>
              <w:t xml:space="preserve">615,0</w:t>
            </w:r>
          </w:p>
        </w:tc>
      </w:tr>
      <w:tr>
        <w:tc>
          <w:tcPr>
            <w:tcW w:w="2547" w:type="dxa"/>
            <w:vAlign w:val="center"/>
          </w:tcPr>
          <w:p>
            <w:pPr>
              <w:pStyle w:val="0"/>
            </w:pPr>
            <w:r>
              <w:rPr>
                <w:sz w:val="20"/>
              </w:rPr>
              <w:t xml:space="preserve">Костромская область</w:t>
            </w:r>
          </w:p>
        </w:tc>
        <w:tc>
          <w:tcPr>
            <w:tcW w:w="1302" w:type="dxa"/>
            <w:vAlign w:val="center"/>
          </w:tcPr>
          <w:p>
            <w:pPr>
              <w:pStyle w:val="0"/>
              <w:jc w:val="center"/>
            </w:pPr>
            <w:r>
              <w:rPr>
                <w:sz w:val="20"/>
              </w:rPr>
              <w:t xml:space="preserve">557,1</w:t>
            </w:r>
          </w:p>
        </w:tc>
        <w:tc>
          <w:tcPr>
            <w:tcW w:w="1303" w:type="dxa"/>
            <w:vAlign w:val="center"/>
          </w:tcPr>
          <w:p>
            <w:pPr>
              <w:pStyle w:val="0"/>
              <w:jc w:val="center"/>
            </w:pPr>
            <w:r>
              <w:rPr>
                <w:sz w:val="20"/>
              </w:rPr>
              <w:t xml:space="preserve">440,0</w:t>
            </w:r>
          </w:p>
        </w:tc>
        <w:tc>
          <w:tcPr>
            <w:tcW w:w="1303" w:type="dxa"/>
            <w:vAlign w:val="center"/>
          </w:tcPr>
          <w:p>
            <w:pPr>
              <w:pStyle w:val="0"/>
              <w:jc w:val="center"/>
            </w:pPr>
            <w:r>
              <w:rPr>
                <w:sz w:val="20"/>
              </w:rPr>
              <w:t xml:space="preserve">441,3</w:t>
            </w:r>
          </w:p>
        </w:tc>
        <w:tc>
          <w:tcPr>
            <w:tcW w:w="1303" w:type="dxa"/>
            <w:vAlign w:val="center"/>
          </w:tcPr>
          <w:p>
            <w:pPr>
              <w:pStyle w:val="0"/>
              <w:jc w:val="center"/>
            </w:pPr>
            <w:r>
              <w:rPr>
                <w:sz w:val="20"/>
              </w:rPr>
              <w:t xml:space="preserve">432,1</w:t>
            </w:r>
          </w:p>
        </w:tc>
        <w:tc>
          <w:tcPr>
            <w:tcW w:w="1303" w:type="dxa"/>
            <w:vAlign w:val="center"/>
          </w:tcPr>
          <w:p>
            <w:pPr>
              <w:pStyle w:val="0"/>
              <w:jc w:val="center"/>
            </w:pPr>
            <w:r>
              <w:rPr>
                <w:sz w:val="20"/>
              </w:rPr>
              <w:t xml:space="preserve">529,7</w:t>
            </w:r>
          </w:p>
        </w:tc>
      </w:tr>
      <w:tr>
        <w:tc>
          <w:tcPr>
            <w:tcW w:w="2547" w:type="dxa"/>
            <w:vAlign w:val="center"/>
          </w:tcPr>
          <w:p>
            <w:pPr>
              <w:pStyle w:val="0"/>
            </w:pPr>
            <w:r>
              <w:rPr>
                <w:sz w:val="20"/>
              </w:rPr>
              <w:t xml:space="preserve">Орловская область</w:t>
            </w:r>
          </w:p>
        </w:tc>
        <w:tc>
          <w:tcPr>
            <w:tcW w:w="1302" w:type="dxa"/>
            <w:vAlign w:val="center"/>
          </w:tcPr>
          <w:p>
            <w:pPr>
              <w:pStyle w:val="0"/>
              <w:jc w:val="center"/>
            </w:pPr>
            <w:r>
              <w:rPr>
                <w:sz w:val="20"/>
              </w:rPr>
              <w:t xml:space="preserve">246,6</w:t>
            </w:r>
          </w:p>
        </w:tc>
        <w:tc>
          <w:tcPr>
            <w:tcW w:w="1303" w:type="dxa"/>
            <w:vAlign w:val="center"/>
          </w:tcPr>
          <w:p>
            <w:pPr>
              <w:pStyle w:val="0"/>
              <w:jc w:val="center"/>
            </w:pPr>
            <w:r>
              <w:rPr>
                <w:sz w:val="20"/>
              </w:rPr>
              <w:t xml:space="preserve">212,7</w:t>
            </w:r>
          </w:p>
        </w:tc>
        <w:tc>
          <w:tcPr>
            <w:tcW w:w="1303" w:type="dxa"/>
            <w:vAlign w:val="center"/>
          </w:tcPr>
          <w:p>
            <w:pPr>
              <w:pStyle w:val="0"/>
              <w:jc w:val="center"/>
            </w:pPr>
            <w:r>
              <w:rPr>
                <w:sz w:val="20"/>
              </w:rPr>
              <w:t xml:space="preserve">233,6</w:t>
            </w:r>
          </w:p>
        </w:tc>
        <w:tc>
          <w:tcPr>
            <w:tcW w:w="1303" w:type="dxa"/>
            <w:vAlign w:val="center"/>
          </w:tcPr>
          <w:p>
            <w:pPr>
              <w:pStyle w:val="0"/>
              <w:jc w:val="center"/>
            </w:pPr>
            <w:r>
              <w:rPr>
                <w:sz w:val="20"/>
              </w:rPr>
              <w:t xml:space="preserve">296,0</w:t>
            </w:r>
          </w:p>
        </w:tc>
        <w:tc>
          <w:tcPr>
            <w:tcW w:w="1303" w:type="dxa"/>
            <w:vAlign w:val="center"/>
          </w:tcPr>
          <w:p>
            <w:pPr>
              <w:pStyle w:val="0"/>
              <w:jc w:val="center"/>
            </w:pPr>
            <w:r>
              <w:rPr>
                <w:sz w:val="20"/>
              </w:rPr>
              <w:t xml:space="preserve">328,2</w:t>
            </w:r>
          </w:p>
        </w:tc>
      </w:tr>
      <w:tr>
        <w:tc>
          <w:tcPr>
            <w:tcW w:w="2547" w:type="dxa"/>
            <w:vAlign w:val="center"/>
          </w:tcPr>
          <w:p>
            <w:pPr>
              <w:pStyle w:val="0"/>
            </w:pPr>
            <w:r>
              <w:rPr>
                <w:sz w:val="20"/>
              </w:rPr>
              <w:t xml:space="preserve">Брянская область</w:t>
            </w:r>
          </w:p>
        </w:tc>
        <w:tc>
          <w:tcPr>
            <w:tcW w:w="1302" w:type="dxa"/>
            <w:vAlign w:val="center"/>
          </w:tcPr>
          <w:p>
            <w:pPr>
              <w:pStyle w:val="0"/>
              <w:jc w:val="center"/>
            </w:pPr>
            <w:r>
              <w:rPr>
                <w:sz w:val="20"/>
              </w:rPr>
              <w:t xml:space="preserve">297,0</w:t>
            </w:r>
          </w:p>
        </w:tc>
        <w:tc>
          <w:tcPr>
            <w:tcW w:w="1303" w:type="dxa"/>
            <w:vAlign w:val="center"/>
          </w:tcPr>
          <w:p>
            <w:pPr>
              <w:pStyle w:val="0"/>
              <w:jc w:val="center"/>
            </w:pPr>
            <w:r>
              <w:rPr>
                <w:sz w:val="20"/>
              </w:rPr>
              <w:t xml:space="preserve">286,5</w:t>
            </w:r>
          </w:p>
        </w:tc>
        <w:tc>
          <w:tcPr>
            <w:tcW w:w="1303" w:type="dxa"/>
            <w:vAlign w:val="center"/>
          </w:tcPr>
          <w:p>
            <w:pPr>
              <w:pStyle w:val="0"/>
              <w:jc w:val="center"/>
            </w:pPr>
            <w:r>
              <w:rPr>
                <w:sz w:val="20"/>
              </w:rPr>
              <w:t xml:space="preserve">175,4</w:t>
            </w:r>
          </w:p>
        </w:tc>
        <w:tc>
          <w:tcPr>
            <w:tcW w:w="1303" w:type="dxa"/>
            <w:vAlign w:val="center"/>
          </w:tcPr>
          <w:p>
            <w:pPr>
              <w:pStyle w:val="0"/>
              <w:jc w:val="center"/>
            </w:pPr>
            <w:r>
              <w:rPr>
                <w:sz w:val="20"/>
              </w:rPr>
              <w:t xml:space="preserve">224,5</w:t>
            </w:r>
          </w:p>
        </w:tc>
        <w:tc>
          <w:tcPr>
            <w:tcW w:w="1303" w:type="dxa"/>
            <w:vAlign w:val="center"/>
          </w:tcPr>
          <w:p>
            <w:pPr>
              <w:pStyle w:val="0"/>
              <w:jc w:val="center"/>
            </w:pPr>
            <w:r>
              <w:rPr>
                <w:sz w:val="20"/>
              </w:rPr>
              <w:t xml:space="preserve">270,4</w:t>
            </w:r>
          </w:p>
        </w:tc>
      </w:tr>
      <w:tr>
        <w:tc>
          <w:tcPr>
            <w:tcW w:w="2547" w:type="dxa"/>
            <w:vAlign w:val="center"/>
          </w:tcPr>
          <w:p>
            <w:pPr>
              <w:pStyle w:val="0"/>
            </w:pPr>
            <w:r>
              <w:rPr>
                <w:sz w:val="20"/>
              </w:rPr>
              <w:t xml:space="preserve">Тверская область</w:t>
            </w:r>
          </w:p>
        </w:tc>
        <w:tc>
          <w:tcPr>
            <w:tcW w:w="1302" w:type="dxa"/>
            <w:vAlign w:val="center"/>
          </w:tcPr>
          <w:p>
            <w:pPr>
              <w:pStyle w:val="0"/>
              <w:jc w:val="center"/>
            </w:pPr>
            <w:r>
              <w:rPr>
                <w:sz w:val="20"/>
              </w:rPr>
              <w:t xml:space="preserve">261,1</w:t>
            </w:r>
          </w:p>
        </w:tc>
        <w:tc>
          <w:tcPr>
            <w:tcW w:w="1303" w:type="dxa"/>
            <w:vAlign w:val="center"/>
          </w:tcPr>
          <w:p>
            <w:pPr>
              <w:pStyle w:val="0"/>
              <w:jc w:val="center"/>
            </w:pPr>
            <w:r>
              <w:rPr>
                <w:sz w:val="20"/>
              </w:rPr>
              <w:t xml:space="preserve">183,7</w:t>
            </w:r>
          </w:p>
        </w:tc>
        <w:tc>
          <w:tcPr>
            <w:tcW w:w="1303" w:type="dxa"/>
            <w:vAlign w:val="center"/>
          </w:tcPr>
          <w:p>
            <w:pPr>
              <w:pStyle w:val="0"/>
              <w:jc w:val="center"/>
            </w:pPr>
            <w:r>
              <w:rPr>
                <w:sz w:val="20"/>
              </w:rPr>
              <w:t xml:space="preserve">154,6</w:t>
            </w:r>
          </w:p>
        </w:tc>
        <w:tc>
          <w:tcPr>
            <w:tcW w:w="1303" w:type="dxa"/>
            <w:vAlign w:val="center"/>
          </w:tcPr>
          <w:p>
            <w:pPr>
              <w:pStyle w:val="0"/>
              <w:jc w:val="center"/>
            </w:pPr>
            <w:r>
              <w:rPr>
                <w:sz w:val="20"/>
              </w:rPr>
              <w:t xml:space="preserve">185,2</w:t>
            </w:r>
          </w:p>
        </w:tc>
        <w:tc>
          <w:tcPr>
            <w:tcW w:w="1303" w:type="dxa"/>
            <w:vAlign w:val="center"/>
          </w:tcPr>
          <w:p>
            <w:pPr>
              <w:pStyle w:val="0"/>
              <w:jc w:val="center"/>
            </w:pPr>
            <w:r>
              <w:rPr>
                <w:sz w:val="20"/>
              </w:rPr>
              <w:t xml:space="preserve">234,6</w:t>
            </w:r>
          </w:p>
        </w:tc>
      </w:tr>
      <w:tr>
        <w:tc>
          <w:tcPr>
            <w:tcW w:w="2547" w:type="dxa"/>
            <w:vAlign w:val="center"/>
          </w:tcPr>
          <w:p>
            <w:pPr>
              <w:pStyle w:val="0"/>
            </w:pPr>
            <w:r>
              <w:rPr>
                <w:sz w:val="20"/>
              </w:rPr>
              <w:t xml:space="preserve">Тамбовская область</w:t>
            </w:r>
          </w:p>
        </w:tc>
        <w:tc>
          <w:tcPr>
            <w:tcW w:w="1302" w:type="dxa"/>
            <w:vAlign w:val="center"/>
          </w:tcPr>
          <w:p>
            <w:pPr>
              <w:pStyle w:val="0"/>
              <w:jc w:val="center"/>
            </w:pPr>
            <w:r>
              <w:rPr>
                <w:sz w:val="20"/>
              </w:rPr>
              <w:t xml:space="preserve">95,0</w:t>
            </w:r>
          </w:p>
        </w:tc>
        <w:tc>
          <w:tcPr>
            <w:tcW w:w="1303" w:type="dxa"/>
            <w:vAlign w:val="center"/>
          </w:tcPr>
          <w:p>
            <w:pPr>
              <w:pStyle w:val="0"/>
              <w:jc w:val="center"/>
            </w:pPr>
            <w:r>
              <w:rPr>
                <w:sz w:val="20"/>
              </w:rPr>
              <w:t xml:space="preserve">91,2</w:t>
            </w:r>
          </w:p>
        </w:tc>
        <w:tc>
          <w:tcPr>
            <w:tcW w:w="1303" w:type="dxa"/>
            <w:vAlign w:val="center"/>
          </w:tcPr>
          <w:p>
            <w:pPr>
              <w:pStyle w:val="0"/>
              <w:jc w:val="center"/>
            </w:pPr>
            <w:r>
              <w:rPr>
                <w:sz w:val="20"/>
              </w:rPr>
              <w:t xml:space="preserve">116,9</w:t>
            </w:r>
          </w:p>
        </w:tc>
        <w:tc>
          <w:tcPr>
            <w:tcW w:w="1303" w:type="dxa"/>
            <w:vAlign w:val="center"/>
          </w:tcPr>
          <w:p>
            <w:pPr>
              <w:pStyle w:val="0"/>
              <w:jc w:val="center"/>
            </w:pPr>
            <w:r>
              <w:rPr>
                <w:sz w:val="20"/>
              </w:rPr>
              <w:t xml:space="preserve">167,6</w:t>
            </w:r>
          </w:p>
        </w:tc>
        <w:tc>
          <w:tcPr>
            <w:tcW w:w="1303" w:type="dxa"/>
            <w:vAlign w:val="center"/>
          </w:tcPr>
          <w:p>
            <w:pPr>
              <w:pStyle w:val="0"/>
              <w:jc w:val="center"/>
            </w:pPr>
            <w:r>
              <w:rPr>
                <w:sz w:val="20"/>
              </w:rPr>
              <w:t xml:space="preserve">233,7</w:t>
            </w:r>
          </w:p>
        </w:tc>
      </w:tr>
      <w:tr>
        <w:tc>
          <w:tcPr>
            <w:tcW w:w="2547" w:type="dxa"/>
            <w:vAlign w:val="center"/>
          </w:tcPr>
          <w:p>
            <w:pPr>
              <w:pStyle w:val="0"/>
            </w:pPr>
            <w:r>
              <w:rPr>
                <w:sz w:val="20"/>
              </w:rPr>
              <w:t xml:space="preserve">Ивановская область</w:t>
            </w:r>
          </w:p>
        </w:tc>
        <w:tc>
          <w:tcPr>
            <w:tcW w:w="1302" w:type="dxa"/>
            <w:vAlign w:val="center"/>
          </w:tcPr>
          <w:p>
            <w:pPr>
              <w:pStyle w:val="0"/>
              <w:jc w:val="center"/>
            </w:pPr>
            <w:r>
              <w:rPr>
                <w:sz w:val="20"/>
              </w:rPr>
              <w:t xml:space="preserve">183,9</w:t>
            </w:r>
          </w:p>
        </w:tc>
        <w:tc>
          <w:tcPr>
            <w:tcW w:w="1303" w:type="dxa"/>
            <w:vAlign w:val="center"/>
          </w:tcPr>
          <w:p>
            <w:pPr>
              <w:pStyle w:val="0"/>
              <w:jc w:val="center"/>
            </w:pPr>
            <w:r>
              <w:rPr>
                <w:sz w:val="20"/>
              </w:rPr>
              <w:t xml:space="preserve">134,1</w:t>
            </w:r>
          </w:p>
        </w:tc>
        <w:tc>
          <w:tcPr>
            <w:tcW w:w="1303" w:type="dxa"/>
            <w:vAlign w:val="center"/>
          </w:tcPr>
          <w:p>
            <w:pPr>
              <w:pStyle w:val="0"/>
              <w:jc w:val="center"/>
            </w:pPr>
            <w:r>
              <w:rPr>
                <w:sz w:val="20"/>
              </w:rPr>
              <w:t xml:space="preserve">142,6</w:t>
            </w:r>
          </w:p>
        </w:tc>
        <w:tc>
          <w:tcPr>
            <w:tcW w:w="1303" w:type="dxa"/>
            <w:vAlign w:val="center"/>
          </w:tcPr>
          <w:p>
            <w:pPr>
              <w:pStyle w:val="0"/>
              <w:jc w:val="center"/>
            </w:pPr>
            <w:r>
              <w:rPr>
                <w:sz w:val="20"/>
              </w:rPr>
              <w:t xml:space="preserve">161,5</w:t>
            </w:r>
          </w:p>
        </w:tc>
        <w:tc>
          <w:tcPr>
            <w:tcW w:w="1303" w:type="dxa"/>
            <w:vAlign w:val="center"/>
          </w:tcPr>
          <w:p>
            <w:pPr>
              <w:pStyle w:val="0"/>
              <w:jc w:val="center"/>
            </w:pPr>
            <w:r>
              <w:rPr>
                <w:sz w:val="20"/>
              </w:rPr>
              <w:t xml:space="preserve">166,7</w:t>
            </w:r>
          </w:p>
        </w:tc>
      </w:tr>
    </w:tbl>
    <w:p>
      <w:pPr>
        <w:pStyle w:val="0"/>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Данные Росстата, </w:t>
      </w:r>
      <w:r>
        <w:rPr>
          <w:sz w:val="20"/>
        </w:rPr>
        <w:t xml:space="preserve">http://www.gks.ru/wps/wcm/connect/rosstat_main/rosstat/ru/statistics/population/demography</w:t>
      </w:r>
      <w:r>
        <w:rPr>
          <w:sz w:val="20"/>
        </w:rPr>
        <w:t xml:space="preserve">. расчет АО "Альянс Консалтинг".</w:t>
      </w:r>
    </w:p>
    <w:p>
      <w:pPr>
        <w:pStyle w:val="0"/>
        <w:ind w:firstLine="540"/>
        <w:jc w:val="both"/>
      </w:pPr>
      <w:r>
        <w:rPr>
          <w:sz w:val="20"/>
        </w:rPr>
      </w:r>
    </w:p>
    <w:p>
      <w:pPr>
        <w:pStyle w:val="0"/>
        <w:ind w:firstLine="540"/>
        <w:jc w:val="both"/>
      </w:pPr>
      <w:r>
        <w:rPr>
          <w:sz w:val="20"/>
        </w:rPr>
        <w:t xml:space="preserve">В 2016 - 2017 гг. темпы роста экспорта Курской области превосходили не только уровень ЦФО, но и всероссийский. Однако, динамика роста в 2018 году замедлилась, и регион уже отстает не только от среднего уровня по стране, но относительно других регионов ЦФО.</w:t>
      </w:r>
    </w:p>
    <w:p>
      <w:pPr>
        <w:pStyle w:val="0"/>
        <w:ind w:firstLine="540"/>
        <w:jc w:val="both"/>
      </w:pPr>
      <w:r>
        <w:rPr>
          <w:sz w:val="20"/>
        </w:rPr>
      </w:r>
    </w:p>
    <w:p>
      <w:pPr>
        <w:pStyle w:val="0"/>
        <w:outlineLvl w:val="5"/>
        <w:jc w:val="right"/>
      </w:pPr>
      <w:r>
        <w:rPr>
          <w:sz w:val="20"/>
        </w:rPr>
        <w:t xml:space="preserve">Таблица N 4</w:t>
      </w:r>
    </w:p>
    <w:p>
      <w:pPr>
        <w:pStyle w:val="0"/>
        <w:jc w:val="center"/>
      </w:pPr>
      <w:r>
        <w:rPr>
          <w:sz w:val="20"/>
        </w:rPr>
      </w:r>
    </w:p>
    <w:p>
      <w:pPr>
        <w:pStyle w:val="2"/>
        <w:jc w:val="center"/>
      </w:pPr>
      <w:r>
        <w:rPr>
          <w:sz w:val="20"/>
        </w:rPr>
        <w:t xml:space="preserve">Темпы роста объема экспорта РФ, ЦФО и Курской области</w:t>
      </w:r>
    </w:p>
    <w:p>
      <w:pPr>
        <w:pStyle w:val="2"/>
        <w:jc w:val="center"/>
      </w:pPr>
      <w:r>
        <w:rPr>
          <w:sz w:val="20"/>
        </w:rPr>
        <w:t xml:space="preserve">(относительно уровня предыдущего года)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26"/>
        <w:gridCol w:w="907"/>
        <w:gridCol w:w="907"/>
        <w:gridCol w:w="907"/>
        <w:gridCol w:w="907"/>
        <w:gridCol w:w="907"/>
      </w:tblGrid>
      <w:tr>
        <w:tc>
          <w:tcPr>
            <w:tcW w:w="4526" w:type="dxa"/>
          </w:tcPr>
          <w:p>
            <w:pPr>
              <w:pStyle w:val="0"/>
              <w:jc w:val="center"/>
            </w:pPr>
            <w:r>
              <w:rPr>
                <w:sz w:val="20"/>
              </w:rPr>
              <w:t xml:space="preserve">Территория</w:t>
            </w:r>
          </w:p>
        </w:tc>
        <w:tc>
          <w:tcPr>
            <w:tcW w:w="907" w:type="dxa"/>
          </w:tcPr>
          <w:p>
            <w:pPr>
              <w:pStyle w:val="0"/>
              <w:jc w:val="center"/>
            </w:pPr>
            <w:r>
              <w:rPr>
                <w:sz w:val="20"/>
              </w:rPr>
              <w:t xml:space="preserve">2014 г.</w:t>
            </w:r>
          </w:p>
        </w:tc>
        <w:tc>
          <w:tcPr>
            <w:tcW w:w="907" w:type="dxa"/>
          </w:tcPr>
          <w:p>
            <w:pPr>
              <w:pStyle w:val="0"/>
              <w:jc w:val="center"/>
            </w:pPr>
            <w:r>
              <w:rPr>
                <w:sz w:val="20"/>
              </w:rPr>
              <w:t xml:space="preserve">2015 г.</w:t>
            </w:r>
          </w:p>
        </w:tc>
        <w:tc>
          <w:tcPr>
            <w:tcW w:w="907" w:type="dxa"/>
          </w:tcPr>
          <w:p>
            <w:pPr>
              <w:pStyle w:val="0"/>
              <w:jc w:val="center"/>
            </w:pPr>
            <w:r>
              <w:rPr>
                <w:sz w:val="20"/>
              </w:rPr>
              <w:t xml:space="preserve">2016 г.</w:t>
            </w:r>
          </w:p>
        </w:tc>
        <w:tc>
          <w:tcPr>
            <w:tcW w:w="907" w:type="dxa"/>
          </w:tcPr>
          <w:p>
            <w:pPr>
              <w:pStyle w:val="0"/>
              <w:jc w:val="center"/>
            </w:pPr>
            <w:r>
              <w:rPr>
                <w:sz w:val="20"/>
              </w:rPr>
              <w:t xml:space="preserve">2017 г.</w:t>
            </w:r>
          </w:p>
        </w:tc>
        <w:tc>
          <w:tcPr>
            <w:tcW w:w="907" w:type="dxa"/>
          </w:tcPr>
          <w:p>
            <w:pPr>
              <w:pStyle w:val="0"/>
              <w:jc w:val="center"/>
            </w:pPr>
            <w:r>
              <w:rPr>
                <w:sz w:val="20"/>
              </w:rPr>
              <w:t xml:space="preserve">2018 г.</w:t>
            </w:r>
          </w:p>
        </w:tc>
      </w:tr>
      <w:tr>
        <w:tc>
          <w:tcPr>
            <w:tcW w:w="4526" w:type="dxa"/>
          </w:tcPr>
          <w:p>
            <w:pPr>
              <w:pStyle w:val="0"/>
              <w:jc w:val="both"/>
            </w:pPr>
            <w:r>
              <w:rPr>
                <w:sz w:val="20"/>
              </w:rPr>
              <w:t xml:space="preserve">РФ, млрд. долл. США</w:t>
            </w:r>
          </w:p>
        </w:tc>
        <w:tc>
          <w:tcPr>
            <w:tcW w:w="907" w:type="dxa"/>
          </w:tcPr>
          <w:p>
            <w:pPr>
              <w:pStyle w:val="0"/>
              <w:jc w:val="center"/>
            </w:pPr>
            <w:r>
              <w:rPr>
                <w:sz w:val="20"/>
              </w:rPr>
              <w:t xml:space="preserve">95%</w:t>
            </w:r>
          </w:p>
        </w:tc>
        <w:tc>
          <w:tcPr>
            <w:tcW w:w="907" w:type="dxa"/>
          </w:tcPr>
          <w:p>
            <w:pPr>
              <w:pStyle w:val="0"/>
              <w:jc w:val="center"/>
            </w:pPr>
            <w:r>
              <w:rPr>
                <w:sz w:val="20"/>
              </w:rPr>
              <w:t xml:space="preserve">69%</w:t>
            </w:r>
          </w:p>
        </w:tc>
        <w:tc>
          <w:tcPr>
            <w:tcW w:w="907" w:type="dxa"/>
          </w:tcPr>
          <w:p>
            <w:pPr>
              <w:pStyle w:val="0"/>
              <w:jc w:val="center"/>
            </w:pPr>
            <w:r>
              <w:rPr>
                <w:sz w:val="20"/>
              </w:rPr>
              <w:t xml:space="preserve">83%</w:t>
            </w:r>
          </w:p>
        </w:tc>
        <w:tc>
          <w:tcPr>
            <w:tcW w:w="907" w:type="dxa"/>
          </w:tcPr>
          <w:p>
            <w:pPr>
              <w:pStyle w:val="0"/>
              <w:jc w:val="center"/>
            </w:pPr>
            <w:r>
              <w:rPr>
                <w:sz w:val="20"/>
              </w:rPr>
              <w:t xml:space="preserve">125%</w:t>
            </w:r>
          </w:p>
        </w:tc>
        <w:tc>
          <w:tcPr>
            <w:tcW w:w="907" w:type="dxa"/>
          </w:tcPr>
          <w:p>
            <w:pPr>
              <w:pStyle w:val="0"/>
              <w:jc w:val="center"/>
            </w:pPr>
            <w:r>
              <w:rPr>
                <w:sz w:val="20"/>
              </w:rPr>
              <w:t xml:space="preserve">126%</w:t>
            </w:r>
          </w:p>
        </w:tc>
      </w:tr>
      <w:tr>
        <w:tc>
          <w:tcPr>
            <w:tcW w:w="4526" w:type="dxa"/>
          </w:tcPr>
          <w:p>
            <w:pPr>
              <w:pStyle w:val="0"/>
              <w:jc w:val="both"/>
            </w:pPr>
            <w:r>
              <w:rPr>
                <w:sz w:val="20"/>
              </w:rPr>
              <w:t xml:space="preserve">ЦФО, млн. долл. США</w:t>
            </w:r>
          </w:p>
        </w:tc>
        <w:tc>
          <w:tcPr>
            <w:tcW w:w="907" w:type="dxa"/>
          </w:tcPr>
          <w:p>
            <w:pPr>
              <w:pStyle w:val="0"/>
              <w:jc w:val="center"/>
            </w:pPr>
            <w:r>
              <w:rPr>
                <w:sz w:val="20"/>
              </w:rPr>
              <w:t xml:space="preserve">100%</w:t>
            </w:r>
          </w:p>
        </w:tc>
        <w:tc>
          <w:tcPr>
            <w:tcW w:w="907" w:type="dxa"/>
          </w:tcPr>
          <w:p>
            <w:pPr>
              <w:pStyle w:val="0"/>
              <w:jc w:val="center"/>
            </w:pPr>
            <w:r>
              <w:rPr>
                <w:sz w:val="20"/>
              </w:rPr>
              <w:t xml:space="preserve">66%</w:t>
            </w:r>
          </w:p>
        </w:tc>
        <w:tc>
          <w:tcPr>
            <w:tcW w:w="907" w:type="dxa"/>
          </w:tcPr>
          <w:p>
            <w:pPr>
              <w:pStyle w:val="0"/>
              <w:jc w:val="center"/>
            </w:pPr>
            <w:r>
              <w:rPr>
                <w:sz w:val="20"/>
              </w:rPr>
              <w:t xml:space="preserve">81%</w:t>
            </w:r>
          </w:p>
        </w:tc>
        <w:tc>
          <w:tcPr>
            <w:tcW w:w="907" w:type="dxa"/>
          </w:tcPr>
          <w:p>
            <w:pPr>
              <w:pStyle w:val="0"/>
              <w:jc w:val="center"/>
            </w:pPr>
            <w:r>
              <w:rPr>
                <w:sz w:val="20"/>
              </w:rPr>
              <w:t xml:space="preserve">127%</w:t>
            </w:r>
          </w:p>
        </w:tc>
        <w:tc>
          <w:tcPr>
            <w:tcW w:w="907" w:type="dxa"/>
          </w:tcPr>
          <w:p>
            <w:pPr>
              <w:pStyle w:val="0"/>
              <w:jc w:val="center"/>
            </w:pPr>
            <w:r>
              <w:rPr>
                <w:sz w:val="20"/>
              </w:rPr>
              <w:t xml:space="preserve">129%</w:t>
            </w:r>
          </w:p>
        </w:tc>
      </w:tr>
      <w:tr>
        <w:tc>
          <w:tcPr>
            <w:tcW w:w="4526" w:type="dxa"/>
          </w:tcPr>
          <w:p>
            <w:pPr>
              <w:pStyle w:val="0"/>
              <w:jc w:val="both"/>
            </w:pPr>
            <w:r>
              <w:rPr>
                <w:sz w:val="20"/>
              </w:rPr>
              <w:t xml:space="preserve">ЦФО (без Москвы), млн. долл. США</w:t>
            </w:r>
          </w:p>
        </w:tc>
        <w:tc>
          <w:tcPr>
            <w:tcW w:w="907" w:type="dxa"/>
          </w:tcPr>
          <w:p>
            <w:pPr>
              <w:pStyle w:val="0"/>
              <w:jc w:val="center"/>
            </w:pPr>
            <w:r>
              <w:rPr>
                <w:sz w:val="20"/>
              </w:rPr>
              <w:t xml:space="preserve">90%</w:t>
            </w:r>
          </w:p>
        </w:tc>
        <w:tc>
          <w:tcPr>
            <w:tcW w:w="907" w:type="dxa"/>
          </w:tcPr>
          <w:p>
            <w:pPr>
              <w:pStyle w:val="0"/>
              <w:jc w:val="center"/>
            </w:pPr>
            <w:r>
              <w:rPr>
                <w:sz w:val="20"/>
              </w:rPr>
              <w:t xml:space="preserve">79%</w:t>
            </w:r>
          </w:p>
        </w:tc>
        <w:tc>
          <w:tcPr>
            <w:tcW w:w="907" w:type="dxa"/>
          </w:tcPr>
          <w:p>
            <w:pPr>
              <w:pStyle w:val="0"/>
              <w:jc w:val="center"/>
            </w:pPr>
            <w:r>
              <w:rPr>
                <w:sz w:val="20"/>
              </w:rPr>
              <w:t xml:space="preserve">95%</w:t>
            </w:r>
          </w:p>
        </w:tc>
        <w:tc>
          <w:tcPr>
            <w:tcW w:w="907" w:type="dxa"/>
          </w:tcPr>
          <w:p>
            <w:pPr>
              <w:pStyle w:val="0"/>
              <w:jc w:val="center"/>
            </w:pPr>
            <w:r>
              <w:rPr>
                <w:sz w:val="20"/>
              </w:rPr>
              <w:t xml:space="preserve">133%</w:t>
            </w:r>
          </w:p>
        </w:tc>
        <w:tc>
          <w:tcPr>
            <w:tcW w:w="907" w:type="dxa"/>
          </w:tcPr>
          <w:p>
            <w:pPr>
              <w:pStyle w:val="0"/>
              <w:jc w:val="center"/>
            </w:pPr>
            <w:r>
              <w:rPr>
                <w:sz w:val="20"/>
              </w:rPr>
              <w:t xml:space="preserve">111%</w:t>
            </w:r>
          </w:p>
        </w:tc>
      </w:tr>
      <w:tr>
        <w:tc>
          <w:tcPr>
            <w:tcW w:w="4526" w:type="dxa"/>
          </w:tcPr>
          <w:p>
            <w:pPr>
              <w:pStyle w:val="0"/>
              <w:jc w:val="both"/>
            </w:pPr>
            <w:r>
              <w:rPr>
                <w:sz w:val="20"/>
              </w:rPr>
              <w:t xml:space="preserve">Курская область</w:t>
            </w:r>
          </w:p>
        </w:tc>
        <w:tc>
          <w:tcPr>
            <w:tcW w:w="907" w:type="dxa"/>
          </w:tcPr>
          <w:p>
            <w:pPr>
              <w:pStyle w:val="0"/>
              <w:jc w:val="center"/>
            </w:pPr>
            <w:r>
              <w:rPr>
                <w:sz w:val="20"/>
              </w:rPr>
              <w:t xml:space="preserve">83%</w:t>
            </w:r>
          </w:p>
        </w:tc>
        <w:tc>
          <w:tcPr>
            <w:tcW w:w="907" w:type="dxa"/>
          </w:tcPr>
          <w:p>
            <w:pPr>
              <w:pStyle w:val="0"/>
              <w:jc w:val="center"/>
            </w:pPr>
            <w:r>
              <w:rPr>
                <w:sz w:val="20"/>
              </w:rPr>
              <w:t xml:space="preserve">69%</w:t>
            </w:r>
          </w:p>
        </w:tc>
        <w:tc>
          <w:tcPr>
            <w:tcW w:w="907" w:type="dxa"/>
          </w:tcPr>
          <w:p>
            <w:pPr>
              <w:pStyle w:val="0"/>
              <w:jc w:val="center"/>
            </w:pPr>
            <w:r>
              <w:rPr>
                <w:sz w:val="20"/>
              </w:rPr>
              <w:t xml:space="preserve">114%</w:t>
            </w:r>
          </w:p>
        </w:tc>
        <w:tc>
          <w:tcPr>
            <w:tcW w:w="907" w:type="dxa"/>
          </w:tcPr>
          <w:p>
            <w:pPr>
              <w:pStyle w:val="0"/>
              <w:jc w:val="center"/>
            </w:pPr>
            <w:r>
              <w:rPr>
                <w:sz w:val="20"/>
              </w:rPr>
              <w:t xml:space="preserve">137%</w:t>
            </w:r>
          </w:p>
        </w:tc>
        <w:tc>
          <w:tcPr>
            <w:tcW w:w="907" w:type="dxa"/>
          </w:tcPr>
          <w:p>
            <w:pPr>
              <w:pStyle w:val="0"/>
              <w:jc w:val="center"/>
            </w:pPr>
            <w:r>
              <w:rPr>
                <w:sz w:val="20"/>
              </w:rPr>
              <w:t xml:space="preserve">110%</w:t>
            </w:r>
          </w:p>
        </w:tc>
      </w:tr>
    </w:tbl>
    <w:p>
      <w:pPr>
        <w:pStyle w:val="0"/>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расчет АО "Альянс Консалтинг".</w:t>
      </w:r>
    </w:p>
    <w:p>
      <w:pPr>
        <w:pStyle w:val="0"/>
        <w:ind w:firstLine="540"/>
        <w:jc w:val="both"/>
      </w:pPr>
      <w:r>
        <w:rPr>
          <w:sz w:val="20"/>
        </w:rPr>
      </w:r>
    </w:p>
    <w:p>
      <w:pPr>
        <w:pStyle w:val="2"/>
        <w:outlineLvl w:val="4"/>
        <w:ind w:firstLine="540"/>
        <w:jc w:val="both"/>
      </w:pPr>
      <w:r>
        <w:rPr>
          <w:sz w:val="20"/>
        </w:rPr>
        <w:t xml:space="preserve">Открытость экономики</w:t>
      </w:r>
    </w:p>
    <w:p>
      <w:pPr>
        <w:pStyle w:val="0"/>
        <w:ind w:firstLine="540"/>
        <w:jc w:val="both"/>
      </w:pPr>
      <w:r>
        <w:rPr>
          <w:sz w:val="20"/>
        </w:rPr>
      </w:r>
    </w:p>
    <w:p>
      <w:pPr>
        <w:pStyle w:val="0"/>
        <w:ind w:firstLine="540"/>
        <w:jc w:val="both"/>
      </w:pPr>
      <w:r>
        <w:rPr>
          <w:sz w:val="20"/>
        </w:rPr>
        <w:t xml:space="preserve">Степень вовлеченности региона во внешнеэкономическую деятельность свидетельствует о недостаточной открытости экономики Курской области для внешней торговли. Индекс внешнеэкономической открытости региона, рассчитываемый как отношение внешнеторгового товарооборота к ВРП, составил 16,2% в 2017 году, при этом значение аналогичного показателя для Российской Федерации составило 37,2% &lt;2&gt;. Динамика данного показателя для Курской области негативна - по сравнению с 2016 годом снижение индекса составило 0,3 процентных пункта.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При расчете индекса открытости для Российской Федерации использовалось соотношение внешнеторгового оборота РФ к ВВП (более подробно о расчете индекса открытости в </w:t>
      </w:r>
      <w:hyperlink w:history="0" w:anchor="P7597" w:tooltip="Приложение N 1">
        <w:r>
          <w:rPr>
            <w:sz w:val="20"/>
            <w:color w:val="0000ff"/>
          </w:rPr>
          <w:t xml:space="preserve">приложении N 1</w:t>
        </w:r>
      </w:hyperlink>
      <w:r>
        <w:rPr>
          <w:sz w:val="20"/>
        </w:rPr>
        <w:t xml:space="preserve">).</w:t>
      </w:r>
    </w:p>
    <w:p>
      <w:pPr>
        <w:pStyle w:val="0"/>
        <w:ind w:firstLine="540"/>
        <w:jc w:val="both"/>
      </w:pPr>
      <w:r>
        <w:rPr>
          <w:sz w:val="20"/>
        </w:rPr>
      </w:r>
    </w:p>
    <w:p>
      <w:pPr>
        <w:pStyle w:val="0"/>
        <w:ind w:firstLine="540"/>
        <w:jc w:val="both"/>
      </w:pPr>
      <w:r>
        <w:rPr>
          <w:sz w:val="20"/>
        </w:rPr>
        <w:t xml:space="preserve">Анализ динамики внешней торговли Курской области показывает наметившееся расширение вовлеченности ресурсов экономики региона в систему международного разделения труда. Для оценки степени вовлечения ресурсов рассчитывается коэффициент эластичности экспорта как отношение прироста экспорта региона к приросту ВРП, который показывает, насколько изменяется объем экспорта при изменении размера ВРП на 1% &lt;3&gt;. В 2017 году величина коэффициента эластичности экспорта Курской области оставалась выше единицы, как и в 2016 году (таблица N 5). Считается, что если темпы роста регионального экспорта превышают темпы роста ВРП, то экономика региона в большей степени вовлекается в систему международного разделения труда, чем в тех регионах, где наблюдается отставание темпов роста экспорта. Наблюдавшееся в 2014 - 2016 гг. колебание значений данного коэффициента свидетельствовало о том, что региону не удавалось обеспечить постоянное опережение темпов роста экспорта по сравнению с темпами роста ВРП, что, в свою очередь, говорило о недоиспользовании ресурсных возможностей Курской области в рамках мировой экономики &lt;4&gt;. Однако, данные 2017 года позволяют предположить, что предприятиям региона удается реализовать усилия по включению в мирохозяйственные связи.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Казитова Э.И. Оценка внешнеторговой деятельности регионов СФО, 2015. http://www.lib.tpu.ru/fulltext/c/2015/C40/V1/050.pdf.</w:t>
      </w:r>
    </w:p>
    <w:p>
      <w:pPr>
        <w:pStyle w:val="0"/>
        <w:spacing w:before="200" w:line-rule="auto"/>
        <w:ind w:firstLine="540"/>
        <w:jc w:val="both"/>
      </w:pPr>
      <w:r>
        <w:rPr>
          <w:sz w:val="20"/>
        </w:rPr>
        <w:t xml:space="preserve">&lt;4&gt; Ускова Т.В., Дедков С.М., Смирнова Т.Г., Селименков Р.Ю., Асанович В.Я. Межрегиональное сотрудничество как фактор интеграционных процессов России и Республики Беларусь. - Вологда, 2011.</w:t>
      </w:r>
    </w:p>
    <w:p>
      <w:pPr>
        <w:pStyle w:val="0"/>
        <w:ind w:firstLine="540"/>
        <w:jc w:val="both"/>
      </w:pPr>
      <w:r>
        <w:rPr>
          <w:sz w:val="20"/>
        </w:rPr>
      </w:r>
    </w:p>
    <w:p>
      <w:pPr>
        <w:pStyle w:val="0"/>
        <w:outlineLvl w:val="5"/>
        <w:jc w:val="right"/>
      </w:pPr>
      <w:r>
        <w:rPr>
          <w:sz w:val="20"/>
        </w:rPr>
        <w:t xml:space="preserve">Таблица N 5</w:t>
      </w:r>
    </w:p>
    <w:p>
      <w:pPr>
        <w:pStyle w:val="0"/>
        <w:jc w:val="center"/>
      </w:pPr>
      <w:r>
        <w:rPr>
          <w:sz w:val="20"/>
        </w:rPr>
      </w:r>
    </w:p>
    <w:p>
      <w:pPr>
        <w:pStyle w:val="2"/>
        <w:jc w:val="center"/>
      </w:pPr>
      <w:r>
        <w:rPr>
          <w:sz w:val="20"/>
        </w:rPr>
        <w:t xml:space="preserve">Коэффициенты эластичности экспорта Курской области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56"/>
        <w:gridCol w:w="1162"/>
        <w:gridCol w:w="1162"/>
        <w:gridCol w:w="1162"/>
        <w:gridCol w:w="1162"/>
        <w:gridCol w:w="1163"/>
      </w:tblGrid>
      <w:tr>
        <w:tc>
          <w:tcPr>
            <w:tcW w:w="3256" w:type="dxa"/>
          </w:tcPr>
          <w:p>
            <w:pPr>
              <w:pStyle w:val="0"/>
              <w:jc w:val="center"/>
            </w:pPr>
            <w:r>
              <w:rPr>
                <w:sz w:val="20"/>
              </w:rPr>
              <w:t xml:space="preserve">Показатель</w:t>
            </w:r>
          </w:p>
        </w:tc>
        <w:tc>
          <w:tcPr>
            <w:tcW w:w="1162" w:type="dxa"/>
          </w:tcPr>
          <w:p>
            <w:pPr>
              <w:pStyle w:val="0"/>
              <w:jc w:val="center"/>
            </w:pPr>
            <w:r>
              <w:rPr>
                <w:sz w:val="20"/>
              </w:rPr>
              <w:t xml:space="preserve">2013 г.</w:t>
            </w:r>
          </w:p>
        </w:tc>
        <w:tc>
          <w:tcPr>
            <w:tcW w:w="1162" w:type="dxa"/>
          </w:tcPr>
          <w:p>
            <w:pPr>
              <w:pStyle w:val="0"/>
              <w:jc w:val="center"/>
            </w:pPr>
            <w:r>
              <w:rPr>
                <w:sz w:val="20"/>
              </w:rPr>
              <w:t xml:space="preserve">2014 г.</w:t>
            </w:r>
          </w:p>
        </w:tc>
        <w:tc>
          <w:tcPr>
            <w:tcW w:w="1162" w:type="dxa"/>
          </w:tcPr>
          <w:p>
            <w:pPr>
              <w:pStyle w:val="0"/>
              <w:jc w:val="center"/>
            </w:pPr>
            <w:r>
              <w:rPr>
                <w:sz w:val="20"/>
              </w:rPr>
              <w:t xml:space="preserve">2015 г.</w:t>
            </w:r>
          </w:p>
        </w:tc>
        <w:tc>
          <w:tcPr>
            <w:tcW w:w="1162" w:type="dxa"/>
          </w:tcPr>
          <w:p>
            <w:pPr>
              <w:pStyle w:val="0"/>
              <w:jc w:val="center"/>
            </w:pPr>
            <w:r>
              <w:rPr>
                <w:sz w:val="20"/>
              </w:rPr>
              <w:t xml:space="preserve">2016 г.</w:t>
            </w:r>
          </w:p>
        </w:tc>
        <w:tc>
          <w:tcPr>
            <w:tcW w:w="1163" w:type="dxa"/>
          </w:tcPr>
          <w:p>
            <w:pPr>
              <w:pStyle w:val="0"/>
              <w:jc w:val="center"/>
            </w:pPr>
            <w:r>
              <w:rPr>
                <w:sz w:val="20"/>
              </w:rPr>
              <w:t xml:space="preserve">2017 г.</w:t>
            </w:r>
          </w:p>
        </w:tc>
      </w:tr>
      <w:tr>
        <w:tc>
          <w:tcPr>
            <w:tcW w:w="3256" w:type="dxa"/>
          </w:tcPr>
          <w:p>
            <w:pPr>
              <w:pStyle w:val="0"/>
            </w:pPr>
            <w:r>
              <w:rPr>
                <w:sz w:val="20"/>
              </w:rPr>
              <w:t xml:space="preserve">ВРП, млн. рублей</w:t>
            </w:r>
          </w:p>
        </w:tc>
        <w:tc>
          <w:tcPr>
            <w:tcW w:w="1162" w:type="dxa"/>
          </w:tcPr>
          <w:p>
            <w:pPr>
              <w:pStyle w:val="0"/>
              <w:jc w:val="center"/>
            </w:pPr>
            <w:r>
              <w:rPr>
                <w:sz w:val="20"/>
              </w:rPr>
              <w:t xml:space="preserve">271543</w:t>
            </w:r>
          </w:p>
        </w:tc>
        <w:tc>
          <w:tcPr>
            <w:tcW w:w="1162" w:type="dxa"/>
          </w:tcPr>
          <w:p>
            <w:pPr>
              <w:pStyle w:val="0"/>
              <w:jc w:val="center"/>
            </w:pPr>
            <w:r>
              <w:rPr>
                <w:sz w:val="20"/>
              </w:rPr>
              <w:t xml:space="preserve">298287</w:t>
            </w:r>
          </w:p>
        </w:tc>
        <w:tc>
          <w:tcPr>
            <w:tcW w:w="1162" w:type="dxa"/>
          </w:tcPr>
          <w:p>
            <w:pPr>
              <w:pStyle w:val="0"/>
              <w:jc w:val="center"/>
            </w:pPr>
            <w:r>
              <w:rPr>
                <w:sz w:val="20"/>
              </w:rPr>
              <w:t xml:space="preserve">336999</w:t>
            </w:r>
          </w:p>
        </w:tc>
        <w:tc>
          <w:tcPr>
            <w:tcW w:w="1162" w:type="dxa"/>
          </w:tcPr>
          <w:p>
            <w:pPr>
              <w:pStyle w:val="0"/>
              <w:jc w:val="center"/>
            </w:pPr>
            <w:r>
              <w:rPr>
                <w:sz w:val="20"/>
              </w:rPr>
              <w:t xml:space="preserve">362393</w:t>
            </w:r>
          </w:p>
        </w:tc>
        <w:tc>
          <w:tcPr>
            <w:tcW w:w="1163" w:type="dxa"/>
          </w:tcPr>
          <w:p>
            <w:pPr>
              <w:pStyle w:val="0"/>
              <w:jc w:val="center"/>
            </w:pPr>
            <w:r>
              <w:rPr>
                <w:sz w:val="20"/>
              </w:rPr>
              <w:t xml:space="preserve">387577</w:t>
            </w:r>
          </w:p>
        </w:tc>
      </w:tr>
      <w:tr>
        <w:tc>
          <w:tcPr>
            <w:tcW w:w="3256" w:type="dxa"/>
          </w:tcPr>
          <w:p>
            <w:pPr>
              <w:pStyle w:val="0"/>
            </w:pPr>
            <w:r>
              <w:rPr>
                <w:sz w:val="20"/>
              </w:rPr>
              <w:t xml:space="preserve">Экспорт, млн. долл. США</w:t>
            </w:r>
          </w:p>
        </w:tc>
        <w:tc>
          <w:tcPr>
            <w:tcW w:w="1162" w:type="dxa"/>
          </w:tcPr>
          <w:p>
            <w:pPr>
              <w:pStyle w:val="0"/>
              <w:jc w:val="center"/>
            </w:pPr>
            <w:r>
              <w:rPr>
                <w:sz w:val="20"/>
              </w:rPr>
              <w:t xml:space="preserve">696,0</w:t>
            </w:r>
          </w:p>
        </w:tc>
        <w:tc>
          <w:tcPr>
            <w:tcW w:w="1162" w:type="dxa"/>
          </w:tcPr>
          <w:p>
            <w:pPr>
              <w:pStyle w:val="0"/>
              <w:jc w:val="center"/>
            </w:pPr>
            <w:r>
              <w:rPr>
                <w:sz w:val="20"/>
              </w:rPr>
              <w:t xml:space="preserve">577,3</w:t>
            </w:r>
          </w:p>
        </w:tc>
        <w:tc>
          <w:tcPr>
            <w:tcW w:w="1162" w:type="dxa"/>
          </w:tcPr>
          <w:p>
            <w:pPr>
              <w:pStyle w:val="0"/>
              <w:jc w:val="center"/>
            </w:pPr>
            <w:r>
              <w:rPr>
                <w:sz w:val="20"/>
              </w:rPr>
              <w:t xml:space="preserve">396,4</w:t>
            </w:r>
          </w:p>
        </w:tc>
        <w:tc>
          <w:tcPr>
            <w:tcW w:w="1162" w:type="dxa"/>
          </w:tcPr>
          <w:p>
            <w:pPr>
              <w:pStyle w:val="0"/>
              <w:jc w:val="center"/>
            </w:pPr>
            <w:r>
              <w:rPr>
                <w:sz w:val="20"/>
              </w:rPr>
              <w:t xml:space="preserve">452,9</w:t>
            </w:r>
          </w:p>
        </w:tc>
        <w:tc>
          <w:tcPr>
            <w:tcW w:w="1163" w:type="dxa"/>
          </w:tcPr>
          <w:p>
            <w:pPr>
              <w:pStyle w:val="0"/>
              <w:jc w:val="center"/>
            </w:pPr>
            <w:r>
              <w:rPr>
                <w:sz w:val="20"/>
              </w:rPr>
              <w:t xml:space="preserve">622,3</w:t>
            </w:r>
          </w:p>
        </w:tc>
      </w:tr>
      <w:tr>
        <w:tc>
          <w:tcPr>
            <w:tcW w:w="3256" w:type="dxa"/>
          </w:tcPr>
          <w:p>
            <w:pPr>
              <w:pStyle w:val="0"/>
            </w:pPr>
            <w:r>
              <w:rPr>
                <w:sz w:val="20"/>
              </w:rPr>
              <w:t xml:space="preserve">Динамика ВРП</w:t>
            </w:r>
          </w:p>
        </w:tc>
        <w:tc>
          <w:tcPr>
            <w:tcW w:w="1162" w:type="dxa"/>
          </w:tcPr>
          <w:p>
            <w:pPr>
              <w:pStyle w:val="0"/>
              <w:jc w:val="center"/>
            </w:pPr>
            <w:r>
              <w:rPr>
                <w:sz w:val="20"/>
              </w:rPr>
              <w:t xml:space="preserve">-</w:t>
            </w:r>
          </w:p>
        </w:tc>
        <w:tc>
          <w:tcPr>
            <w:tcW w:w="1162" w:type="dxa"/>
          </w:tcPr>
          <w:p>
            <w:pPr>
              <w:pStyle w:val="0"/>
              <w:jc w:val="center"/>
            </w:pPr>
            <w:r>
              <w:rPr>
                <w:sz w:val="20"/>
              </w:rPr>
              <w:t xml:space="preserve">110%</w:t>
            </w:r>
          </w:p>
        </w:tc>
        <w:tc>
          <w:tcPr>
            <w:tcW w:w="1162" w:type="dxa"/>
          </w:tcPr>
          <w:p>
            <w:pPr>
              <w:pStyle w:val="0"/>
              <w:jc w:val="center"/>
            </w:pPr>
            <w:r>
              <w:rPr>
                <w:sz w:val="20"/>
              </w:rPr>
              <w:t xml:space="preserve">113%</w:t>
            </w:r>
          </w:p>
        </w:tc>
        <w:tc>
          <w:tcPr>
            <w:tcW w:w="1162" w:type="dxa"/>
          </w:tcPr>
          <w:p>
            <w:pPr>
              <w:pStyle w:val="0"/>
              <w:jc w:val="center"/>
            </w:pPr>
            <w:r>
              <w:rPr>
                <w:sz w:val="20"/>
              </w:rPr>
              <w:t xml:space="preserve">108%</w:t>
            </w:r>
          </w:p>
        </w:tc>
        <w:tc>
          <w:tcPr>
            <w:tcW w:w="1163" w:type="dxa"/>
          </w:tcPr>
          <w:p>
            <w:pPr>
              <w:pStyle w:val="0"/>
              <w:jc w:val="center"/>
            </w:pPr>
            <w:r>
              <w:rPr>
                <w:sz w:val="20"/>
              </w:rPr>
              <w:t xml:space="preserve">107%</w:t>
            </w:r>
          </w:p>
        </w:tc>
      </w:tr>
      <w:tr>
        <w:tc>
          <w:tcPr>
            <w:tcW w:w="3256" w:type="dxa"/>
          </w:tcPr>
          <w:p>
            <w:pPr>
              <w:pStyle w:val="0"/>
            </w:pPr>
            <w:r>
              <w:rPr>
                <w:sz w:val="20"/>
              </w:rPr>
              <w:t xml:space="preserve">Динамика экспорта (в рублевом выражении)</w:t>
            </w:r>
          </w:p>
        </w:tc>
        <w:tc>
          <w:tcPr>
            <w:tcW w:w="1162" w:type="dxa"/>
          </w:tcPr>
          <w:p>
            <w:pPr>
              <w:pStyle w:val="0"/>
              <w:jc w:val="center"/>
            </w:pPr>
            <w:r>
              <w:rPr>
                <w:sz w:val="20"/>
              </w:rPr>
              <w:t xml:space="preserve">-</w:t>
            </w:r>
          </w:p>
        </w:tc>
        <w:tc>
          <w:tcPr>
            <w:tcW w:w="1162" w:type="dxa"/>
          </w:tcPr>
          <w:p>
            <w:pPr>
              <w:pStyle w:val="0"/>
              <w:jc w:val="center"/>
            </w:pPr>
            <w:r>
              <w:rPr>
                <w:sz w:val="20"/>
              </w:rPr>
              <w:t xml:space="preserve">100%</w:t>
            </w:r>
          </w:p>
        </w:tc>
        <w:tc>
          <w:tcPr>
            <w:tcW w:w="1162" w:type="dxa"/>
          </w:tcPr>
          <w:p>
            <w:pPr>
              <w:pStyle w:val="0"/>
              <w:jc w:val="center"/>
            </w:pPr>
            <w:r>
              <w:rPr>
                <w:sz w:val="20"/>
              </w:rPr>
              <w:t xml:space="preserve">109%</w:t>
            </w:r>
          </w:p>
        </w:tc>
        <w:tc>
          <w:tcPr>
            <w:tcW w:w="1162" w:type="dxa"/>
          </w:tcPr>
          <w:p>
            <w:pPr>
              <w:pStyle w:val="0"/>
              <w:jc w:val="center"/>
            </w:pPr>
            <w:r>
              <w:rPr>
                <w:sz w:val="20"/>
              </w:rPr>
              <w:t xml:space="preserve">126%</w:t>
            </w:r>
          </w:p>
        </w:tc>
        <w:tc>
          <w:tcPr>
            <w:tcW w:w="1163" w:type="dxa"/>
          </w:tcPr>
          <w:p>
            <w:pPr>
              <w:pStyle w:val="0"/>
              <w:jc w:val="center"/>
            </w:pPr>
            <w:r>
              <w:rPr>
                <w:sz w:val="20"/>
              </w:rPr>
              <w:t xml:space="preserve">120%</w:t>
            </w:r>
          </w:p>
        </w:tc>
      </w:tr>
      <w:tr>
        <w:tc>
          <w:tcPr>
            <w:tcW w:w="3256" w:type="dxa"/>
          </w:tcPr>
          <w:p>
            <w:pPr>
              <w:pStyle w:val="0"/>
            </w:pPr>
            <w:r>
              <w:rPr>
                <w:sz w:val="20"/>
              </w:rPr>
              <w:t xml:space="preserve">Коэффициент эластичности экспорта</w:t>
            </w:r>
          </w:p>
        </w:tc>
        <w:tc>
          <w:tcPr>
            <w:tcW w:w="1162" w:type="dxa"/>
          </w:tcPr>
          <w:p>
            <w:pPr>
              <w:pStyle w:val="0"/>
              <w:jc w:val="center"/>
            </w:pPr>
            <w:r>
              <w:rPr>
                <w:sz w:val="20"/>
              </w:rPr>
              <w:t xml:space="preserve">-</w:t>
            </w:r>
          </w:p>
        </w:tc>
        <w:tc>
          <w:tcPr>
            <w:tcW w:w="1162" w:type="dxa"/>
          </w:tcPr>
          <w:p>
            <w:pPr>
              <w:pStyle w:val="0"/>
              <w:jc w:val="center"/>
            </w:pPr>
            <w:r>
              <w:rPr>
                <w:sz w:val="20"/>
              </w:rPr>
              <w:t xml:space="preserve">0,91</w:t>
            </w:r>
          </w:p>
        </w:tc>
        <w:tc>
          <w:tcPr>
            <w:tcW w:w="1162" w:type="dxa"/>
          </w:tcPr>
          <w:p>
            <w:pPr>
              <w:pStyle w:val="0"/>
              <w:jc w:val="center"/>
            </w:pPr>
            <w:r>
              <w:rPr>
                <w:sz w:val="20"/>
              </w:rPr>
              <w:t xml:space="preserve">0,97</w:t>
            </w:r>
          </w:p>
        </w:tc>
        <w:tc>
          <w:tcPr>
            <w:tcW w:w="1162" w:type="dxa"/>
          </w:tcPr>
          <w:p>
            <w:pPr>
              <w:pStyle w:val="0"/>
              <w:jc w:val="center"/>
            </w:pPr>
            <w:r>
              <w:rPr>
                <w:sz w:val="20"/>
              </w:rPr>
              <w:t xml:space="preserve">1,17</w:t>
            </w:r>
          </w:p>
        </w:tc>
        <w:tc>
          <w:tcPr>
            <w:tcW w:w="1163" w:type="dxa"/>
          </w:tcPr>
          <w:p>
            <w:pPr>
              <w:pStyle w:val="0"/>
              <w:jc w:val="center"/>
            </w:pPr>
            <w:r>
              <w:rPr>
                <w:sz w:val="20"/>
              </w:rPr>
              <w:t xml:space="preserve">1,12</w:t>
            </w:r>
          </w:p>
        </w:tc>
      </w:tr>
    </w:tbl>
    <w:p>
      <w:pPr>
        <w:pStyle w:val="0"/>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статистические сборники "Регионы России. Социально-экономические показатели" за 2014 - 2016 гг., расчет АО "Альянс Консалтинг".</w:t>
      </w:r>
    </w:p>
    <w:p>
      <w:pPr>
        <w:pStyle w:val="0"/>
        <w:ind w:firstLine="540"/>
        <w:jc w:val="both"/>
      </w:pPr>
      <w:r>
        <w:rPr>
          <w:sz w:val="20"/>
        </w:rPr>
      </w:r>
    </w:p>
    <w:p>
      <w:pPr>
        <w:pStyle w:val="2"/>
        <w:outlineLvl w:val="4"/>
        <w:ind w:firstLine="540"/>
        <w:jc w:val="both"/>
      </w:pPr>
      <w:r>
        <w:rPr>
          <w:sz w:val="20"/>
        </w:rPr>
        <w:t xml:space="preserve">Диверсификация экспорта и экономики региона</w:t>
      </w:r>
    </w:p>
    <w:p>
      <w:pPr>
        <w:pStyle w:val="0"/>
        <w:ind w:firstLine="540"/>
        <w:jc w:val="both"/>
      </w:pPr>
      <w:r>
        <w:rPr>
          <w:sz w:val="20"/>
        </w:rPr>
      </w:r>
    </w:p>
    <w:p>
      <w:pPr>
        <w:pStyle w:val="0"/>
        <w:ind w:firstLine="540"/>
        <w:jc w:val="both"/>
      </w:pPr>
      <w:r>
        <w:rPr>
          <w:sz w:val="20"/>
        </w:rPr>
        <w:t xml:space="preserve">Экспорт Курской области характеризуется относительно высокой степенью специализации - регион занимает 6-е место среди всех субъектов Российской Федерации по значению индекса диверсификации экспорта (на основании данных 2017 г.). На долю трех крупнейших экспортируемых товарных групп приходится 74,5% экспорта региона. В Белгородской области данный показатель равен 49%, в Смоленской области - 37%, в Воронежской области - 44%, в Орловской области - 40%, в Брянской области - 17% &lt;5&gt;. Высокая специализация связана с преобладанием в экспортных поставках одного товара (для Курской области - это минеральные продукты) при небольшом числе экспортирующихся товарных групп (98% экспорта приходится на шесть товарных групп: минеральные продукты, продовольственные товары и сельскохозяйственное сырье, продукцию химической промышленности; машины, оборудование и транспортные средства; металлы и изделия из них; текстиль, текстильные изделия и обувь). У всех регионов ЦФО, по которым проводится сравнение, кроме Брянской области, есть доминирующие продукты в экспорте, что повышает зависимость региона от рыночной конъюнктуры в отношении определенной группы товаров (для Курской области это экспорт руды и концентратов железных).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Здесь и далее, если не указано иное, в целях сравнения с показателями Курской области используются данные следующих регионов ЦФО: Белгородская область (схожая структура ВРП в части доли добычи полезных ископаемых и продукции АПК), Орловская и Брянская области (наиболее близкое соотношение отраслей в структуре валового регионального продукта), Воронежская область (сопоставимый уровень экспорта на душу населения (2017 г.), Смоленская и Брянская области (близость к ключевым географическим рынкам (Китай, Белоруссия, Украина, Казахстан).</w:t>
      </w:r>
    </w:p>
    <w:p>
      <w:pPr>
        <w:pStyle w:val="0"/>
        <w:ind w:firstLine="540"/>
        <w:jc w:val="both"/>
      </w:pPr>
      <w:r>
        <w:rPr>
          <w:sz w:val="20"/>
        </w:rPr>
      </w:r>
    </w:p>
    <w:p>
      <w:pPr>
        <w:pStyle w:val="0"/>
        <w:ind w:firstLine="540"/>
        <w:jc w:val="both"/>
      </w:pPr>
      <w:r>
        <w:rPr>
          <w:sz w:val="20"/>
        </w:rPr>
        <w:t xml:space="preserve">В отличие от экспорта экономика Курской области характеризуется относительно высокой степенью диверсификации - только в 18 субъектах Российской Федерации экономика более диверсифицирована, чем в Курской области. В условиях диверсифицированной экономики регион демонстрирует относительно невысокое соотношение объема экспорта к ВРП - 9,4% в 2017 году, что выше показателя в Орловской (6%), Брянской (5,2%) и Воронежской (8,9%) областях, но ниже, чем в Смоленской (22,7%) и Белгородской (20,7%) областях. Наблюдающийся разрыв в сбалансированности уровней диверсификации экономики и экспорта Курской области свидетельствует о неиспользуемом потенциале развития экспорта за счет товарных позиций, производимых на территории региона, но не вовлеченных во внешнеторговый оборот.</w:t>
      </w:r>
    </w:p>
    <w:p>
      <w:pPr>
        <w:pStyle w:val="0"/>
        <w:ind w:firstLine="540"/>
        <w:jc w:val="both"/>
      </w:pPr>
      <w:r>
        <w:rPr>
          <w:sz w:val="20"/>
        </w:rPr>
      </w:r>
    </w:p>
    <w:p>
      <w:pPr>
        <w:pStyle w:val="2"/>
        <w:outlineLvl w:val="4"/>
        <w:ind w:firstLine="540"/>
        <w:jc w:val="both"/>
      </w:pPr>
      <w:r>
        <w:rPr>
          <w:sz w:val="20"/>
        </w:rPr>
        <w:t xml:space="preserve">Несырьевой экспорт региона</w:t>
      </w:r>
    </w:p>
    <w:p>
      <w:pPr>
        <w:pStyle w:val="0"/>
        <w:ind w:firstLine="540"/>
        <w:jc w:val="both"/>
      </w:pPr>
      <w:r>
        <w:rPr>
          <w:sz w:val="20"/>
        </w:rPr>
      </w:r>
    </w:p>
    <w:p>
      <w:pPr>
        <w:pStyle w:val="0"/>
        <w:ind w:firstLine="540"/>
        <w:jc w:val="both"/>
      </w:pPr>
      <w:r>
        <w:rPr>
          <w:sz w:val="20"/>
        </w:rPr>
        <w:t xml:space="preserve">Объем несырьевого неэнергетического экспорта Курской области в 2018 году достиг 378,1 млн. долл. США. Прирост по сравнению с уровнем 2017 года составил 13% при среднегодовом темпе прироста 4% за период 2015 - 2017 гг.</w:t>
      </w:r>
    </w:p>
    <w:p>
      <w:pPr>
        <w:pStyle w:val="0"/>
        <w:spacing w:before="200" w:line-rule="auto"/>
        <w:ind w:firstLine="540"/>
        <w:jc w:val="both"/>
      </w:pPr>
      <w:r>
        <w:rPr>
          <w:sz w:val="20"/>
        </w:rPr>
        <w:t xml:space="preserve">В структуре экспорта региона преобладает несырьевой экспорт, на долю которого приходится 55,3% от общего объема экспорта. Данный уровень близок к общероссийскому показателю, который в 2017 году составил 55,1%. Доля несырьевого экспорта уменьшилась по сравнению с 2015 - 2016 гг., когда она достигала 74 и 72% соответственно, но увеличилась по сравнению с 2017 годом (53,8%). Увеличение доли сырьевого экспорта в общем объеме экспорта Курской области связано, прежде всего, с темпами его роста, существенно опережающими темпы роста несырьевого экспорта - сырьевой экспорт в 2017 году вырос в 2,3 раза по сравнению с уровнем 2016 года и продолжил свой рост в 2018 году (6,2% по сравнению с уровнем предыдущего года).</w:t>
      </w:r>
    </w:p>
    <w:p>
      <w:pPr>
        <w:pStyle w:val="0"/>
        <w:jc w:val="center"/>
      </w:pPr>
      <w:r>
        <w:rPr>
          <w:sz w:val="20"/>
        </w:rPr>
      </w:r>
    </w:p>
    <w:p>
      <w:pPr>
        <w:pStyle w:val="0"/>
        <w:outlineLvl w:val="5"/>
        <w:jc w:val="right"/>
      </w:pPr>
      <w:r>
        <w:rPr>
          <w:sz w:val="20"/>
        </w:rPr>
        <w:t xml:space="preserve">Таблица N 6</w:t>
      </w:r>
    </w:p>
    <w:p>
      <w:pPr>
        <w:pStyle w:val="0"/>
        <w:jc w:val="center"/>
      </w:pPr>
      <w:r>
        <w:rPr>
          <w:sz w:val="20"/>
        </w:rPr>
      </w:r>
    </w:p>
    <w:p>
      <w:pPr>
        <w:pStyle w:val="2"/>
        <w:jc w:val="center"/>
      </w:pPr>
      <w:r>
        <w:rPr>
          <w:sz w:val="20"/>
        </w:rPr>
        <w:t xml:space="preserve">Экспорт Курской области в разрезе категорий,</w:t>
      </w:r>
    </w:p>
    <w:p>
      <w:pPr>
        <w:pStyle w:val="2"/>
        <w:jc w:val="center"/>
      </w:pPr>
      <w:r>
        <w:rPr>
          <w:sz w:val="20"/>
        </w:rPr>
        <w:t xml:space="preserve">млн. долл. США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1"/>
        <w:gridCol w:w="1076"/>
        <w:gridCol w:w="1076"/>
        <w:gridCol w:w="1076"/>
        <w:gridCol w:w="1076"/>
        <w:gridCol w:w="1076"/>
      </w:tblGrid>
      <w:tr>
        <w:tc>
          <w:tcPr>
            <w:tcW w:w="3681" w:type="dxa"/>
            <w:vAlign w:val="center"/>
          </w:tcPr>
          <w:p>
            <w:pPr>
              <w:pStyle w:val="0"/>
              <w:jc w:val="center"/>
            </w:pPr>
            <w:r>
              <w:rPr>
                <w:sz w:val="20"/>
              </w:rPr>
              <w:t xml:space="preserve">Категория экспорта</w:t>
            </w:r>
          </w:p>
        </w:tc>
        <w:tc>
          <w:tcPr>
            <w:tcW w:w="1076" w:type="dxa"/>
            <w:vAlign w:val="center"/>
          </w:tcPr>
          <w:p>
            <w:pPr>
              <w:pStyle w:val="0"/>
              <w:jc w:val="center"/>
            </w:pPr>
            <w:r>
              <w:rPr>
                <w:sz w:val="20"/>
              </w:rPr>
              <w:t xml:space="preserve">2014 г.</w:t>
            </w:r>
          </w:p>
        </w:tc>
        <w:tc>
          <w:tcPr>
            <w:tcW w:w="1076" w:type="dxa"/>
            <w:vAlign w:val="center"/>
          </w:tcPr>
          <w:p>
            <w:pPr>
              <w:pStyle w:val="0"/>
              <w:jc w:val="center"/>
            </w:pPr>
            <w:r>
              <w:rPr>
                <w:sz w:val="20"/>
              </w:rPr>
              <w:t xml:space="preserve">2015 г.</w:t>
            </w:r>
          </w:p>
        </w:tc>
        <w:tc>
          <w:tcPr>
            <w:tcW w:w="1076" w:type="dxa"/>
            <w:vAlign w:val="center"/>
          </w:tcPr>
          <w:p>
            <w:pPr>
              <w:pStyle w:val="0"/>
              <w:jc w:val="center"/>
            </w:pPr>
            <w:r>
              <w:rPr>
                <w:sz w:val="20"/>
              </w:rPr>
              <w:t xml:space="preserve">2016 г.</w:t>
            </w:r>
          </w:p>
        </w:tc>
        <w:tc>
          <w:tcPr>
            <w:tcW w:w="1076" w:type="dxa"/>
            <w:vAlign w:val="center"/>
          </w:tcPr>
          <w:p>
            <w:pPr>
              <w:pStyle w:val="0"/>
              <w:jc w:val="center"/>
            </w:pPr>
            <w:r>
              <w:rPr>
                <w:sz w:val="20"/>
              </w:rPr>
              <w:t xml:space="preserve">2017 г.</w:t>
            </w:r>
          </w:p>
        </w:tc>
        <w:tc>
          <w:tcPr>
            <w:tcW w:w="1076" w:type="dxa"/>
            <w:vAlign w:val="center"/>
          </w:tcPr>
          <w:p>
            <w:pPr>
              <w:pStyle w:val="0"/>
              <w:jc w:val="center"/>
            </w:pPr>
            <w:r>
              <w:rPr>
                <w:sz w:val="20"/>
              </w:rPr>
              <w:t xml:space="preserve">2018 г.</w:t>
            </w:r>
          </w:p>
        </w:tc>
      </w:tr>
      <w:tr>
        <w:tc>
          <w:tcPr>
            <w:tcW w:w="3681" w:type="dxa"/>
            <w:vAlign w:val="center"/>
          </w:tcPr>
          <w:p>
            <w:pPr>
              <w:pStyle w:val="0"/>
            </w:pPr>
            <w:r>
              <w:rPr>
                <w:sz w:val="20"/>
              </w:rPr>
              <w:t xml:space="preserve">Сырьевой экспорт</w:t>
            </w:r>
          </w:p>
        </w:tc>
        <w:tc>
          <w:tcPr>
            <w:tcW w:w="1076" w:type="dxa"/>
            <w:vAlign w:val="center"/>
          </w:tcPr>
          <w:p>
            <w:pPr>
              <w:pStyle w:val="0"/>
              <w:jc w:val="center"/>
            </w:pPr>
            <w:r>
              <w:rPr>
                <w:sz w:val="20"/>
              </w:rPr>
              <w:t xml:space="preserve">277,6</w:t>
            </w:r>
          </w:p>
        </w:tc>
        <w:tc>
          <w:tcPr>
            <w:tcW w:w="1076" w:type="dxa"/>
            <w:vAlign w:val="center"/>
          </w:tcPr>
          <w:p>
            <w:pPr>
              <w:pStyle w:val="0"/>
              <w:jc w:val="center"/>
            </w:pPr>
            <w:r>
              <w:rPr>
                <w:sz w:val="20"/>
              </w:rPr>
              <w:t xml:space="preserve">102,6</w:t>
            </w:r>
          </w:p>
        </w:tc>
        <w:tc>
          <w:tcPr>
            <w:tcW w:w="1076" w:type="dxa"/>
            <w:vAlign w:val="center"/>
          </w:tcPr>
          <w:p>
            <w:pPr>
              <w:pStyle w:val="0"/>
              <w:jc w:val="center"/>
            </w:pPr>
            <w:r>
              <w:rPr>
                <w:sz w:val="20"/>
              </w:rPr>
              <w:t xml:space="preserve">128,9</w:t>
            </w:r>
          </w:p>
        </w:tc>
        <w:tc>
          <w:tcPr>
            <w:tcW w:w="1076" w:type="dxa"/>
            <w:vAlign w:val="center"/>
          </w:tcPr>
          <w:p>
            <w:pPr>
              <w:pStyle w:val="0"/>
              <w:jc w:val="center"/>
            </w:pPr>
            <w:r>
              <w:rPr>
                <w:sz w:val="20"/>
              </w:rPr>
              <w:t xml:space="preserve">287,4</w:t>
            </w:r>
          </w:p>
        </w:tc>
        <w:tc>
          <w:tcPr>
            <w:tcW w:w="1076" w:type="dxa"/>
            <w:vAlign w:val="center"/>
          </w:tcPr>
          <w:p>
            <w:pPr>
              <w:pStyle w:val="0"/>
              <w:jc w:val="center"/>
            </w:pPr>
            <w:r>
              <w:rPr>
                <w:sz w:val="20"/>
              </w:rPr>
              <w:t xml:space="preserve">305,4</w:t>
            </w:r>
          </w:p>
        </w:tc>
      </w:tr>
      <w:tr>
        <w:tc>
          <w:tcPr>
            <w:tcW w:w="3681" w:type="dxa"/>
            <w:vAlign w:val="center"/>
          </w:tcPr>
          <w:p>
            <w:pPr>
              <w:pStyle w:val="0"/>
            </w:pPr>
            <w:r>
              <w:rPr>
                <w:sz w:val="20"/>
              </w:rPr>
              <w:t xml:space="preserve">Несырьевой экспорт</w:t>
            </w:r>
          </w:p>
        </w:tc>
        <w:tc>
          <w:tcPr>
            <w:tcW w:w="1076" w:type="dxa"/>
            <w:vAlign w:val="center"/>
          </w:tcPr>
          <w:p>
            <w:pPr>
              <w:pStyle w:val="0"/>
              <w:jc w:val="center"/>
            </w:pPr>
            <w:r>
              <w:rPr>
                <w:sz w:val="20"/>
              </w:rPr>
              <w:t xml:space="preserve">299,6</w:t>
            </w:r>
          </w:p>
        </w:tc>
        <w:tc>
          <w:tcPr>
            <w:tcW w:w="1076" w:type="dxa"/>
            <w:vAlign w:val="center"/>
          </w:tcPr>
          <w:p>
            <w:pPr>
              <w:pStyle w:val="0"/>
              <w:jc w:val="center"/>
            </w:pPr>
            <w:r>
              <w:rPr>
                <w:sz w:val="20"/>
              </w:rPr>
              <w:t xml:space="preserve">293,8</w:t>
            </w:r>
          </w:p>
        </w:tc>
        <w:tc>
          <w:tcPr>
            <w:tcW w:w="1076" w:type="dxa"/>
            <w:vAlign w:val="center"/>
          </w:tcPr>
          <w:p>
            <w:pPr>
              <w:pStyle w:val="0"/>
              <w:jc w:val="center"/>
            </w:pPr>
            <w:r>
              <w:rPr>
                <w:sz w:val="20"/>
              </w:rPr>
              <w:t xml:space="preserve">324,0</w:t>
            </w:r>
          </w:p>
        </w:tc>
        <w:tc>
          <w:tcPr>
            <w:tcW w:w="1076" w:type="dxa"/>
            <w:vAlign w:val="center"/>
          </w:tcPr>
          <w:p>
            <w:pPr>
              <w:pStyle w:val="0"/>
              <w:jc w:val="center"/>
            </w:pPr>
            <w:r>
              <w:rPr>
                <w:sz w:val="20"/>
              </w:rPr>
              <w:t xml:space="preserve">334,9</w:t>
            </w:r>
          </w:p>
        </w:tc>
        <w:tc>
          <w:tcPr>
            <w:tcW w:w="1076" w:type="dxa"/>
            <w:vAlign w:val="center"/>
          </w:tcPr>
          <w:p>
            <w:pPr>
              <w:pStyle w:val="0"/>
              <w:jc w:val="center"/>
            </w:pPr>
            <w:r>
              <w:rPr>
                <w:sz w:val="20"/>
              </w:rPr>
              <w:t xml:space="preserve">378,1</w:t>
            </w:r>
          </w:p>
        </w:tc>
      </w:tr>
    </w:tbl>
    <w:p>
      <w:pPr>
        <w:pStyle w:val="0"/>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расчет АО "Альянс Консалтинг".</w:t>
      </w:r>
    </w:p>
    <w:p>
      <w:pPr>
        <w:pStyle w:val="0"/>
        <w:ind w:firstLine="540"/>
        <w:jc w:val="both"/>
      </w:pPr>
      <w:r>
        <w:rPr>
          <w:sz w:val="20"/>
        </w:rPr>
      </w:r>
    </w:p>
    <w:p>
      <w:pPr>
        <w:pStyle w:val="0"/>
        <w:ind w:firstLine="540"/>
        <w:jc w:val="both"/>
      </w:pPr>
      <w:r>
        <w:rPr>
          <w:sz w:val="20"/>
        </w:rPr>
        <w:t xml:space="preserve">Наибольшую долю в несырьевом неэнергетическом экспорте занимает продукция средних и верхних переделов - 37% и 36% в стоимостном выражении соответственно. На долю продукции нижних переделов приходится 28%. По сравнению с 2017 годом наблюдается структурный сдвиг - сокращается доля продукции верхних переделов (на 11 процентных пунктов) и увеличивается доля продукции нижних и средних переделов (на 8 и 4 процентных пунктов соответственно).</w:t>
      </w:r>
    </w:p>
    <w:p>
      <w:pPr>
        <w:pStyle w:val="0"/>
        <w:spacing w:before="200" w:line-rule="auto"/>
        <w:ind w:firstLine="540"/>
        <w:jc w:val="both"/>
      </w:pPr>
      <w:r>
        <w:rPr>
          <w:sz w:val="20"/>
        </w:rPr>
        <w:t xml:space="preserve">По сравнению с уровнем 2017 года наибольший прирост объемов экспорта наблюдался в группе продукции нижних переделов - экспортные поставки увеличились на 56%. В то же время экспорт продукции верхних переделов снизился на 14%. Среднегодовые темпы прироста несырьевого неэнергетического экспорта по группам продукции за период 2016 - 2018 гг. составили 22% для продукции средних переделов, 49% - нижних переделов, в то время как по продукции верхних переделов наблюдается спад 14% в год.</w:t>
      </w:r>
    </w:p>
    <w:p>
      <w:pPr>
        <w:pStyle w:val="0"/>
        <w:spacing w:before="200" w:line-rule="auto"/>
        <w:ind w:firstLine="540"/>
        <w:jc w:val="both"/>
      </w:pPr>
      <w:r>
        <w:rPr>
          <w:sz w:val="20"/>
        </w:rPr>
        <w:t xml:space="preserve">В Белгородской области доля сырьевого экспорта в суммарном экспорте составляет всего 5,5%, что значительно ниже, чем в Курской области, при сопоставимом уровне добычи полезных ископаемых в структуре валового регионального продукта. Другие регионы ЦФО в гораздо меньшей степени, чем Курская область, зависят от экспорта сырья - доля несырьевого неэнергетического экспорта в общем объеме экспортных поставок в Орловской, Воронежской, Смоленской и Брянской областях равны соответственно 99%, 98%, 93% и 94% по итогам 2018 года.</w:t>
      </w:r>
    </w:p>
    <w:p>
      <w:pPr>
        <w:pStyle w:val="0"/>
        <w:spacing w:before="200" w:line-rule="auto"/>
        <w:ind w:firstLine="540"/>
        <w:jc w:val="both"/>
      </w:pPr>
      <w:r>
        <w:rPr>
          <w:sz w:val="20"/>
        </w:rPr>
        <w:t xml:space="preserve">Курская область обладает высоким потенциалом роста экспорта продукции верхних переделов. Развитие уровня экспорта до лучших сопоставимых практик ЦФО позволит увеличить суммарный экспорт на 338 млн. долл. США. При сравнении с усредненными показателями по сопоставимым регионам, потенциал прироста экспорта Курской области оценивается в 27% по продукции верхних переделов, 44% по продукции средних переделов и 79% по нижним переделам.</w:t>
      </w:r>
    </w:p>
    <w:p>
      <w:pPr>
        <w:pStyle w:val="0"/>
        <w:spacing w:before="200" w:line-rule="auto"/>
        <w:ind w:firstLine="540"/>
        <w:jc w:val="both"/>
      </w:pPr>
      <w:r>
        <w:rPr>
          <w:sz w:val="20"/>
        </w:rPr>
        <w:t xml:space="preserve">Развитие нижнего передела несырьевого неэнергетического экспорта является одним из основных драйверов роста экспорта регионов ЦФО. Экспорт продукции нижних переделов демонстрирует наиболее динамичный рост в последние 3 года, однако учитывая его долю в общем объеме несырьевого неэнергетического экспорта, влияние данной группы продукции на динамику несырьевого неэнергетического экспорта незначительно. Более существенное влияние на рост несырьевого неэнергетического экспорта должна оказывать продукция верхнего передела.</w:t>
      </w:r>
    </w:p>
    <w:p>
      <w:pPr>
        <w:pStyle w:val="0"/>
        <w:ind w:firstLine="540"/>
        <w:jc w:val="both"/>
      </w:pPr>
      <w:r>
        <w:rPr>
          <w:sz w:val="20"/>
        </w:rPr>
      </w:r>
    </w:p>
    <w:p>
      <w:pPr>
        <w:pStyle w:val="2"/>
        <w:outlineLvl w:val="4"/>
        <w:jc w:val="center"/>
      </w:pPr>
      <w:r>
        <w:rPr>
          <w:sz w:val="20"/>
        </w:rPr>
        <w:t xml:space="preserve">Основные экспортеры</w:t>
      </w:r>
    </w:p>
    <w:p>
      <w:pPr>
        <w:pStyle w:val="0"/>
        <w:ind w:firstLine="540"/>
        <w:jc w:val="both"/>
      </w:pPr>
      <w:r>
        <w:rPr>
          <w:sz w:val="20"/>
        </w:rPr>
      </w:r>
    </w:p>
    <w:p>
      <w:pPr>
        <w:pStyle w:val="0"/>
        <w:ind w:firstLine="540"/>
        <w:jc w:val="both"/>
      </w:pPr>
      <w:r>
        <w:rPr>
          <w:sz w:val="20"/>
        </w:rPr>
        <w:t xml:space="preserve">В число основных предприятий-экспортеров Курской области входит 17 компаний из различных отраслей промышленности и сельского хозяйства, в числе которых АО "Михайловский ГОК им. А.В. Варичева", АО "КОНТИ-РУС", ОАО "Курскрезинотехника", ООО "Курскхимволокно", ОАО "Фармстандарт-Лексредства", АО "Курский электроаппаратный завод", АО "Кореневский завод низковольтной аппаратуры", АО "УК ГП "ГОТЭК", АО "Рудоавтоматика им. Сафошина", АО "Курскмедстекло", Курская объединенная производственная площадка (ООО "ИСТОК+" и ООО "Курский аккумуляторный завод").</w:t>
      </w:r>
    </w:p>
    <w:p>
      <w:pPr>
        <w:pStyle w:val="0"/>
        <w:spacing w:before="200" w:line-rule="auto"/>
        <w:ind w:firstLine="540"/>
        <w:jc w:val="both"/>
      </w:pPr>
      <w:r>
        <w:rPr>
          <w:sz w:val="20"/>
        </w:rPr>
        <w:t xml:space="preserve">Число малых и средних предприятий (МСП) Курской области, осуществляющих экспортную деятельность, в 2017 году увеличилось в 2,5 раза по сравнению с 2016 годом. Их доля в числе экспортно-ориентированных МСП, зарегистрированных в ЦФО, составляет 2,8%. В то же время 9% всех МСП Курской области осуществляет экспортную деятельность.</w:t>
      </w:r>
    </w:p>
    <w:p>
      <w:pPr>
        <w:pStyle w:val="0"/>
        <w:ind w:firstLine="540"/>
        <w:jc w:val="both"/>
      </w:pPr>
      <w:r>
        <w:rPr>
          <w:sz w:val="20"/>
        </w:rPr>
      </w:r>
    </w:p>
    <w:p>
      <w:pPr>
        <w:pStyle w:val="0"/>
        <w:outlineLvl w:val="5"/>
        <w:jc w:val="right"/>
      </w:pPr>
      <w:r>
        <w:rPr>
          <w:sz w:val="20"/>
        </w:rPr>
        <w:t xml:space="preserve">Таблица N 7</w:t>
      </w:r>
    </w:p>
    <w:p>
      <w:pPr>
        <w:pStyle w:val="0"/>
        <w:jc w:val="center"/>
      </w:pPr>
      <w:r>
        <w:rPr>
          <w:sz w:val="20"/>
        </w:rPr>
      </w:r>
    </w:p>
    <w:p>
      <w:pPr>
        <w:pStyle w:val="2"/>
        <w:jc w:val="center"/>
      </w:pPr>
      <w:r>
        <w:rPr>
          <w:sz w:val="20"/>
        </w:rPr>
        <w:t xml:space="preserve">Количество малых и средних предприятий Курской области,</w:t>
      </w:r>
    </w:p>
    <w:p>
      <w:pPr>
        <w:pStyle w:val="2"/>
        <w:jc w:val="center"/>
      </w:pPr>
      <w:r>
        <w:rPr>
          <w:sz w:val="20"/>
        </w:rPr>
        <w:t xml:space="preserve">осуществляющих экспортную деятельность (на начало года)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26"/>
        <w:gridCol w:w="850"/>
        <w:gridCol w:w="1134"/>
        <w:gridCol w:w="738"/>
        <w:gridCol w:w="1105"/>
        <w:gridCol w:w="738"/>
        <w:gridCol w:w="1077"/>
        <w:gridCol w:w="821"/>
        <w:gridCol w:w="1077"/>
      </w:tblGrid>
      <w:tr>
        <w:tc>
          <w:tcPr>
            <w:tcW w:w="1526" w:type="dxa"/>
          </w:tcPr>
          <w:p>
            <w:pPr>
              <w:pStyle w:val="0"/>
              <w:jc w:val="both"/>
            </w:pPr>
            <w:r>
              <w:rPr>
                <w:sz w:val="20"/>
              </w:rPr>
            </w:r>
          </w:p>
        </w:tc>
        <w:tc>
          <w:tcPr>
            <w:tcW w:w="850" w:type="dxa"/>
          </w:tcPr>
          <w:p>
            <w:pPr>
              <w:pStyle w:val="0"/>
              <w:jc w:val="center"/>
            </w:pPr>
            <w:r>
              <w:rPr>
                <w:sz w:val="20"/>
              </w:rPr>
              <w:t xml:space="preserve">2015 г.</w:t>
            </w:r>
          </w:p>
        </w:tc>
        <w:tc>
          <w:tcPr>
            <w:tcW w:w="1134" w:type="dxa"/>
          </w:tcPr>
          <w:p>
            <w:pPr>
              <w:pStyle w:val="0"/>
              <w:jc w:val="center"/>
            </w:pPr>
            <w:r>
              <w:rPr>
                <w:sz w:val="20"/>
              </w:rPr>
              <w:t xml:space="preserve">Прирост к 2014 г.</w:t>
            </w:r>
          </w:p>
        </w:tc>
        <w:tc>
          <w:tcPr>
            <w:tcW w:w="738" w:type="dxa"/>
          </w:tcPr>
          <w:p>
            <w:pPr>
              <w:pStyle w:val="0"/>
              <w:jc w:val="center"/>
            </w:pPr>
            <w:r>
              <w:rPr>
                <w:sz w:val="20"/>
              </w:rPr>
              <w:t xml:space="preserve">2016 г.</w:t>
            </w:r>
          </w:p>
        </w:tc>
        <w:tc>
          <w:tcPr>
            <w:tcW w:w="1105" w:type="dxa"/>
          </w:tcPr>
          <w:p>
            <w:pPr>
              <w:pStyle w:val="0"/>
              <w:jc w:val="center"/>
            </w:pPr>
            <w:r>
              <w:rPr>
                <w:sz w:val="20"/>
              </w:rPr>
              <w:t xml:space="preserve">Прирост к 2015 г.</w:t>
            </w:r>
          </w:p>
        </w:tc>
        <w:tc>
          <w:tcPr>
            <w:tcW w:w="738" w:type="dxa"/>
          </w:tcPr>
          <w:p>
            <w:pPr>
              <w:pStyle w:val="0"/>
              <w:jc w:val="center"/>
            </w:pPr>
            <w:r>
              <w:rPr>
                <w:sz w:val="20"/>
              </w:rPr>
              <w:t xml:space="preserve">2017 г.</w:t>
            </w:r>
          </w:p>
        </w:tc>
        <w:tc>
          <w:tcPr>
            <w:tcW w:w="1077" w:type="dxa"/>
          </w:tcPr>
          <w:p>
            <w:pPr>
              <w:pStyle w:val="0"/>
              <w:jc w:val="center"/>
            </w:pPr>
            <w:r>
              <w:rPr>
                <w:sz w:val="20"/>
              </w:rPr>
              <w:t xml:space="preserve">Прирост к 2016 г.</w:t>
            </w:r>
          </w:p>
        </w:tc>
        <w:tc>
          <w:tcPr>
            <w:tcW w:w="821" w:type="dxa"/>
          </w:tcPr>
          <w:p>
            <w:pPr>
              <w:pStyle w:val="0"/>
              <w:jc w:val="center"/>
            </w:pPr>
            <w:r>
              <w:rPr>
                <w:sz w:val="20"/>
              </w:rPr>
              <w:t xml:space="preserve">2018 г.</w:t>
            </w:r>
          </w:p>
        </w:tc>
        <w:tc>
          <w:tcPr>
            <w:tcW w:w="1077" w:type="dxa"/>
          </w:tcPr>
          <w:p>
            <w:pPr>
              <w:pStyle w:val="0"/>
              <w:jc w:val="center"/>
            </w:pPr>
            <w:r>
              <w:rPr>
                <w:sz w:val="20"/>
              </w:rPr>
              <w:t xml:space="preserve">Прирост к 2017 г.</w:t>
            </w:r>
          </w:p>
        </w:tc>
      </w:tr>
      <w:tr>
        <w:tc>
          <w:tcPr>
            <w:tcW w:w="1526" w:type="dxa"/>
          </w:tcPr>
          <w:p>
            <w:pPr>
              <w:pStyle w:val="0"/>
            </w:pPr>
            <w:r>
              <w:rPr>
                <w:sz w:val="20"/>
              </w:rPr>
              <w:t xml:space="preserve">Малые предприятия</w:t>
            </w:r>
          </w:p>
        </w:tc>
        <w:tc>
          <w:tcPr>
            <w:tcW w:w="850" w:type="dxa"/>
          </w:tcPr>
          <w:p>
            <w:pPr>
              <w:pStyle w:val="0"/>
              <w:jc w:val="right"/>
            </w:pPr>
            <w:r>
              <w:rPr>
                <w:sz w:val="20"/>
              </w:rPr>
              <w:t xml:space="preserve">42</w:t>
            </w:r>
          </w:p>
        </w:tc>
        <w:tc>
          <w:tcPr>
            <w:tcW w:w="1134" w:type="dxa"/>
          </w:tcPr>
          <w:p>
            <w:pPr>
              <w:pStyle w:val="0"/>
              <w:jc w:val="right"/>
            </w:pPr>
            <w:r>
              <w:rPr>
                <w:sz w:val="20"/>
              </w:rPr>
              <w:t xml:space="preserve">-19%</w:t>
            </w:r>
          </w:p>
        </w:tc>
        <w:tc>
          <w:tcPr>
            <w:tcW w:w="738" w:type="dxa"/>
          </w:tcPr>
          <w:p>
            <w:pPr>
              <w:pStyle w:val="0"/>
              <w:jc w:val="right"/>
            </w:pPr>
            <w:r>
              <w:rPr>
                <w:sz w:val="20"/>
              </w:rPr>
              <w:t xml:space="preserve">134</w:t>
            </w:r>
          </w:p>
        </w:tc>
        <w:tc>
          <w:tcPr>
            <w:tcW w:w="1105" w:type="dxa"/>
          </w:tcPr>
          <w:p>
            <w:pPr>
              <w:pStyle w:val="0"/>
              <w:jc w:val="right"/>
            </w:pPr>
            <w:r>
              <w:rPr>
                <w:sz w:val="20"/>
              </w:rPr>
              <w:t xml:space="preserve">219%</w:t>
            </w:r>
          </w:p>
        </w:tc>
        <w:tc>
          <w:tcPr>
            <w:tcW w:w="738" w:type="dxa"/>
          </w:tcPr>
          <w:p>
            <w:pPr>
              <w:pStyle w:val="0"/>
              <w:jc w:val="right"/>
            </w:pPr>
            <w:r>
              <w:rPr>
                <w:sz w:val="20"/>
              </w:rPr>
              <w:t xml:space="preserve">68</w:t>
            </w:r>
          </w:p>
        </w:tc>
        <w:tc>
          <w:tcPr>
            <w:tcW w:w="1077" w:type="dxa"/>
          </w:tcPr>
          <w:p>
            <w:pPr>
              <w:pStyle w:val="0"/>
              <w:jc w:val="right"/>
            </w:pPr>
            <w:r>
              <w:rPr>
                <w:sz w:val="20"/>
              </w:rPr>
              <w:t xml:space="preserve">-49%</w:t>
            </w:r>
          </w:p>
        </w:tc>
        <w:tc>
          <w:tcPr>
            <w:tcW w:w="821" w:type="dxa"/>
          </w:tcPr>
          <w:p>
            <w:pPr>
              <w:pStyle w:val="0"/>
              <w:jc w:val="right"/>
            </w:pPr>
            <w:r>
              <w:rPr>
                <w:sz w:val="20"/>
              </w:rPr>
              <w:t xml:space="preserve">179</w:t>
            </w:r>
          </w:p>
        </w:tc>
        <w:tc>
          <w:tcPr>
            <w:tcW w:w="1077" w:type="dxa"/>
          </w:tcPr>
          <w:p>
            <w:pPr>
              <w:pStyle w:val="0"/>
              <w:jc w:val="right"/>
            </w:pPr>
            <w:r>
              <w:rPr>
                <w:sz w:val="20"/>
              </w:rPr>
              <w:t xml:space="preserve">163%</w:t>
            </w:r>
          </w:p>
        </w:tc>
      </w:tr>
      <w:tr>
        <w:tc>
          <w:tcPr>
            <w:tcW w:w="1526" w:type="dxa"/>
          </w:tcPr>
          <w:p>
            <w:pPr>
              <w:pStyle w:val="0"/>
            </w:pPr>
            <w:r>
              <w:rPr>
                <w:sz w:val="20"/>
              </w:rPr>
              <w:t xml:space="preserve">- доля в ЦФО</w:t>
            </w:r>
          </w:p>
        </w:tc>
        <w:tc>
          <w:tcPr>
            <w:tcW w:w="850" w:type="dxa"/>
          </w:tcPr>
          <w:p>
            <w:pPr>
              <w:pStyle w:val="0"/>
              <w:jc w:val="right"/>
            </w:pPr>
            <w:r>
              <w:rPr>
                <w:sz w:val="20"/>
              </w:rPr>
              <w:t xml:space="preserve">1,2%</w:t>
            </w:r>
          </w:p>
        </w:tc>
        <w:tc>
          <w:tcPr>
            <w:tcW w:w="1134" w:type="dxa"/>
          </w:tcPr>
          <w:p>
            <w:pPr>
              <w:pStyle w:val="0"/>
              <w:jc w:val="right"/>
            </w:pPr>
            <w:r>
              <w:rPr>
                <w:sz w:val="20"/>
              </w:rPr>
              <w:t xml:space="preserve">-</w:t>
            </w:r>
          </w:p>
        </w:tc>
        <w:tc>
          <w:tcPr>
            <w:tcW w:w="738" w:type="dxa"/>
          </w:tcPr>
          <w:p>
            <w:pPr>
              <w:pStyle w:val="0"/>
              <w:jc w:val="right"/>
            </w:pPr>
            <w:r>
              <w:rPr>
                <w:sz w:val="20"/>
              </w:rPr>
              <w:t xml:space="preserve">1,4%</w:t>
            </w:r>
          </w:p>
        </w:tc>
        <w:tc>
          <w:tcPr>
            <w:tcW w:w="1105" w:type="dxa"/>
          </w:tcPr>
          <w:p>
            <w:pPr>
              <w:pStyle w:val="0"/>
              <w:jc w:val="right"/>
            </w:pPr>
            <w:r>
              <w:rPr>
                <w:sz w:val="20"/>
              </w:rPr>
              <w:t xml:space="preserve">-</w:t>
            </w:r>
          </w:p>
        </w:tc>
        <w:tc>
          <w:tcPr>
            <w:tcW w:w="738" w:type="dxa"/>
          </w:tcPr>
          <w:p>
            <w:pPr>
              <w:pStyle w:val="0"/>
              <w:jc w:val="right"/>
            </w:pPr>
            <w:r>
              <w:rPr>
                <w:sz w:val="20"/>
              </w:rPr>
              <w:t xml:space="preserve">1,8%</w:t>
            </w:r>
          </w:p>
        </w:tc>
        <w:tc>
          <w:tcPr>
            <w:tcW w:w="1077" w:type="dxa"/>
          </w:tcPr>
          <w:p>
            <w:pPr>
              <w:pStyle w:val="0"/>
              <w:jc w:val="right"/>
            </w:pPr>
            <w:r>
              <w:rPr>
                <w:sz w:val="20"/>
              </w:rPr>
              <w:t xml:space="preserve">-</w:t>
            </w:r>
          </w:p>
        </w:tc>
        <w:tc>
          <w:tcPr>
            <w:tcW w:w="821" w:type="dxa"/>
          </w:tcPr>
          <w:p>
            <w:pPr>
              <w:pStyle w:val="0"/>
              <w:jc w:val="right"/>
            </w:pPr>
            <w:r>
              <w:rPr>
                <w:sz w:val="20"/>
              </w:rPr>
              <w:t xml:space="preserve">1,1%</w:t>
            </w:r>
          </w:p>
        </w:tc>
        <w:tc>
          <w:tcPr>
            <w:tcW w:w="1077" w:type="dxa"/>
          </w:tcPr>
          <w:p>
            <w:pPr>
              <w:pStyle w:val="0"/>
              <w:jc w:val="right"/>
            </w:pPr>
            <w:r>
              <w:rPr>
                <w:sz w:val="20"/>
              </w:rPr>
              <w:t xml:space="preserve">-</w:t>
            </w:r>
          </w:p>
        </w:tc>
      </w:tr>
      <w:tr>
        <w:tc>
          <w:tcPr>
            <w:tcW w:w="1526" w:type="dxa"/>
          </w:tcPr>
          <w:p>
            <w:pPr>
              <w:pStyle w:val="0"/>
            </w:pPr>
            <w:r>
              <w:rPr>
                <w:sz w:val="20"/>
              </w:rPr>
              <w:t xml:space="preserve">Средние предприятия</w:t>
            </w:r>
          </w:p>
        </w:tc>
        <w:tc>
          <w:tcPr>
            <w:tcW w:w="850" w:type="dxa"/>
          </w:tcPr>
          <w:p>
            <w:pPr>
              <w:pStyle w:val="0"/>
              <w:jc w:val="right"/>
            </w:pPr>
            <w:r>
              <w:rPr>
                <w:sz w:val="20"/>
              </w:rPr>
              <w:t xml:space="preserve">6</w:t>
            </w:r>
          </w:p>
        </w:tc>
        <w:tc>
          <w:tcPr>
            <w:tcW w:w="1134" w:type="dxa"/>
          </w:tcPr>
          <w:p>
            <w:pPr>
              <w:pStyle w:val="0"/>
              <w:jc w:val="right"/>
            </w:pPr>
            <w:r>
              <w:rPr>
                <w:sz w:val="20"/>
              </w:rPr>
              <w:t xml:space="preserve">-40%</w:t>
            </w:r>
          </w:p>
        </w:tc>
        <w:tc>
          <w:tcPr>
            <w:tcW w:w="738" w:type="dxa"/>
          </w:tcPr>
          <w:p>
            <w:pPr>
              <w:pStyle w:val="0"/>
              <w:jc w:val="right"/>
            </w:pPr>
            <w:r>
              <w:rPr>
                <w:sz w:val="20"/>
              </w:rPr>
              <w:t xml:space="preserve">10</w:t>
            </w:r>
          </w:p>
        </w:tc>
        <w:tc>
          <w:tcPr>
            <w:tcW w:w="1105" w:type="dxa"/>
          </w:tcPr>
          <w:p>
            <w:pPr>
              <w:pStyle w:val="0"/>
              <w:jc w:val="right"/>
            </w:pPr>
            <w:r>
              <w:rPr>
                <w:sz w:val="20"/>
              </w:rPr>
              <w:t xml:space="preserve">67%</w:t>
            </w:r>
          </w:p>
        </w:tc>
        <w:tc>
          <w:tcPr>
            <w:tcW w:w="738" w:type="dxa"/>
          </w:tcPr>
          <w:p>
            <w:pPr>
              <w:pStyle w:val="0"/>
              <w:jc w:val="right"/>
            </w:pPr>
            <w:r>
              <w:rPr>
                <w:sz w:val="20"/>
              </w:rPr>
              <w:t xml:space="preserve">8</w:t>
            </w:r>
          </w:p>
        </w:tc>
        <w:tc>
          <w:tcPr>
            <w:tcW w:w="1077" w:type="dxa"/>
          </w:tcPr>
          <w:p>
            <w:pPr>
              <w:pStyle w:val="0"/>
              <w:jc w:val="right"/>
            </w:pPr>
            <w:r>
              <w:rPr>
                <w:sz w:val="20"/>
              </w:rPr>
              <w:t xml:space="preserve">-20%</w:t>
            </w:r>
          </w:p>
        </w:tc>
        <w:tc>
          <w:tcPr>
            <w:tcW w:w="821" w:type="dxa"/>
          </w:tcPr>
          <w:p>
            <w:pPr>
              <w:pStyle w:val="0"/>
              <w:jc w:val="right"/>
            </w:pPr>
            <w:r>
              <w:rPr>
                <w:sz w:val="20"/>
              </w:rPr>
              <w:t xml:space="preserve">13</w:t>
            </w:r>
          </w:p>
        </w:tc>
        <w:tc>
          <w:tcPr>
            <w:tcW w:w="1077" w:type="dxa"/>
          </w:tcPr>
          <w:p>
            <w:pPr>
              <w:pStyle w:val="0"/>
              <w:jc w:val="right"/>
            </w:pPr>
            <w:r>
              <w:rPr>
                <w:sz w:val="20"/>
              </w:rPr>
              <w:t xml:space="preserve">63%</w:t>
            </w:r>
          </w:p>
        </w:tc>
      </w:tr>
      <w:tr>
        <w:tc>
          <w:tcPr>
            <w:tcW w:w="1526" w:type="dxa"/>
          </w:tcPr>
          <w:p>
            <w:pPr>
              <w:pStyle w:val="0"/>
            </w:pPr>
            <w:r>
              <w:rPr>
                <w:sz w:val="20"/>
              </w:rPr>
              <w:t xml:space="preserve">- доля в ЦФО</w:t>
            </w:r>
          </w:p>
        </w:tc>
        <w:tc>
          <w:tcPr>
            <w:tcW w:w="850" w:type="dxa"/>
          </w:tcPr>
          <w:p>
            <w:pPr>
              <w:pStyle w:val="0"/>
              <w:jc w:val="right"/>
            </w:pPr>
            <w:r>
              <w:rPr>
                <w:sz w:val="20"/>
              </w:rPr>
              <w:t xml:space="preserve">1,0%</w:t>
            </w:r>
          </w:p>
        </w:tc>
        <w:tc>
          <w:tcPr>
            <w:tcW w:w="1134" w:type="dxa"/>
          </w:tcPr>
          <w:p>
            <w:pPr>
              <w:pStyle w:val="0"/>
              <w:jc w:val="right"/>
            </w:pPr>
            <w:r>
              <w:rPr>
                <w:sz w:val="20"/>
              </w:rPr>
              <w:t xml:space="preserve">-</w:t>
            </w:r>
          </w:p>
        </w:tc>
        <w:tc>
          <w:tcPr>
            <w:tcW w:w="738" w:type="dxa"/>
          </w:tcPr>
          <w:p>
            <w:pPr>
              <w:pStyle w:val="0"/>
              <w:jc w:val="right"/>
            </w:pPr>
            <w:r>
              <w:rPr>
                <w:sz w:val="20"/>
              </w:rPr>
              <w:t xml:space="preserve">1,3%</w:t>
            </w:r>
          </w:p>
        </w:tc>
        <w:tc>
          <w:tcPr>
            <w:tcW w:w="1105" w:type="dxa"/>
          </w:tcPr>
          <w:p>
            <w:pPr>
              <w:pStyle w:val="0"/>
              <w:jc w:val="right"/>
            </w:pPr>
            <w:r>
              <w:rPr>
                <w:sz w:val="20"/>
              </w:rPr>
              <w:t xml:space="preserve">-</w:t>
            </w:r>
          </w:p>
        </w:tc>
        <w:tc>
          <w:tcPr>
            <w:tcW w:w="738" w:type="dxa"/>
          </w:tcPr>
          <w:p>
            <w:pPr>
              <w:pStyle w:val="0"/>
              <w:jc w:val="right"/>
            </w:pPr>
            <w:r>
              <w:rPr>
                <w:sz w:val="20"/>
              </w:rPr>
              <w:t xml:space="preserve">2,3%</w:t>
            </w:r>
          </w:p>
        </w:tc>
        <w:tc>
          <w:tcPr>
            <w:tcW w:w="1077" w:type="dxa"/>
          </w:tcPr>
          <w:p>
            <w:pPr>
              <w:pStyle w:val="0"/>
              <w:jc w:val="right"/>
            </w:pPr>
            <w:r>
              <w:rPr>
                <w:sz w:val="20"/>
              </w:rPr>
              <w:t xml:space="preserve">-</w:t>
            </w:r>
          </w:p>
        </w:tc>
        <w:tc>
          <w:tcPr>
            <w:tcW w:w="821" w:type="dxa"/>
          </w:tcPr>
          <w:p>
            <w:pPr>
              <w:pStyle w:val="0"/>
              <w:jc w:val="right"/>
            </w:pPr>
            <w:r>
              <w:rPr>
                <w:sz w:val="20"/>
              </w:rPr>
              <w:t xml:space="preserve">1,1%</w:t>
            </w:r>
          </w:p>
        </w:tc>
        <w:tc>
          <w:tcPr>
            <w:tcW w:w="1077" w:type="dxa"/>
          </w:tcPr>
          <w:p>
            <w:pPr>
              <w:pStyle w:val="0"/>
              <w:jc w:val="right"/>
            </w:pPr>
            <w:r>
              <w:rPr>
                <w:sz w:val="20"/>
              </w:rPr>
              <w:t xml:space="preserve">-</w:t>
            </w:r>
          </w:p>
        </w:tc>
      </w:tr>
    </w:tbl>
    <w:p>
      <w:pPr>
        <w:pStyle w:val="0"/>
      </w:pPr>
      <w:r>
        <w:rPr>
          <w:sz w:val="20"/>
        </w:rPr>
      </w:r>
    </w:p>
    <w:p>
      <w:pPr>
        <w:pStyle w:val="0"/>
        <w:ind w:firstLine="540"/>
        <w:jc w:val="both"/>
      </w:pPr>
      <w:r>
        <w:rPr>
          <w:sz w:val="20"/>
        </w:rPr>
        <w:t xml:space="preserve">Источник: Данные Росстата, </w:t>
      </w:r>
      <w:r>
        <w:rPr>
          <w:sz w:val="20"/>
        </w:rPr>
        <w:t xml:space="preserve">https://fedstat.ru/indicator/54389</w:t>
      </w:r>
      <w:r>
        <w:rPr>
          <w:sz w:val="20"/>
        </w:rPr>
        <w:t xml:space="preserve">.</w:t>
      </w:r>
    </w:p>
    <w:p>
      <w:pPr>
        <w:pStyle w:val="0"/>
      </w:pPr>
      <w:r>
        <w:rPr>
          <w:sz w:val="20"/>
        </w:rPr>
      </w:r>
    </w:p>
    <w:p>
      <w:pPr>
        <w:pStyle w:val="2"/>
        <w:outlineLvl w:val="3"/>
        <w:ind w:firstLine="540"/>
        <w:jc w:val="both"/>
      </w:pPr>
      <w:r>
        <w:rPr>
          <w:sz w:val="20"/>
        </w:rPr>
        <w:t xml:space="preserve">1.2. Анализ товарного экспорта Курской области</w:t>
      </w:r>
    </w:p>
    <w:p>
      <w:pPr>
        <w:pStyle w:val="0"/>
        <w:ind w:firstLine="540"/>
        <w:jc w:val="both"/>
      </w:pPr>
      <w:r>
        <w:rPr>
          <w:sz w:val="20"/>
        </w:rPr>
      </w:r>
    </w:p>
    <w:p>
      <w:pPr>
        <w:pStyle w:val="2"/>
        <w:outlineLvl w:val="4"/>
        <w:jc w:val="center"/>
      </w:pPr>
      <w:r>
        <w:rPr>
          <w:sz w:val="20"/>
        </w:rPr>
        <w:t xml:space="preserve">Отраслевая структура экспорта</w:t>
      </w:r>
    </w:p>
    <w:p>
      <w:pPr>
        <w:pStyle w:val="0"/>
        <w:ind w:firstLine="540"/>
        <w:jc w:val="both"/>
      </w:pPr>
      <w:r>
        <w:rPr>
          <w:sz w:val="20"/>
        </w:rPr>
      </w:r>
    </w:p>
    <w:p>
      <w:pPr>
        <w:pStyle w:val="0"/>
        <w:ind w:firstLine="540"/>
        <w:jc w:val="both"/>
      </w:pPr>
      <w:r>
        <w:rPr>
          <w:sz w:val="20"/>
        </w:rPr>
        <w:t xml:space="preserve">Отраслевая структура экспорта Курской области в 2015 - 2018 гг. характеризовалась относительной стабильностью. Лидирующими товарными группами по объему экспорта Курской области являются "Минеральные продукты", "Продовольственные товары и сельскохозяйственные сырье, кроме текстильного" и "Продукция химической промышленности, каучук". На долю данных товаров приходится 79% общего экспорта региона (в 2015 году данный показатель составлял 69%).</w:t>
      </w:r>
    </w:p>
    <w:p>
      <w:pPr>
        <w:pStyle w:val="0"/>
        <w:ind w:firstLine="540"/>
        <w:jc w:val="both"/>
      </w:pPr>
      <w:r>
        <w:rPr>
          <w:sz w:val="20"/>
        </w:rPr>
      </w:r>
    </w:p>
    <w:p>
      <w:pPr>
        <w:pStyle w:val="0"/>
        <w:outlineLvl w:val="5"/>
        <w:jc w:val="right"/>
      </w:pPr>
      <w:r>
        <w:rPr>
          <w:sz w:val="20"/>
        </w:rPr>
        <w:t xml:space="preserve">Таблица N 8</w:t>
      </w:r>
    </w:p>
    <w:p>
      <w:pPr>
        <w:pStyle w:val="0"/>
        <w:jc w:val="center"/>
      </w:pPr>
      <w:r>
        <w:rPr>
          <w:sz w:val="20"/>
        </w:rPr>
      </w:r>
    </w:p>
    <w:p>
      <w:pPr>
        <w:pStyle w:val="2"/>
        <w:jc w:val="center"/>
      </w:pPr>
      <w:r>
        <w:rPr>
          <w:sz w:val="20"/>
        </w:rPr>
        <w:t xml:space="preserve">Крупнейшие отраслевые сектора в экспорте</w:t>
      </w:r>
    </w:p>
    <w:p>
      <w:pPr>
        <w:pStyle w:val="2"/>
        <w:jc w:val="center"/>
      </w:pPr>
      <w:r>
        <w:rPr>
          <w:sz w:val="20"/>
        </w:rPr>
        <w:t xml:space="preserve">Курской области в 2018 году</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93"/>
        <w:gridCol w:w="1990"/>
        <w:gridCol w:w="1978"/>
      </w:tblGrid>
      <w:tr>
        <w:tc>
          <w:tcPr>
            <w:tcW w:w="5093" w:type="dxa"/>
          </w:tcPr>
          <w:p>
            <w:pPr>
              <w:pStyle w:val="0"/>
              <w:jc w:val="center"/>
            </w:pPr>
            <w:r>
              <w:rPr>
                <w:sz w:val="20"/>
              </w:rPr>
              <w:t xml:space="preserve">Товарная группа</w:t>
            </w:r>
          </w:p>
        </w:tc>
        <w:tc>
          <w:tcPr>
            <w:tcW w:w="1990" w:type="dxa"/>
          </w:tcPr>
          <w:p>
            <w:pPr>
              <w:pStyle w:val="0"/>
              <w:jc w:val="center"/>
            </w:pPr>
            <w:r>
              <w:rPr>
                <w:sz w:val="20"/>
              </w:rPr>
              <w:t xml:space="preserve">Объем экспорта, млн. долл. США</w:t>
            </w:r>
          </w:p>
        </w:tc>
        <w:tc>
          <w:tcPr>
            <w:tcW w:w="1978" w:type="dxa"/>
          </w:tcPr>
          <w:p>
            <w:pPr>
              <w:pStyle w:val="0"/>
              <w:jc w:val="center"/>
            </w:pPr>
            <w:r>
              <w:rPr>
                <w:sz w:val="20"/>
              </w:rPr>
              <w:t xml:space="preserve">Доля в общем объеме экспорта</w:t>
            </w:r>
          </w:p>
        </w:tc>
      </w:tr>
      <w:tr>
        <w:tc>
          <w:tcPr>
            <w:tcW w:w="5093" w:type="dxa"/>
          </w:tcPr>
          <w:p>
            <w:pPr>
              <w:pStyle w:val="0"/>
            </w:pPr>
            <w:r>
              <w:rPr>
                <w:sz w:val="20"/>
              </w:rPr>
              <w:t xml:space="preserve">Минеральные продукты</w:t>
            </w:r>
          </w:p>
        </w:tc>
        <w:tc>
          <w:tcPr>
            <w:tcW w:w="1990" w:type="dxa"/>
          </w:tcPr>
          <w:p>
            <w:pPr>
              <w:pStyle w:val="0"/>
              <w:jc w:val="center"/>
            </w:pPr>
            <w:r>
              <w:rPr>
                <w:sz w:val="20"/>
              </w:rPr>
              <w:t xml:space="preserve">262,3</w:t>
            </w:r>
          </w:p>
        </w:tc>
        <w:tc>
          <w:tcPr>
            <w:tcW w:w="1978" w:type="dxa"/>
          </w:tcPr>
          <w:p>
            <w:pPr>
              <w:pStyle w:val="0"/>
              <w:jc w:val="center"/>
            </w:pPr>
            <w:r>
              <w:rPr>
                <w:sz w:val="20"/>
              </w:rPr>
              <w:t xml:space="preserve">38,4%</w:t>
            </w:r>
          </w:p>
        </w:tc>
      </w:tr>
      <w:tr>
        <w:tc>
          <w:tcPr>
            <w:tcW w:w="5093" w:type="dxa"/>
          </w:tcPr>
          <w:p>
            <w:pPr>
              <w:pStyle w:val="0"/>
            </w:pPr>
            <w:r>
              <w:rPr>
                <w:sz w:val="20"/>
              </w:rPr>
              <w:t xml:space="preserve">Продовольственные товары и сельскохозяйственное сырье</w:t>
            </w:r>
          </w:p>
        </w:tc>
        <w:tc>
          <w:tcPr>
            <w:tcW w:w="1990" w:type="dxa"/>
          </w:tcPr>
          <w:p>
            <w:pPr>
              <w:pStyle w:val="0"/>
              <w:jc w:val="center"/>
            </w:pPr>
            <w:r>
              <w:rPr>
                <w:sz w:val="20"/>
              </w:rPr>
              <w:t xml:space="preserve">192,4</w:t>
            </w:r>
          </w:p>
        </w:tc>
        <w:tc>
          <w:tcPr>
            <w:tcW w:w="1978" w:type="dxa"/>
          </w:tcPr>
          <w:p>
            <w:pPr>
              <w:pStyle w:val="0"/>
              <w:jc w:val="center"/>
            </w:pPr>
            <w:r>
              <w:rPr>
                <w:sz w:val="20"/>
              </w:rPr>
              <w:t xml:space="preserve">28,1%</w:t>
            </w:r>
          </w:p>
        </w:tc>
      </w:tr>
      <w:tr>
        <w:tc>
          <w:tcPr>
            <w:tcW w:w="5093" w:type="dxa"/>
          </w:tcPr>
          <w:p>
            <w:pPr>
              <w:pStyle w:val="0"/>
            </w:pPr>
            <w:r>
              <w:rPr>
                <w:sz w:val="20"/>
              </w:rPr>
              <w:t xml:space="preserve">Продукция химической промышленности, каучук</w:t>
            </w:r>
          </w:p>
        </w:tc>
        <w:tc>
          <w:tcPr>
            <w:tcW w:w="1990" w:type="dxa"/>
          </w:tcPr>
          <w:p>
            <w:pPr>
              <w:pStyle w:val="0"/>
              <w:jc w:val="center"/>
            </w:pPr>
            <w:r>
              <w:rPr>
                <w:sz w:val="20"/>
              </w:rPr>
              <w:t xml:space="preserve">86,5</w:t>
            </w:r>
          </w:p>
        </w:tc>
        <w:tc>
          <w:tcPr>
            <w:tcW w:w="1978" w:type="dxa"/>
          </w:tcPr>
          <w:p>
            <w:pPr>
              <w:pStyle w:val="0"/>
              <w:jc w:val="center"/>
            </w:pPr>
            <w:r>
              <w:rPr>
                <w:sz w:val="20"/>
              </w:rPr>
              <w:t xml:space="preserve">12,7%</w:t>
            </w:r>
          </w:p>
        </w:tc>
      </w:tr>
      <w:tr>
        <w:tc>
          <w:tcPr>
            <w:tcW w:w="5093" w:type="dxa"/>
          </w:tcPr>
          <w:p>
            <w:pPr>
              <w:pStyle w:val="0"/>
            </w:pPr>
            <w:r>
              <w:rPr>
                <w:sz w:val="20"/>
              </w:rPr>
              <w:t xml:space="preserve">Машины, оборудование и транспортные средства</w:t>
            </w:r>
          </w:p>
        </w:tc>
        <w:tc>
          <w:tcPr>
            <w:tcW w:w="1990" w:type="dxa"/>
          </w:tcPr>
          <w:p>
            <w:pPr>
              <w:pStyle w:val="0"/>
              <w:jc w:val="center"/>
            </w:pPr>
            <w:r>
              <w:rPr>
                <w:sz w:val="20"/>
              </w:rPr>
              <w:t xml:space="preserve">49,9</w:t>
            </w:r>
          </w:p>
        </w:tc>
        <w:tc>
          <w:tcPr>
            <w:tcW w:w="1978" w:type="dxa"/>
          </w:tcPr>
          <w:p>
            <w:pPr>
              <w:pStyle w:val="0"/>
              <w:jc w:val="center"/>
            </w:pPr>
            <w:r>
              <w:rPr>
                <w:sz w:val="20"/>
              </w:rPr>
              <w:t xml:space="preserve">7,3%</w:t>
            </w:r>
          </w:p>
        </w:tc>
      </w:tr>
      <w:tr>
        <w:tc>
          <w:tcPr>
            <w:tcW w:w="5093" w:type="dxa"/>
          </w:tcPr>
          <w:p>
            <w:pPr>
              <w:pStyle w:val="0"/>
            </w:pPr>
            <w:r>
              <w:rPr>
                <w:sz w:val="20"/>
              </w:rPr>
              <w:t xml:space="preserve">Металлы и изделия из них</w:t>
            </w:r>
          </w:p>
        </w:tc>
        <w:tc>
          <w:tcPr>
            <w:tcW w:w="1990" w:type="dxa"/>
          </w:tcPr>
          <w:p>
            <w:pPr>
              <w:pStyle w:val="0"/>
              <w:jc w:val="center"/>
            </w:pPr>
            <w:r>
              <w:rPr>
                <w:sz w:val="20"/>
              </w:rPr>
              <w:t xml:space="preserve">45,0</w:t>
            </w:r>
          </w:p>
        </w:tc>
        <w:tc>
          <w:tcPr>
            <w:tcW w:w="1978" w:type="dxa"/>
          </w:tcPr>
          <w:p>
            <w:pPr>
              <w:pStyle w:val="0"/>
              <w:jc w:val="center"/>
            </w:pPr>
            <w:r>
              <w:rPr>
                <w:sz w:val="20"/>
              </w:rPr>
              <w:t xml:space="preserve">6,6%</w:t>
            </w:r>
          </w:p>
        </w:tc>
      </w:tr>
      <w:tr>
        <w:tc>
          <w:tcPr>
            <w:tcW w:w="5093" w:type="dxa"/>
          </w:tcPr>
          <w:p>
            <w:pPr>
              <w:pStyle w:val="0"/>
            </w:pPr>
            <w:r>
              <w:rPr>
                <w:sz w:val="20"/>
              </w:rPr>
              <w:t xml:space="preserve">Текстиль, текстильные изделия и обувь</w:t>
            </w:r>
          </w:p>
        </w:tc>
        <w:tc>
          <w:tcPr>
            <w:tcW w:w="1990" w:type="dxa"/>
          </w:tcPr>
          <w:p>
            <w:pPr>
              <w:pStyle w:val="0"/>
              <w:jc w:val="center"/>
            </w:pPr>
            <w:r>
              <w:rPr>
                <w:sz w:val="20"/>
              </w:rPr>
              <w:t xml:space="preserve">32,4</w:t>
            </w:r>
          </w:p>
        </w:tc>
        <w:tc>
          <w:tcPr>
            <w:tcW w:w="1978" w:type="dxa"/>
          </w:tcPr>
          <w:p>
            <w:pPr>
              <w:pStyle w:val="0"/>
              <w:jc w:val="center"/>
            </w:pPr>
            <w:r>
              <w:rPr>
                <w:sz w:val="20"/>
              </w:rPr>
              <w:t xml:space="preserve">4,7%</w:t>
            </w:r>
          </w:p>
        </w:tc>
      </w:tr>
      <w:tr>
        <w:tc>
          <w:tcPr>
            <w:tcW w:w="5093" w:type="dxa"/>
          </w:tcPr>
          <w:p>
            <w:pPr>
              <w:pStyle w:val="0"/>
            </w:pPr>
            <w:r>
              <w:rPr>
                <w:sz w:val="20"/>
              </w:rPr>
              <w:t xml:space="preserve">Древесина и целлюлозно-бумажные изделия</w:t>
            </w:r>
          </w:p>
        </w:tc>
        <w:tc>
          <w:tcPr>
            <w:tcW w:w="1990" w:type="dxa"/>
          </w:tcPr>
          <w:p>
            <w:pPr>
              <w:pStyle w:val="0"/>
              <w:jc w:val="center"/>
            </w:pPr>
            <w:r>
              <w:rPr>
                <w:sz w:val="20"/>
              </w:rPr>
              <w:t xml:space="preserve">9,9</w:t>
            </w:r>
          </w:p>
        </w:tc>
        <w:tc>
          <w:tcPr>
            <w:tcW w:w="1978" w:type="dxa"/>
          </w:tcPr>
          <w:p>
            <w:pPr>
              <w:pStyle w:val="0"/>
              <w:jc w:val="center"/>
            </w:pPr>
            <w:r>
              <w:rPr>
                <w:sz w:val="20"/>
              </w:rPr>
              <w:t xml:space="preserve">1,4%</w:t>
            </w:r>
          </w:p>
        </w:tc>
      </w:tr>
      <w:tr>
        <w:tc>
          <w:tcPr>
            <w:tcW w:w="5093" w:type="dxa"/>
          </w:tcPr>
          <w:p>
            <w:pPr>
              <w:pStyle w:val="0"/>
            </w:pPr>
            <w:r>
              <w:rPr>
                <w:sz w:val="20"/>
              </w:rPr>
              <w:t xml:space="preserve">Другие товары</w:t>
            </w:r>
          </w:p>
        </w:tc>
        <w:tc>
          <w:tcPr>
            <w:tcW w:w="1990" w:type="dxa"/>
          </w:tcPr>
          <w:p>
            <w:pPr>
              <w:pStyle w:val="0"/>
              <w:jc w:val="center"/>
            </w:pPr>
            <w:r>
              <w:rPr>
                <w:sz w:val="20"/>
              </w:rPr>
              <w:t xml:space="preserve">3,0</w:t>
            </w:r>
          </w:p>
        </w:tc>
        <w:tc>
          <w:tcPr>
            <w:tcW w:w="1978" w:type="dxa"/>
          </w:tcPr>
          <w:p>
            <w:pPr>
              <w:pStyle w:val="0"/>
              <w:jc w:val="center"/>
            </w:pPr>
            <w:r>
              <w:rPr>
                <w:sz w:val="20"/>
              </w:rPr>
              <w:t xml:space="preserve">0,4%</w:t>
            </w:r>
          </w:p>
        </w:tc>
      </w:tr>
      <w:tr>
        <w:tc>
          <w:tcPr>
            <w:tcW w:w="5093" w:type="dxa"/>
          </w:tcPr>
          <w:p>
            <w:pPr>
              <w:pStyle w:val="0"/>
            </w:pPr>
            <w:r>
              <w:rPr>
                <w:sz w:val="20"/>
              </w:rPr>
              <w:t xml:space="preserve">Кожевенное сырье, пушнина и изделия из них</w:t>
            </w:r>
          </w:p>
        </w:tc>
        <w:tc>
          <w:tcPr>
            <w:tcW w:w="1990" w:type="dxa"/>
          </w:tcPr>
          <w:p>
            <w:pPr>
              <w:pStyle w:val="0"/>
              <w:jc w:val="center"/>
            </w:pPr>
            <w:r>
              <w:rPr>
                <w:sz w:val="20"/>
              </w:rPr>
              <w:t xml:space="preserve">2,0</w:t>
            </w:r>
          </w:p>
        </w:tc>
        <w:tc>
          <w:tcPr>
            <w:tcW w:w="1978" w:type="dxa"/>
          </w:tcPr>
          <w:p>
            <w:pPr>
              <w:pStyle w:val="0"/>
              <w:jc w:val="center"/>
            </w:pPr>
            <w:r>
              <w:rPr>
                <w:sz w:val="20"/>
              </w:rPr>
              <w:t xml:space="preserve">0,3%</w:t>
            </w:r>
          </w:p>
        </w:tc>
      </w:tr>
      <w:tr>
        <w:tc>
          <w:tcPr>
            <w:tcW w:w="5093" w:type="dxa"/>
          </w:tcPr>
          <w:p>
            <w:pPr>
              <w:pStyle w:val="0"/>
            </w:pPr>
            <w:r>
              <w:rPr>
                <w:sz w:val="20"/>
              </w:rPr>
              <w:t xml:space="preserve">Итого</w:t>
            </w:r>
          </w:p>
        </w:tc>
        <w:tc>
          <w:tcPr>
            <w:tcW w:w="1990" w:type="dxa"/>
          </w:tcPr>
          <w:p>
            <w:pPr>
              <w:pStyle w:val="0"/>
              <w:jc w:val="center"/>
            </w:pPr>
            <w:r>
              <w:rPr>
                <w:sz w:val="20"/>
              </w:rPr>
              <w:t xml:space="preserve">683,5</w:t>
            </w:r>
          </w:p>
        </w:tc>
        <w:tc>
          <w:tcPr>
            <w:tcW w:w="1978" w:type="dxa"/>
          </w:tcPr>
          <w:p>
            <w:pPr>
              <w:pStyle w:val="0"/>
              <w:jc w:val="center"/>
            </w:pPr>
            <w:r>
              <w:rPr>
                <w:sz w:val="20"/>
              </w:rPr>
              <w:t xml:space="preserve">100%</w:t>
            </w:r>
          </w:p>
        </w:tc>
      </w:tr>
    </w:tbl>
    <w:p>
      <w:pPr>
        <w:pStyle w:val="0"/>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расчет АО "Альянс Консалтинг".</w:t>
      </w:r>
    </w:p>
    <w:p>
      <w:pPr>
        <w:pStyle w:val="0"/>
        <w:ind w:firstLine="540"/>
        <w:jc w:val="both"/>
      </w:pPr>
      <w:r>
        <w:rPr>
          <w:sz w:val="20"/>
        </w:rPr>
      </w:r>
    </w:p>
    <w:p>
      <w:pPr>
        <w:pStyle w:val="0"/>
        <w:ind w:firstLine="540"/>
        <w:jc w:val="both"/>
      </w:pPr>
      <w:r>
        <w:rPr>
          <w:sz w:val="20"/>
        </w:rPr>
        <w:t xml:space="preserve">В 2015 - 2018 гг. экспорт Курской области показал разнонаправленную динамику изменения в разрезе товарных групп. Среди товаров, демонстрирующих положительный тренд в последние два года, можно выделить группы товаров "Продовольственные товары и сельскохозяйственное сырье", "Продукция химической промышленности, каучук", "Текстиль, текстильные изделия и обувь" и "Древесина и целлюлозно-бумажные изделия". Наибольшие темпы прироста в процентном соотношении в 2018 году по сравнению с уровнем 2017 года показали группы товаров "Продовольственные товары и сельскохозяйственное сырье" (66%) и "Кожевенное сырье, пушнина и изделия из них" (28%). Наибольшие темпы прироста в денежном выражении продемонстрировали "Продовольственные товары и сельскохозяйственное сырье" (+76,4 млн. долл. США) и "Продукция химической промышленности, каучук" (+6,6 млн. долл. США).</w:t>
      </w:r>
    </w:p>
    <w:p>
      <w:pPr>
        <w:pStyle w:val="0"/>
        <w:jc w:val="center"/>
      </w:pPr>
      <w:r>
        <w:rPr>
          <w:sz w:val="20"/>
        </w:rPr>
      </w:r>
    </w:p>
    <w:p>
      <w:pPr>
        <w:pStyle w:val="0"/>
        <w:outlineLvl w:val="5"/>
        <w:jc w:val="right"/>
      </w:pPr>
      <w:r>
        <w:rPr>
          <w:sz w:val="20"/>
        </w:rPr>
        <w:t xml:space="preserve">Таблица N 9</w:t>
      </w:r>
    </w:p>
    <w:p>
      <w:pPr>
        <w:pStyle w:val="0"/>
        <w:jc w:val="center"/>
      </w:pPr>
      <w:r>
        <w:rPr>
          <w:sz w:val="20"/>
        </w:rPr>
      </w:r>
    </w:p>
    <w:p>
      <w:pPr>
        <w:pStyle w:val="2"/>
        <w:jc w:val="center"/>
      </w:pPr>
      <w:r>
        <w:rPr>
          <w:sz w:val="20"/>
        </w:rPr>
        <w:t xml:space="preserve">Отраслевая динамика экспорта Курской области</w:t>
      </w:r>
    </w:p>
    <w:p>
      <w:pPr>
        <w:pStyle w:val="2"/>
        <w:jc w:val="center"/>
      </w:pPr>
      <w:r>
        <w:rPr>
          <w:sz w:val="20"/>
        </w:rPr>
        <w:t xml:space="preserve">в 2015 - 2018 гг. (в процентах к уровню предыдущего года)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92"/>
        <w:gridCol w:w="893"/>
        <w:gridCol w:w="894"/>
        <w:gridCol w:w="894"/>
        <w:gridCol w:w="894"/>
      </w:tblGrid>
      <w:tr>
        <w:tc>
          <w:tcPr>
            <w:tcW w:w="5492" w:type="dxa"/>
            <w:vAlign w:val="center"/>
          </w:tcPr>
          <w:p>
            <w:pPr>
              <w:pStyle w:val="0"/>
              <w:jc w:val="center"/>
            </w:pPr>
            <w:r>
              <w:rPr>
                <w:sz w:val="20"/>
              </w:rPr>
              <w:t xml:space="preserve">Товарная группа</w:t>
            </w:r>
          </w:p>
        </w:tc>
        <w:tc>
          <w:tcPr>
            <w:tcW w:w="893" w:type="dxa"/>
            <w:vAlign w:val="center"/>
          </w:tcPr>
          <w:p>
            <w:pPr>
              <w:pStyle w:val="0"/>
              <w:jc w:val="center"/>
            </w:pPr>
            <w:r>
              <w:rPr>
                <w:sz w:val="20"/>
              </w:rPr>
              <w:t xml:space="preserve">2015 г.</w:t>
            </w:r>
          </w:p>
        </w:tc>
        <w:tc>
          <w:tcPr>
            <w:tcW w:w="894" w:type="dxa"/>
            <w:vAlign w:val="center"/>
          </w:tcPr>
          <w:p>
            <w:pPr>
              <w:pStyle w:val="0"/>
              <w:jc w:val="center"/>
            </w:pPr>
            <w:r>
              <w:rPr>
                <w:sz w:val="20"/>
              </w:rPr>
              <w:t xml:space="preserve">2016 г.</w:t>
            </w:r>
          </w:p>
        </w:tc>
        <w:tc>
          <w:tcPr>
            <w:tcW w:w="894" w:type="dxa"/>
            <w:vAlign w:val="center"/>
          </w:tcPr>
          <w:p>
            <w:pPr>
              <w:pStyle w:val="0"/>
              <w:jc w:val="center"/>
            </w:pPr>
            <w:r>
              <w:rPr>
                <w:sz w:val="20"/>
              </w:rPr>
              <w:t xml:space="preserve">2017 г.</w:t>
            </w:r>
          </w:p>
        </w:tc>
        <w:tc>
          <w:tcPr>
            <w:tcW w:w="894" w:type="dxa"/>
            <w:vAlign w:val="center"/>
          </w:tcPr>
          <w:p>
            <w:pPr>
              <w:pStyle w:val="0"/>
              <w:jc w:val="center"/>
            </w:pPr>
            <w:r>
              <w:rPr>
                <w:sz w:val="20"/>
              </w:rPr>
              <w:t xml:space="preserve">2018 г.</w:t>
            </w:r>
          </w:p>
        </w:tc>
      </w:tr>
      <w:tr>
        <w:tc>
          <w:tcPr>
            <w:tcW w:w="5492" w:type="dxa"/>
            <w:vAlign w:val="center"/>
          </w:tcPr>
          <w:p>
            <w:pPr>
              <w:pStyle w:val="0"/>
            </w:pPr>
            <w:r>
              <w:rPr>
                <w:sz w:val="20"/>
              </w:rPr>
              <w:t xml:space="preserve">Минеральные продукты</w:t>
            </w:r>
          </w:p>
        </w:tc>
        <w:tc>
          <w:tcPr>
            <w:tcW w:w="893" w:type="dxa"/>
            <w:vAlign w:val="center"/>
          </w:tcPr>
          <w:p>
            <w:pPr>
              <w:pStyle w:val="0"/>
              <w:jc w:val="center"/>
            </w:pPr>
            <w:r>
              <w:rPr>
                <w:sz w:val="20"/>
              </w:rPr>
              <w:t xml:space="preserve">-66%</w:t>
            </w:r>
          </w:p>
        </w:tc>
        <w:tc>
          <w:tcPr>
            <w:tcW w:w="894" w:type="dxa"/>
            <w:vAlign w:val="center"/>
          </w:tcPr>
          <w:p>
            <w:pPr>
              <w:pStyle w:val="0"/>
              <w:jc w:val="center"/>
            </w:pPr>
            <w:r>
              <w:rPr>
                <w:sz w:val="20"/>
              </w:rPr>
              <w:t xml:space="preserve">30%</w:t>
            </w:r>
          </w:p>
        </w:tc>
        <w:tc>
          <w:tcPr>
            <w:tcW w:w="894" w:type="dxa"/>
            <w:vAlign w:val="center"/>
          </w:tcPr>
          <w:p>
            <w:pPr>
              <w:pStyle w:val="0"/>
              <w:jc w:val="center"/>
            </w:pPr>
            <w:r>
              <w:rPr>
                <w:sz w:val="20"/>
              </w:rPr>
              <w:t xml:space="preserve">134%</w:t>
            </w:r>
          </w:p>
        </w:tc>
        <w:tc>
          <w:tcPr>
            <w:tcW w:w="894" w:type="dxa"/>
            <w:vAlign w:val="center"/>
          </w:tcPr>
          <w:p>
            <w:pPr>
              <w:pStyle w:val="0"/>
              <w:jc w:val="center"/>
            </w:pPr>
            <w:r>
              <w:rPr>
                <w:sz w:val="20"/>
              </w:rPr>
              <w:t xml:space="preserve">-2%</w:t>
            </w:r>
          </w:p>
        </w:tc>
      </w:tr>
      <w:tr>
        <w:tc>
          <w:tcPr>
            <w:tcW w:w="5492" w:type="dxa"/>
            <w:vAlign w:val="center"/>
          </w:tcPr>
          <w:p>
            <w:pPr>
              <w:pStyle w:val="0"/>
            </w:pPr>
            <w:r>
              <w:rPr>
                <w:sz w:val="20"/>
              </w:rPr>
              <w:t xml:space="preserve">Продовольственные товары и сельскохозяйственное сырье (кроме текстильного)</w:t>
            </w:r>
          </w:p>
        </w:tc>
        <w:tc>
          <w:tcPr>
            <w:tcW w:w="893" w:type="dxa"/>
            <w:vAlign w:val="center"/>
          </w:tcPr>
          <w:p>
            <w:pPr>
              <w:pStyle w:val="0"/>
              <w:jc w:val="center"/>
            </w:pPr>
            <w:r>
              <w:rPr>
                <w:sz w:val="20"/>
              </w:rPr>
              <w:t xml:space="preserve">-12%</w:t>
            </w:r>
          </w:p>
        </w:tc>
        <w:tc>
          <w:tcPr>
            <w:tcW w:w="894" w:type="dxa"/>
            <w:vAlign w:val="center"/>
          </w:tcPr>
          <w:p>
            <w:pPr>
              <w:pStyle w:val="0"/>
              <w:jc w:val="center"/>
            </w:pPr>
            <w:r>
              <w:rPr>
                <w:sz w:val="20"/>
              </w:rPr>
              <w:t xml:space="preserve">0%</w:t>
            </w:r>
          </w:p>
        </w:tc>
        <w:tc>
          <w:tcPr>
            <w:tcW w:w="894" w:type="dxa"/>
            <w:vAlign w:val="center"/>
          </w:tcPr>
          <w:p>
            <w:pPr>
              <w:pStyle w:val="0"/>
              <w:jc w:val="center"/>
            </w:pPr>
            <w:r>
              <w:rPr>
                <w:sz w:val="20"/>
              </w:rPr>
              <w:t xml:space="preserve">9%</w:t>
            </w:r>
          </w:p>
        </w:tc>
        <w:tc>
          <w:tcPr>
            <w:tcW w:w="894" w:type="dxa"/>
            <w:vAlign w:val="center"/>
          </w:tcPr>
          <w:p>
            <w:pPr>
              <w:pStyle w:val="0"/>
              <w:jc w:val="center"/>
            </w:pPr>
            <w:r>
              <w:rPr>
                <w:sz w:val="20"/>
              </w:rPr>
              <w:t xml:space="preserve">66%</w:t>
            </w:r>
          </w:p>
        </w:tc>
      </w:tr>
      <w:tr>
        <w:tc>
          <w:tcPr>
            <w:tcW w:w="5492" w:type="dxa"/>
            <w:vAlign w:val="center"/>
          </w:tcPr>
          <w:p>
            <w:pPr>
              <w:pStyle w:val="0"/>
            </w:pPr>
            <w:r>
              <w:rPr>
                <w:sz w:val="20"/>
              </w:rPr>
              <w:t xml:space="preserve">Продукция химической промышленности, каучук</w:t>
            </w:r>
          </w:p>
        </w:tc>
        <w:tc>
          <w:tcPr>
            <w:tcW w:w="893" w:type="dxa"/>
            <w:vAlign w:val="center"/>
          </w:tcPr>
          <w:p>
            <w:pPr>
              <w:pStyle w:val="0"/>
              <w:jc w:val="center"/>
            </w:pPr>
            <w:r>
              <w:rPr>
                <w:sz w:val="20"/>
              </w:rPr>
              <w:t xml:space="preserve">-7%</w:t>
            </w:r>
          </w:p>
        </w:tc>
        <w:tc>
          <w:tcPr>
            <w:tcW w:w="894" w:type="dxa"/>
            <w:vAlign w:val="center"/>
          </w:tcPr>
          <w:p>
            <w:pPr>
              <w:pStyle w:val="0"/>
              <w:jc w:val="center"/>
            </w:pPr>
            <w:r>
              <w:rPr>
                <w:sz w:val="20"/>
              </w:rPr>
              <w:t xml:space="preserve">-8%</w:t>
            </w:r>
          </w:p>
        </w:tc>
        <w:tc>
          <w:tcPr>
            <w:tcW w:w="894" w:type="dxa"/>
            <w:vAlign w:val="center"/>
          </w:tcPr>
          <w:p>
            <w:pPr>
              <w:pStyle w:val="0"/>
              <w:jc w:val="center"/>
            </w:pPr>
            <w:r>
              <w:rPr>
                <w:sz w:val="20"/>
              </w:rPr>
              <w:t xml:space="preserve">10%</w:t>
            </w:r>
          </w:p>
        </w:tc>
        <w:tc>
          <w:tcPr>
            <w:tcW w:w="894" w:type="dxa"/>
            <w:vAlign w:val="center"/>
          </w:tcPr>
          <w:p>
            <w:pPr>
              <w:pStyle w:val="0"/>
              <w:jc w:val="center"/>
            </w:pPr>
            <w:r>
              <w:rPr>
                <w:sz w:val="20"/>
              </w:rPr>
              <w:t xml:space="preserve">8%</w:t>
            </w:r>
          </w:p>
        </w:tc>
      </w:tr>
      <w:tr>
        <w:tc>
          <w:tcPr>
            <w:tcW w:w="5492" w:type="dxa"/>
            <w:vAlign w:val="center"/>
          </w:tcPr>
          <w:p>
            <w:pPr>
              <w:pStyle w:val="0"/>
            </w:pPr>
            <w:r>
              <w:rPr>
                <w:sz w:val="20"/>
              </w:rPr>
              <w:t xml:space="preserve">Машины, оборудование и транспортные средства</w:t>
            </w:r>
          </w:p>
        </w:tc>
        <w:tc>
          <w:tcPr>
            <w:tcW w:w="893" w:type="dxa"/>
            <w:vAlign w:val="center"/>
          </w:tcPr>
          <w:p>
            <w:pPr>
              <w:pStyle w:val="0"/>
              <w:jc w:val="center"/>
            </w:pPr>
            <w:r>
              <w:rPr>
                <w:sz w:val="20"/>
              </w:rPr>
              <w:t xml:space="preserve">31%</w:t>
            </w:r>
          </w:p>
        </w:tc>
        <w:tc>
          <w:tcPr>
            <w:tcW w:w="894" w:type="dxa"/>
            <w:vAlign w:val="center"/>
          </w:tcPr>
          <w:p>
            <w:pPr>
              <w:pStyle w:val="0"/>
              <w:jc w:val="center"/>
            </w:pPr>
            <w:r>
              <w:rPr>
                <w:sz w:val="20"/>
              </w:rPr>
              <w:t xml:space="preserve">95%</w:t>
            </w:r>
          </w:p>
        </w:tc>
        <w:tc>
          <w:tcPr>
            <w:tcW w:w="894" w:type="dxa"/>
            <w:vAlign w:val="center"/>
          </w:tcPr>
          <w:p>
            <w:pPr>
              <w:pStyle w:val="0"/>
              <w:jc w:val="center"/>
            </w:pPr>
            <w:r>
              <w:rPr>
                <w:sz w:val="20"/>
              </w:rPr>
              <w:t xml:space="preserve">-35%</w:t>
            </w:r>
          </w:p>
        </w:tc>
        <w:tc>
          <w:tcPr>
            <w:tcW w:w="894" w:type="dxa"/>
            <w:vAlign w:val="center"/>
          </w:tcPr>
          <w:p>
            <w:pPr>
              <w:pStyle w:val="0"/>
              <w:jc w:val="center"/>
            </w:pPr>
            <w:r>
              <w:rPr>
                <w:sz w:val="20"/>
              </w:rPr>
              <w:t xml:space="preserve">-23%</w:t>
            </w:r>
          </w:p>
        </w:tc>
      </w:tr>
      <w:tr>
        <w:tc>
          <w:tcPr>
            <w:tcW w:w="5492" w:type="dxa"/>
            <w:vAlign w:val="center"/>
          </w:tcPr>
          <w:p>
            <w:pPr>
              <w:pStyle w:val="0"/>
            </w:pPr>
            <w:r>
              <w:rPr>
                <w:sz w:val="20"/>
              </w:rPr>
              <w:t xml:space="preserve">Металлы и изделия из них</w:t>
            </w:r>
          </w:p>
        </w:tc>
        <w:tc>
          <w:tcPr>
            <w:tcW w:w="893" w:type="dxa"/>
            <w:vAlign w:val="center"/>
          </w:tcPr>
          <w:p>
            <w:pPr>
              <w:pStyle w:val="0"/>
              <w:jc w:val="center"/>
            </w:pPr>
            <w:r>
              <w:rPr>
                <w:sz w:val="20"/>
              </w:rPr>
              <w:t xml:space="preserve">31%</w:t>
            </w:r>
          </w:p>
        </w:tc>
        <w:tc>
          <w:tcPr>
            <w:tcW w:w="894" w:type="dxa"/>
            <w:vAlign w:val="center"/>
          </w:tcPr>
          <w:p>
            <w:pPr>
              <w:pStyle w:val="0"/>
              <w:jc w:val="center"/>
            </w:pPr>
            <w:r>
              <w:rPr>
                <w:sz w:val="20"/>
              </w:rPr>
              <w:t xml:space="preserve">-42%</w:t>
            </w:r>
          </w:p>
        </w:tc>
        <w:tc>
          <w:tcPr>
            <w:tcW w:w="894" w:type="dxa"/>
            <w:vAlign w:val="center"/>
          </w:tcPr>
          <w:p>
            <w:pPr>
              <w:pStyle w:val="0"/>
              <w:jc w:val="center"/>
            </w:pPr>
            <w:r>
              <w:rPr>
                <w:sz w:val="20"/>
              </w:rPr>
              <w:t xml:space="preserve">117%</w:t>
            </w:r>
          </w:p>
        </w:tc>
        <w:tc>
          <w:tcPr>
            <w:tcW w:w="894" w:type="dxa"/>
            <w:vAlign w:val="center"/>
          </w:tcPr>
          <w:p>
            <w:pPr>
              <w:pStyle w:val="0"/>
              <w:jc w:val="center"/>
            </w:pPr>
            <w:r>
              <w:rPr>
                <w:sz w:val="20"/>
              </w:rPr>
              <w:t xml:space="preserve">-10%</w:t>
            </w:r>
          </w:p>
        </w:tc>
      </w:tr>
      <w:tr>
        <w:tc>
          <w:tcPr>
            <w:tcW w:w="5492" w:type="dxa"/>
            <w:vAlign w:val="center"/>
          </w:tcPr>
          <w:p>
            <w:pPr>
              <w:pStyle w:val="0"/>
            </w:pPr>
            <w:r>
              <w:rPr>
                <w:sz w:val="20"/>
              </w:rPr>
              <w:t xml:space="preserve">Текстиль, текстильные изделия и обувь</w:t>
            </w:r>
          </w:p>
        </w:tc>
        <w:tc>
          <w:tcPr>
            <w:tcW w:w="893" w:type="dxa"/>
            <w:vAlign w:val="center"/>
          </w:tcPr>
          <w:p>
            <w:pPr>
              <w:pStyle w:val="0"/>
              <w:jc w:val="center"/>
            </w:pPr>
            <w:r>
              <w:rPr>
                <w:sz w:val="20"/>
              </w:rPr>
              <w:t xml:space="preserve">-22%</w:t>
            </w:r>
          </w:p>
        </w:tc>
        <w:tc>
          <w:tcPr>
            <w:tcW w:w="894" w:type="dxa"/>
            <w:vAlign w:val="center"/>
          </w:tcPr>
          <w:p>
            <w:pPr>
              <w:pStyle w:val="0"/>
              <w:jc w:val="center"/>
            </w:pPr>
            <w:r>
              <w:rPr>
                <w:sz w:val="20"/>
              </w:rPr>
              <w:t xml:space="preserve">6%</w:t>
            </w:r>
          </w:p>
        </w:tc>
        <w:tc>
          <w:tcPr>
            <w:tcW w:w="894" w:type="dxa"/>
            <w:vAlign w:val="center"/>
          </w:tcPr>
          <w:p>
            <w:pPr>
              <w:pStyle w:val="0"/>
              <w:jc w:val="center"/>
            </w:pPr>
            <w:r>
              <w:rPr>
                <w:sz w:val="20"/>
              </w:rPr>
              <w:t xml:space="preserve">20%</w:t>
            </w:r>
          </w:p>
        </w:tc>
        <w:tc>
          <w:tcPr>
            <w:tcW w:w="894" w:type="dxa"/>
            <w:vAlign w:val="center"/>
          </w:tcPr>
          <w:p>
            <w:pPr>
              <w:pStyle w:val="0"/>
              <w:jc w:val="center"/>
            </w:pPr>
            <w:r>
              <w:rPr>
                <w:sz w:val="20"/>
              </w:rPr>
              <w:t xml:space="preserve">5%</w:t>
            </w:r>
          </w:p>
        </w:tc>
      </w:tr>
      <w:tr>
        <w:tc>
          <w:tcPr>
            <w:tcW w:w="5492" w:type="dxa"/>
            <w:vAlign w:val="center"/>
          </w:tcPr>
          <w:p>
            <w:pPr>
              <w:pStyle w:val="0"/>
            </w:pPr>
            <w:r>
              <w:rPr>
                <w:sz w:val="20"/>
              </w:rPr>
              <w:t xml:space="preserve">Древесина и целлюлозно-бумажные изделия</w:t>
            </w:r>
          </w:p>
        </w:tc>
        <w:tc>
          <w:tcPr>
            <w:tcW w:w="893" w:type="dxa"/>
            <w:vAlign w:val="center"/>
          </w:tcPr>
          <w:p>
            <w:pPr>
              <w:pStyle w:val="0"/>
              <w:jc w:val="center"/>
            </w:pPr>
            <w:r>
              <w:rPr>
                <w:sz w:val="20"/>
              </w:rPr>
              <w:t xml:space="preserve">-29%</w:t>
            </w:r>
          </w:p>
        </w:tc>
        <w:tc>
          <w:tcPr>
            <w:tcW w:w="894" w:type="dxa"/>
            <w:vAlign w:val="center"/>
          </w:tcPr>
          <w:p>
            <w:pPr>
              <w:pStyle w:val="0"/>
              <w:jc w:val="center"/>
            </w:pPr>
            <w:r>
              <w:rPr>
                <w:sz w:val="20"/>
              </w:rPr>
              <w:t xml:space="preserve">12%</w:t>
            </w:r>
          </w:p>
        </w:tc>
        <w:tc>
          <w:tcPr>
            <w:tcW w:w="894" w:type="dxa"/>
            <w:vAlign w:val="center"/>
          </w:tcPr>
          <w:p>
            <w:pPr>
              <w:pStyle w:val="0"/>
              <w:jc w:val="center"/>
            </w:pPr>
            <w:r>
              <w:rPr>
                <w:sz w:val="20"/>
              </w:rPr>
              <w:t xml:space="preserve">30%</w:t>
            </w:r>
          </w:p>
        </w:tc>
        <w:tc>
          <w:tcPr>
            <w:tcW w:w="894" w:type="dxa"/>
            <w:vAlign w:val="center"/>
          </w:tcPr>
          <w:p>
            <w:pPr>
              <w:pStyle w:val="0"/>
              <w:jc w:val="center"/>
            </w:pPr>
            <w:r>
              <w:rPr>
                <w:sz w:val="20"/>
              </w:rPr>
              <w:t xml:space="preserve">13%</w:t>
            </w:r>
          </w:p>
        </w:tc>
      </w:tr>
      <w:tr>
        <w:tc>
          <w:tcPr>
            <w:tcW w:w="5492" w:type="dxa"/>
            <w:vAlign w:val="center"/>
          </w:tcPr>
          <w:p>
            <w:pPr>
              <w:pStyle w:val="0"/>
            </w:pPr>
            <w:r>
              <w:rPr>
                <w:sz w:val="20"/>
              </w:rPr>
              <w:t xml:space="preserve">Кожевенное сырье, пушнина и изделия из них</w:t>
            </w:r>
          </w:p>
        </w:tc>
        <w:tc>
          <w:tcPr>
            <w:tcW w:w="893" w:type="dxa"/>
            <w:vAlign w:val="center"/>
          </w:tcPr>
          <w:p>
            <w:pPr>
              <w:pStyle w:val="0"/>
              <w:jc w:val="center"/>
            </w:pPr>
            <w:r>
              <w:rPr>
                <w:sz w:val="20"/>
              </w:rPr>
              <w:t xml:space="preserve">-77%</w:t>
            </w:r>
          </w:p>
        </w:tc>
        <w:tc>
          <w:tcPr>
            <w:tcW w:w="894" w:type="dxa"/>
            <w:vAlign w:val="center"/>
          </w:tcPr>
          <w:p>
            <w:pPr>
              <w:pStyle w:val="0"/>
              <w:jc w:val="center"/>
            </w:pPr>
            <w:r>
              <w:rPr>
                <w:sz w:val="20"/>
              </w:rPr>
              <w:t xml:space="preserve">129%</w:t>
            </w:r>
          </w:p>
        </w:tc>
        <w:tc>
          <w:tcPr>
            <w:tcW w:w="894" w:type="dxa"/>
            <w:vAlign w:val="center"/>
          </w:tcPr>
          <w:p>
            <w:pPr>
              <w:pStyle w:val="0"/>
              <w:jc w:val="center"/>
            </w:pPr>
            <w:r>
              <w:rPr>
                <w:sz w:val="20"/>
              </w:rPr>
              <w:t xml:space="preserve">-51%</w:t>
            </w:r>
          </w:p>
        </w:tc>
        <w:tc>
          <w:tcPr>
            <w:tcW w:w="894" w:type="dxa"/>
            <w:vAlign w:val="center"/>
          </w:tcPr>
          <w:p>
            <w:pPr>
              <w:pStyle w:val="0"/>
              <w:jc w:val="center"/>
            </w:pPr>
            <w:r>
              <w:rPr>
                <w:sz w:val="20"/>
              </w:rPr>
              <w:t xml:space="preserve">28%</w:t>
            </w:r>
          </w:p>
        </w:tc>
      </w:tr>
      <w:tr>
        <w:tc>
          <w:tcPr>
            <w:tcW w:w="5492" w:type="dxa"/>
            <w:vAlign w:val="center"/>
          </w:tcPr>
          <w:p>
            <w:pPr>
              <w:pStyle w:val="0"/>
            </w:pPr>
            <w:r>
              <w:rPr>
                <w:sz w:val="20"/>
              </w:rPr>
              <w:t xml:space="preserve">Другие товары</w:t>
            </w:r>
          </w:p>
        </w:tc>
        <w:tc>
          <w:tcPr>
            <w:tcW w:w="893" w:type="dxa"/>
            <w:vAlign w:val="center"/>
          </w:tcPr>
          <w:p>
            <w:pPr>
              <w:pStyle w:val="0"/>
              <w:jc w:val="center"/>
            </w:pPr>
            <w:r>
              <w:rPr>
                <w:sz w:val="20"/>
              </w:rPr>
              <w:t xml:space="preserve">-53%</w:t>
            </w:r>
          </w:p>
        </w:tc>
        <w:tc>
          <w:tcPr>
            <w:tcW w:w="894" w:type="dxa"/>
            <w:vAlign w:val="center"/>
          </w:tcPr>
          <w:p>
            <w:pPr>
              <w:pStyle w:val="0"/>
              <w:jc w:val="center"/>
            </w:pPr>
            <w:r>
              <w:rPr>
                <w:sz w:val="20"/>
              </w:rPr>
              <w:t xml:space="preserve">38%</w:t>
            </w:r>
          </w:p>
        </w:tc>
        <w:tc>
          <w:tcPr>
            <w:tcW w:w="894" w:type="dxa"/>
            <w:vAlign w:val="center"/>
          </w:tcPr>
          <w:p>
            <w:pPr>
              <w:pStyle w:val="0"/>
              <w:jc w:val="center"/>
            </w:pPr>
            <w:r>
              <w:rPr>
                <w:sz w:val="20"/>
              </w:rPr>
              <w:t xml:space="preserve">12%</w:t>
            </w:r>
          </w:p>
        </w:tc>
        <w:tc>
          <w:tcPr>
            <w:tcW w:w="894" w:type="dxa"/>
            <w:vAlign w:val="center"/>
          </w:tcPr>
          <w:p>
            <w:pPr>
              <w:pStyle w:val="0"/>
              <w:jc w:val="center"/>
            </w:pPr>
            <w:r>
              <w:rPr>
                <w:sz w:val="20"/>
              </w:rPr>
              <w:t xml:space="preserve">-58%</w:t>
            </w:r>
          </w:p>
        </w:tc>
      </w:tr>
    </w:tbl>
    <w:p>
      <w:pPr>
        <w:pStyle w:val="0"/>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расчет АО "Альянс Консалтинг".</w:t>
      </w:r>
    </w:p>
    <w:p>
      <w:pPr>
        <w:pStyle w:val="0"/>
        <w:ind w:firstLine="540"/>
        <w:jc w:val="both"/>
      </w:pPr>
      <w:r>
        <w:rPr>
          <w:sz w:val="20"/>
        </w:rPr>
      </w:r>
    </w:p>
    <w:p>
      <w:pPr>
        <w:pStyle w:val="0"/>
        <w:ind w:firstLine="540"/>
        <w:jc w:val="both"/>
      </w:pPr>
      <w:r>
        <w:rPr>
          <w:sz w:val="20"/>
        </w:rPr>
        <w:t xml:space="preserve">Уровень диверсификации экспорта снизился вследствие роста доли минеральных продуктов в структуре экспортных поставок с 22,1% в 2015 году до 38,5% в 2018 году. Объем экспорта Курской области за период с 2015 года по 2018 год увеличился на 287,1 млн. долл. США, однако без учета влияния минеральных продуктов рост составил (при прочих равных условиях) 112,3 млн. долл. США. Необходимо отметить, что, несмотря на рост экспорта продовольственных товаров, существенных изменений в структуре экспорта в сторону углубления диверсификации не наблюдается.</w:t>
      </w:r>
    </w:p>
    <w:p>
      <w:pPr>
        <w:pStyle w:val="0"/>
        <w:spacing w:before="200" w:line-rule="auto"/>
        <w:ind w:firstLine="540"/>
        <w:jc w:val="both"/>
      </w:pPr>
      <w:r>
        <w:rPr>
          <w:sz w:val="20"/>
        </w:rPr>
        <w:t xml:space="preserve">Экспорт больше половины ТНВЭД &lt;6&gt; имеет положительную динамику (по 43 ТНВЭД наблюдается рост поставок, в то время как объемы экспорта по 31 ТНВЭД снизились). Портфель товарных групп с позитивной динамикой роста составил в 2018 году 291 млн. долл. США, с отрицательной динамикой - 392 млн. долл. США. Наибольший относительный рост по сравнению с уровнем 2015 года показали группы минералов и металлов, в первую очередь, медь (60,6 раза), цинк (99,1 раза), алюминий (10,8 раза). Наибольшую динамику прироста в денежном выражении показали следующие товары &lt;7&gt;: "Руды" (+175 млн. долл. США), "Зерно" (+60 млн. долл. США), "Черные металлы" (+15 млн. долл. США), "Мясо" (+12 млн. долл. США). В наибольшей степени снизился экспорт четырех групп товаров: "Свинец" (-10 млн. долл. США), "Средства наземного транспорта" (-6 млн. долл. США), "Какао и продукты из него" (-4,7 млн. долл. США), "Электрические машины" (-3,2 млн. долл. США).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Здесь и далее, если не указано иное, используется группировка ТНВЭД с детализацией до 2 знаков.</w:t>
      </w:r>
    </w:p>
    <w:p>
      <w:pPr>
        <w:pStyle w:val="0"/>
        <w:spacing w:before="200" w:line-rule="auto"/>
        <w:ind w:firstLine="540"/>
        <w:jc w:val="both"/>
      </w:pPr>
      <w:r>
        <w:rPr>
          <w:sz w:val="20"/>
        </w:rPr>
        <w:t xml:space="preserve">&lt;7&gt; Здесь и далее названия товарных групп соответствуют в основном или полностью наименованиям, применяемым в ТН ВЭД.</w:t>
      </w:r>
    </w:p>
    <w:p>
      <w:pPr>
        <w:pStyle w:val="0"/>
        <w:ind w:firstLine="540"/>
        <w:jc w:val="both"/>
      </w:pPr>
      <w:r>
        <w:rPr>
          <w:sz w:val="20"/>
        </w:rPr>
      </w:r>
    </w:p>
    <w:p>
      <w:pPr>
        <w:pStyle w:val="2"/>
        <w:outlineLvl w:val="4"/>
        <w:ind w:firstLine="540"/>
        <w:jc w:val="both"/>
      </w:pPr>
      <w:r>
        <w:rPr>
          <w:sz w:val="20"/>
        </w:rPr>
        <w:t xml:space="preserve">Соотношение региональной и страновой динамики экспорта товаров</w:t>
      </w:r>
    </w:p>
    <w:p>
      <w:pPr>
        <w:pStyle w:val="0"/>
        <w:ind w:firstLine="540"/>
        <w:jc w:val="both"/>
      </w:pPr>
      <w:r>
        <w:rPr>
          <w:sz w:val="20"/>
        </w:rPr>
      </w:r>
    </w:p>
    <w:p>
      <w:pPr>
        <w:pStyle w:val="0"/>
        <w:ind w:firstLine="540"/>
        <w:jc w:val="both"/>
      </w:pPr>
      <w:r>
        <w:rPr>
          <w:sz w:val="20"/>
        </w:rPr>
        <w:t xml:space="preserve">Темпы роста экспорта ряда товарных групп в Курской области превосходят среднероссийские показатели. По итогам 2018 года портфель товаров, "обгоняющих" по темпам роста относительно 2016 года уровень Российской Федерации, составил 467,3 млн. долл. США или 68,4% от общего объема экспорта Курской области. Лидирующими по темпам роста товарными группами, которые обладают высоким объемом экспорта (свыше 2 млн. долл. США), являются руда, злаки, свинец, каучук и резина, продукты животного происхождения, мясо, черные металлы (таблица N 10).</w:t>
      </w:r>
    </w:p>
    <w:p>
      <w:pPr>
        <w:pStyle w:val="0"/>
        <w:ind w:firstLine="540"/>
        <w:jc w:val="both"/>
      </w:pPr>
      <w:r>
        <w:rPr>
          <w:sz w:val="20"/>
        </w:rPr>
      </w:r>
    </w:p>
    <w:p>
      <w:pPr>
        <w:pStyle w:val="0"/>
        <w:outlineLvl w:val="5"/>
        <w:jc w:val="right"/>
      </w:pPr>
      <w:r>
        <w:rPr>
          <w:sz w:val="20"/>
        </w:rPr>
        <w:t xml:space="preserve">Таблица N 10</w:t>
      </w:r>
    </w:p>
    <w:p>
      <w:pPr>
        <w:pStyle w:val="0"/>
        <w:jc w:val="center"/>
      </w:pPr>
      <w:r>
        <w:rPr>
          <w:sz w:val="20"/>
        </w:rPr>
      </w:r>
    </w:p>
    <w:p>
      <w:pPr>
        <w:pStyle w:val="2"/>
        <w:jc w:val="center"/>
      </w:pPr>
      <w:r>
        <w:rPr>
          <w:sz w:val="20"/>
        </w:rPr>
        <w:t xml:space="preserve">Товары-лидеры экспортного портфеля Курской области</w:t>
      </w:r>
    </w:p>
    <w:p>
      <w:pPr>
        <w:pStyle w:val="2"/>
        <w:jc w:val="center"/>
      </w:pPr>
      <w:r>
        <w:rPr>
          <w:sz w:val="20"/>
        </w:rPr>
        <w:t xml:space="preserve">по критериям "Объем экспорта" и "Темп роста 2018/2016 гг.</w:t>
      </w:r>
    </w:p>
    <w:p>
      <w:pPr>
        <w:pStyle w:val="2"/>
        <w:jc w:val="center"/>
      </w:pPr>
      <w:r>
        <w:rPr>
          <w:sz w:val="20"/>
        </w:rPr>
        <w:t xml:space="preserve">относительно уровня Российской Федерации"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71"/>
        <w:gridCol w:w="1169"/>
        <w:gridCol w:w="1701"/>
        <w:gridCol w:w="2126"/>
      </w:tblGrid>
      <w:tr>
        <w:tc>
          <w:tcPr>
            <w:tcW w:w="4071" w:type="dxa"/>
            <w:vMerge w:val="restart"/>
          </w:tcPr>
          <w:p>
            <w:pPr>
              <w:pStyle w:val="0"/>
              <w:jc w:val="center"/>
            </w:pPr>
            <w:r>
              <w:rPr>
                <w:sz w:val="20"/>
              </w:rPr>
              <w:t xml:space="preserve">Товарная группа</w:t>
            </w:r>
          </w:p>
        </w:tc>
        <w:tc>
          <w:tcPr>
            <w:gridSpan w:val="2"/>
            <w:tcW w:w="2870" w:type="dxa"/>
          </w:tcPr>
          <w:p>
            <w:pPr>
              <w:pStyle w:val="0"/>
              <w:jc w:val="center"/>
            </w:pPr>
            <w:r>
              <w:rPr>
                <w:sz w:val="20"/>
              </w:rPr>
              <w:t xml:space="preserve">Среднегодовой темп роста экспорта в 2016 - 2018 гг.</w:t>
            </w:r>
          </w:p>
        </w:tc>
        <w:tc>
          <w:tcPr>
            <w:tcW w:w="2126" w:type="dxa"/>
            <w:vMerge w:val="restart"/>
          </w:tcPr>
          <w:p>
            <w:pPr>
              <w:pStyle w:val="0"/>
              <w:jc w:val="center"/>
            </w:pPr>
            <w:r>
              <w:rPr>
                <w:sz w:val="20"/>
              </w:rPr>
              <w:t xml:space="preserve">Объем экспорта Курской области (2018 г.), долл. США</w:t>
            </w:r>
          </w:p>
        </w:tc>
      </w:tr>
      <w:tr>
        <w:tc>
          <w:tcPr>
            <w:vMerge w:val="continue"/>
          </w:tcPr>
          <w:p/>
        </w:tc>
        <w:tc>
          <w:tcPr>
            <w:tcW w:w="1169" w:type="dxa"/>
          </w:tcPr>
          <w:p>
            <w:pPr>
              <w:pStyle w:val="0"/>
              <w:jc w:val="center"/>
            </w:pPr>
            <w:r>
              <w:rPr>
                <w:sz w:val="20"/>
              </w:rPr>
              <w:t xml:space="preserve">РФ</w:t>
            </w:r>
          </w:p>
        </w:tc>
        <w:tc>
          <w:tcPr>
            <w:tcW w:w="1701" w:type="dxa"/>
          </w:tcPr>
          <w:p>
            <w:pPr>
              <w:pStyle w:val="0"/>
              <w:jc w:val="center"/>
            </w:pPr>
            <w:r>
              <w:rPr>
                <w:sz w:val="20"/>
              </w:rPr>
              <w:t xml:space="preserve">Курская область</w:t>
            </w:r>
          </w:p>
        </w:tc>
        <w:tc>
          <w:tcPr>
            <w:vMerge w:val="continue"/>
          </w:tcPr>
          <w:p/>
        </w:tc>
      </w:tr>
      <w:tr>
        <w:tc>
          <w:tcPr>
            <w:tcW w:w="4071" w:type="dxa"/>
          </w:tcPr>
          <w:p>
            <w:pPr>
              <w:pStyle w:val="0"/>
              <w:jc w:val="both"/>
            </w:pPr>
            <w:r>
              <w:rPr>
                <w:sz w:val="20"/>
              </w:rPr>
              <w:t xml:space="preserve">Руды, шлак и зола</w:t>
            </w:r>
          </w:p>
        </w:tc>
        <w:tc>
          <w:tcPr>
            <w:tcW w:w="1169" w:type="dxa"/>
          </w:tcPr>
          <w:p>
            <w:pPr>
              <w:pStyle w:val="0"/>
              <w:jc w:val="center"/>
            </w:pPr>
            <w:r>
              <w:rPr>
                <w:sz w:val="20"/>
              </w:rPr>
              <w:t xml:space="preserve">34%</w:t>
            </w:r>
          </w:p>
        </w:tc>
        <w:tc>
          <w:tcPr>
            <w:tcW w:w="1701" w:type="dxa"/>
          </w:tcPr>
          <w:p>
            <w:pPr>
              <w:pStyle w:val="0"/>
              <w:jc w:val="center"/>
            </w:pPr>
            <w:r>
              <w:rPr>
                <w:sz w:val="20"/>
              </w:rPr>
              <w:t xml:space="preserve">52%</w:t>
            </w:r>
          </w:p>
        </w:tc>
        <w:tc>
          <w:tcPr>
            <w:tcW w:w="2126" w:type="dxa"/>
          </w:tcPr>
          <w:p>
            <w:pPr>
              <w:pStyle w:val="0"/>
              <w:jc w:val="center"/>
            </w:pPr>
            <w:r>
              <w:rPr>
                <w:sz w:val="20"/>
              </w:rPr>
              <w:t xml:space="preserve">262275013</w:t>
            </w:r>
          </w:p>
        </w:tc>
      </w:tr>
      <w:tr>
        <w:tc>
          <w:tcPr>
            <w:tcW w:w="4071" w:type="dxa"/>
          </w:tcPr>
          <w:p>
            <w:pPr>
              <w:pStyle w:val="0"/>
              <w:jc w:val="both"/>
            </w:pPr>
            <w:r>
              <w:rPr>
                <w:sz w:val="20"/>
              </w:rPr>
              <w:t xml:space="preserve">Злаки</w:t>
            </w:r>
          </w:p>
        </w:tc>
        <w:tc>
          <w:tcPr>
            <w:tcW w:w="1169" w:type="dxa"/>
          </w:tcPr>
          <w:p>
            <w:pPr>
              <w:pStyle w:val="0"/>
              <w:jc w:val="center"/>
            </w:pPr>
            <w:r>
              <w:rPr>
                <w:sz w:val="20"/>
              </w:rPr>
              <w:t xml:space="preserve">37%</w:t>
            </w:r>
          </w:p>
        </w:tc>
        <w:tc>
          <w:tcPr>
            <w:tcW w:w="1701" w:type="dxa"/>
          </w:tcPr>
          <w:p>
            <w:pPr>
              <w:pStyle w:val="0"/>
              <w:jc w:val="center"/>
            </w:pPr>
            <w:r>
              <w:rPr>
                <w:sz w:val="20"/>
              </w:rPr>
              <w:t xml:space="preserve">114%</w:t>
            </w:r>
          </w:p>
        </w:tc>
        <w:tc>
          <w:tcPr>
            <w:tcW w:w="2126" w:type="dxa"/>
          </w:tcPr>
          <w:p>
            <w:pPr>
              <w:pStyle w:val="0"/>
              <w:jc w:val="center"/>
            </w:pPr>
            <w:r>
              <w:rPr>
                <w:sz w:val="20"/>
              </w:rPr>
              <w:t xml:space="preserve">73603056</w:t>
            </w:r>
          </w:p>
        </w:tc>
      </w:tr>
      <w:tr>
        <w:tc>
          <w:tcPr>
            <w:tcW w:w="4071" w:type="dxa"/>
          </w:tcPr>
          <w:p>
            <w:pPr>
              <w:pStyle w:val="0"/>
              <w:jc w:val="both"/>
            </w:pPr>
            <w:r>
              <w:rPr>
                <w:sz w:val="20"/>
              </w:rPr>
              <w:t xml:space="preserve">Свинец и изделия из него</w:t>
            </w:r>
          </w:p>
        </w:tc>
        <w:tc>
          <w:tcPr>
            <w:tcW w:w="1169" w:type="dxa"/>
          </w:tcPr>
          <w:p>
            <w:pPr>
              <w:pStyle w:val="0"/>
              <w:jc w:val="center"/>
            </w:pPr>
            <w:r>
              <w:rPr>
                <w:sz w:val="20"/>
              </w:rPr>
              <w:t xml:space="preserve">2%</w:t>
            </w:r>
          </w:p>
        </w:tc>
        <w:tc>
          <w:tcPr>
            <w:tcW w:w="1701" w:type="dxa"/>
          </w:tcPr>
          <w:p>
            <w:pPr>
              <w:pStyle w:val="0"/>
              <w:jc w:val="center"/>
            </w:pPr>
            <w:r>
              <w:rPr>
                <w:sz w:val="20"/>
              </w:rPr>
              <w:t xml:space="preserve">26%</w:t>
            </w:r>
          </w:p>
        </w:tc>
        <w:tc>
          <w:tcPr>
            <w:tcW w:w="2126" w:type="dxa"/>
          </w:tcPr>
          <w:p>
            <w:pPr>
              <w:pStyle w:val="0"/>
              <w:jc w:val="center"/>
            </w:pPr>
            <w:r>
              <w:rPr>
                <w:sz w:val="20"/>
              </w:rPr>
              <w:t xml:space="preserve">24598407</w:t>
            </w:r>
          </w:p>
        </w:tc>
      </w:tr>
      <w:tr>
        <w:tc>
          <w:tcPr>
            <w:tcW w:w="4071" w:type="dxa"/>
          </w:tcPr>
          <w:p>
            <w:pPr>
              <w:pStyle w:val="0"/>
              <w:jc w:val="both"/>
            </w:pPr>
            <w:r>
              <w:rPr>
                <w:sz w:val="20"/>
              </w:rPr>
              <w:t xml:space="preserve">Каучук, резина и изделия из них</w:t>
            </w:r>
          </w:p>
        </w:tc>
        <w:tc>
          <w:tcPr>
            <w:tcW w:w="1169" w:type="dxa"/>
          </w:tcPr>
          <w:p>
            <w:pPr>
              <w:pStyle w:val="0"/>
              <w:jc w:val="center"/>
            </w:pPr>
            <w:r>
              <w:rPr>
                <w:sz w:val="20"/>
              </w:rPr>
              <w:t xml:space="preserve">11%</w:t>
            </w:r>
          </w:p>
        </w:tc>
        <w:tc>
          <w:tcPr>
            <w:tcW w:w="1701" w:type="dxa"/>
          </w:tcPr>
          <w:p>
            <w:pPr>
              <w:pStyle w:val="0"/>
              <w:jc w:val="center"/>
            </w:pPr>
            <w:r>
              <w:rPr>
                <w:sz w:val="20"/>
              </w:rPr>
              <w:t xml:space="preserve">12%</w:t>
            </w:r>
          </w:p>
        </w:tc>
        <w:tc>
          <w:tcPr>
            <w:tcW w:w="2126" w:type="dxa"/>
          </w:tcPr>
          <w:p>
            <w:pPr>
              <w:pStyle w:val="0"/>
              <w:jc w:val="center"/>
            </w:pPr>
            <w:r>
              <w:rPr>
                <w:sz w:val="20"/>
              </w:rPr>
              <w:t xml:space="preserve">22817831</w:t>
            </w:r>
          </w:p>
        </w:tc>
      </w:tr>
      <w:tr>
        <w:tc>
          <w:tcPr>
            <w:tcW w:w="4071" w:type="dxa"/>
          </w:tcPr>
          <w:p>
            <w:pPr>
              <w:pStyle w:val="0"/>
              <w:jc w:val="both"/>
            </w:pPr>
            <w:r>
              <w:rPr>
                <w:sz w:val="20"/>
              </w:rPr>
              <w:t xml:space="preserve">Продукты животного происхождения, в другом месте не поименованные или не включенные</w:t>
            </w:r>
          </w:p>
        </w:tc>
        <w:tc>
          <w:tcPr>
            <w:tcW w:w="1169" w:type="dxa"/>
          </w:tcPr>
          <w:p>
            <w:pPr>
              <w:pStyle w:val="0"/>
              <w:jc w:val="center"/>
            </w:pPr>
            <w:r>
              <w:rPr>
                <w:sz w:val="20"/>
              </w:rPr>
              <w:t xml:space="preserve">16%</w:t>
            </w:r>
          </w:p>
        </w:tc>
        <w:tc>
          <w:tcPr>
            <w:tcW w:w="1701" w:type="dxa"/>
          </w:tcPr>
          <w:p>
            <w:pPr>
              <w:pStyle w:val="0"/>
              <w:jc w:val="center"/>
            </w:pPr>
            <w:r>
              <w:rPr>
                <w:sz w:val="20"/>
              </w:rPr>
              <w:t xml:space="preserve">70%</w:t>
            </w:r>
          </w:p>
        </w:tc>
        <w:tc>
          <w:tcPr>
            <w:tcW w:w="2126" w:type="dxa"/>
          </w:tcPr>
          <w:p>
            <w:pPr>
              <w:pStyle w:val="0"/>
              <w:jc w:val="center"/>
            </w:pPr>
            <w:r>
              <w:rPr>
                <w:sz w:val="20"/>
              </w:rPr>
              <w:t xml:space="preserve">19287142</w:t>
            </w:r>
          </w:p>
        </w:tc>
      </w:tr>
      <w:tr>
        <w:tc>
          <w:tcPr>
            <w:tcW w:w="4071" w:type="dxa"/>
          </w:tcPr>
          <w:p>
            <w:pPr>
              <w:pStyle w:val="0"/>
              <w:jc w:val="both"/>
            </w:pPr>
            <w:r>
              <w:rPr>
                <w:sz w:val="20"/>
              </w:rPr>
              <w:t xml:space="preserve">Черные металлы</w:t>
            </w:r>
          </w:p>
        </w:tc>
        <w:tc>
          <w:tcPr>
            <w:tcW w:w="1169" w:type="dxa"/>
          </w:tcPr>
          <w:p>
            <w:pPr>
              <w:pStyle w:val="0"/>
              <w:jc w:val="center"/>
            </w:pPr>
            <w:r>
              <w:rPr>
                <w:sz w:val="20"/>
              </w:rPr>
              <w:t xml:space="preserve">29%</w:t>
            </w:r>
          </w:p>
        </w:tc>
        <w:tc>
          <w:tcPr>
            <w:tcW w:w="1701" w:type="dxa"/>
          </w:tcPr>
          <w:p>
            <w:pPr>
              <w:pStyle w:val="0"/>
              <w:jc w:val="center"/>
            </w:pPr>
            <w:r>
              <w:rPr>
                <w:sz w:val="20"/>
              </w:rPr>
              <w:t xml:space="preserve">85%</w:t>
            </w:r>
          </w:p>
        </w:tc>
        <w:tc>
          <w:tcPr>
            <w:tcW w:w="2126" w:type="dxa"/>
          </w:tcPr>
          <w:p>
            <w:pPr>
              <w:pStyle w:val="0"/>
              <w:jc w:val="center"/>
            </w:pPr>
            <w:r>
              <w:rPr>
                <w:sz w:val="20"/>
              </w:rPr>
              <w:t xml:space="preserve">17577932</w:t>
            </w:r>
          </w:p>
        </w:tc>
      </w:tr>
      <w:tr>
        <w:tc>
          <w:tcPr>
            <w:tcW w:w="4071" w:type="dxa"/>
          </w:tcPr>
          <w:p>
            <w:pPr>
              <w:pStyle w:val="0"/>
              <w:jc w:val="both"/>
            </w:pPr>
            <w:r>
              <w:rPr>
                <w:sz w:val="20"/>
              </w:rPr>
              <w:t xml:space="preserve">Реакторы ядерные, котлы, оборудование и механические устройства; их части</w:t>
            </w:r>
          </w:p>
        </w:tc>
        <w:tc>
          <w:tcPr>
            <w:tcW w:w="1169" w:type="dxa"/>
          </w:tcPr>
          <w:p>
            <w:pPr>
              <w:pStyle w:val="0"/>
              <w:jc w:val="center"/>
            </w:pPr>
            <w:r>
              <w:rPr>
                <w:sz w:val="20"/>
              </w:rPr>
              <w:t xml:space="preserve">16%</w:t>
            </w:r>
          </w:p>
        </w:tc>
        <w:tc>
          <w:tcPr>
            <w:tcW w:w="1701" w:type="dxa"/>
          </w:tcPr>
          <w:p>
            <w:pPr>
              <w:pStyle w:val="0"/>
              <w:jc w:val="center"/>
            </w:pPr>
            <w:r>
              <w:rPr>
                <w:sz w:val="20"/>
              </w:rPr>
              <w:t xml:space="preserve">26%</w:t>
            </w:r>
          </w:p>
        </w:tc>
        <w:tc>
          <w:tcPr>
            <w:tcW w:w="2126" w:type="dxa"/>
          </w:tcPr>
          <w:p>
            <w:pPr>
              <w:pStyle w:val="0"/>
              <w:jc w:val="center"/>
            </w:pPr>
            <w:r>
              <w:rPr>
                <w:sz w:val="20"/>
              </w:rPr>
              <w:t xml:space="preserve">12431807</w:t>
            </w:r>
          </w:p>
        </w:tc>
      </w:tr>
      <w:tr>
        <w:tc>
          <w:tcPr>
            <w:tcW w:w="4071" w:type="dxa"/>
          </w:tcPr>
          <w:p>
            <w:pPr>
              <w:pStyle w:val="0"/>
              <w:jc w:val="both"/>
            </w:pPr>
            <w:r>
              <w:rPr>
                <w:sz w:val="20"/>
              </w:rPr>
              <w:t xml:space="preserve">Мясо и пищевые мясные субпродукты</w:t>
            </w:r>
          </w:p>
        </w:tc>
        <w:tc>
          <w:tcPr>
            <w:tcW w:w="1169" w:type="dxa"/>
          </w:tcPr>
          <w:p>
            <w:pPr>
              <w:pStyle w:val="0"/>
              <w:jc w:val="center"/>
            </w:pPr>
            <w:r>
              <w:rPr>
                <w:sz w:val="20"/>
              </w:rPr>
              <w:t xml:space="preserve">37%</w:t>
            </w:r>
          </w:p>
        </w:tc>
        <w:tc>
          <w:tcPr>
            <w:tcW w:w="1701" w:type="dxa"/>
          </w:tcPr>
          <w:p>
            <w:pPr>
              <w:pStyle w:val="0"/>
              <w:jc w:val="center"/>
            </w:pPr>
            <w:r>
              <w:rPr>
                <w:sz w:val="20"/>
              </w:rPr>
              <w:t xml:space="preserve">1466%</w:t>
            </w:r>
          </w:p>
        </w:tc>
        <w:tc>
          <w:tcPr>
            <w:tcW w:w="2126" w:type="dxa"/>
          </w:tcPr>
          <w:p>
            <w:pPr>
              <w:pStyle w:val="0"/>
              <w:jc w:val="center"/>
            </w:pPr>
            <w:r>
              <w:rPr>
                <w:sz w:val="20"/>
              </w:rPr>
              <w:t xml:space="preserve">12268733</w:t>
            </w:r>
          </w:p>
        </w:tc>
      </w:tr>
      <w:tr>
        <w:tc>
          <w:tcPr>
            <w:tcW w:w="4071" w:type="dxa"/>
          </w:tcPr>
          <w:p>
            <w:pPr>
              <w:pStyle w:val="0"/>
              <w:jc w:val="both"/>
            </w:pPr>
            <w:r>
              <w:rPr>
                <w:sz w:val="20"/>
              </w:rPr>
              <w:t xml:space="preserve">Жиры и масла животного или растительного происхождения и продукты их</w:t>
            </w:r>
          </w:p>
        </w:tc>
        <w:tc>
          <w:tcPr>
            <w:tcW w:w="1169" w:type="dxa"/>
          </w:tcPr>
          <w:p>
            <w:pPr>
              <w:pStyle w:val="0"/>
              <w:jc w:val="center"/>
            </w:pPr>
            <w:r>
              <w:rPr>
                <w:sz w:val="20"/>
              </w:rPr>
              <w:t xml:space="preserve">10%</w:t>
            </w:r>
          </w:p>
        </w:tc>
        <w:tc>
          <w:tcPr>
            <w:tcW w:w="1701" w:type="dxa"/>
          </w:tcPr>
          <w:p>
            <w:pPr>
              <w:pStyle w:val="0"/>
              <w:jc w:val="center"/>
            </w:pPr>
            <w:r>
              <w:rPr>
                <w:sz w:val="20"/>
              </w:rPr>
              <w:t xml:space="preserve">66%</w:t>
            </w:r>
          </w:p>
        </w:tc>
        <w:tc>
          <w:tcPr>
            <w:tcW w:w="2126" w:type="dxa"/>
          </w:tcPr>
          <w:p>
            <w:pPr>
              <w:pStyle w:val="0"/>
              <w:jc w:val="center"/>
            </w:pPr>
            <w:r>
              <w:rPr>
                <w:sz w:val="20"/>
              </w:rPr>
              <w:t xml:space="preserve">6799326</w:t>
            </w:r>
          </w:p>
        </w:tc>
      </w:tr>
      <w:tr>
        <w:tc>
          <w:tcPr>
            <w:tcW w:w="4071" w:type="dxa"/>
          </w:tcPr>
          <w:p>
            <w:pPr>
              <w:pStyle w:val="0"/>
              <w:jc w:val="both"/>
            </w:pPr>
            <w:r>
              <w:rPr>
                <w:sz w:val="20"/>
              </w:rPr>
              <w:t xml:space="preserve">Остатки и отходы пищевой промышленности; готовые корма для животных</w:t>
            </w:r>
          </w:p>
        </w:tc>
        <w:tc>
          <w:tcPr>
            <w:tcW w:w="1169" w:type="dxa"/>
          </w:tcPr>
          <w:p>
            <w:pPr>
              <w:pStyle w:val="0"/>
              <w:jc w:val="center"/>
            </w:pPr>
            <w:r>
              <w:rPr>
                <w:sz w:val="20"/>
              </w:rPr>
              <w:t xml:space="preserve">7%</w:t>
            </w:r>
          </w:p>
        </w:tc>
        <w:tc>
          <w:tcPr>
            <w:tcW w:w="1701" w:type="dxa"/>
          </w:tcPr>
          <w:p>
            <w:pPr>
              <w:pStyle w:val="0"/>
              <w:jc w:val="center"/>
            </w:pPr>
            <w:r>
              <w:rPr>
                <w:sz w:val="20"/>
              </w:rPr>
              <w:t xml:space="preserve">53%</w:t>
            </w:r>
          </w:p>
        </w:tc>
        <w:tc>
          <w:tcPr>
            <w:tcW w:w="2126" w:type="dxa"/>
          </w:tcPr>
          <w:p>
            <w:pPr>
              <w:pStyle w:val="0"/>
              <w:jc w:val="center"/>
            </w:pPr>
            <w:r>
              <w:rPr>
                <w:sz w:val="20"/>
              </w:rPr>
              <w:t xml:space="preserve">5566047</w:t>
            </w:r>
          </w:p>
        </w:tc>
      </w:tr>
      <w:tr>
        <w:tc>
          <w:tcPr>
            <w:tcW w:w="4071" w:type="dxa"/>
          </w:tcPr>
          <w:p>
            <w:pPr>
              <w:pStyle w:val="0"/>
              <w:jc w:val="both"/>
            </w:pPr>
            <w:r>
              <w:rPr>
                <w:sz w:val="20"/>
              </w:rPr>
              <w:t xml:space="preserve">Стекло и изделия из него</w:t>
            </w:r>
          </w:p>
        </w:tc>
        <w:tc>
          <w:tcPr>
            <w:tcW w:w="1169" w:type="dxa"/>
          </w:tcPr>
          <w:p>
            <w:pPr>
              <w:pStyle w:val="0"/>
              <w:jc w:val="center"/>
            </w:pPr>
            <w:r>
              <w:rPr>
                <w:sz w:val="20"/>
              </w:rPr>
              <w:t xml:space="preserve">16%</w:t>
            </w:r>
          </w:p>
        </w:tc>
        <w:tc>
          <w:tcPr>
            <w:tcW w:w="1701" w:type="dxa"/>
          </w:tcPr>
          <w:p>
            <w:pPr>
              <w:pStyle w:val="0"/>
              <w:jc w:val="center"/>
            </w:pPr>
            <w:r>
              <w:rPr>
                <w:sz w:val="20"/>
              </w:rPr>
              <w:t xml:space="preserve">41%</w:t>
            </w:r>
          </w:p>
        </w:tc>
        <w:tc>
          <w:tcPr>
            <w:tcW w:w="2126" w:type="dxa"/>
          </w:tcPr>
          <w:p>
            <w:pPr>
              <w:pStyle w:val="0"/>
              <w:jc w:val="center"/>
            </w:pPr>
            <w:r>
              <w:rPr>
                <w:sz w:val="20"/>
              </w:rPr>
              <w:t xml:space="preserve">2669633</w:t>
            </w:r>
          </w:p>
        </w:tc>
      </w:tr>
    </w:tbl>
    <w:p>
      <w:pPr>
        <w:pStyle w:val="0"/>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расчет АО "Альянс Консалтинг".</w:t>
      </w:r>
    </w:p>
    <w:p>
      <w:pPr>
        <w:pStyle w:val="0"/>
        <w:ind w:firstLine="540"/>
        <w:jc w:val="both"/>
      </w:pPr>
      <w:r>
        <w:rPr>
          <w:sz w:val="20"/>
        </w:rPr>
      </w:r>
    </w:p>
    <w:p>
      <w:pPr>
        <w:pStyle w:val="0"/>
        <w:ind w:firstLine="540"/>
        <w:jc w:val="both"/>
      </w:pPr>
      <w:r>
        <w:rPr>
          <w:sz w:val="20"/>
        </w:rPr>
        <w:t xml:space="preserve">По некоторым товарам наблюдается более чем двукратное превышение среднероссийских темпов роста экспорта. Наибольшее превышение странового темпа роста демонстрируют товарные группы "Рыба и ракообразные, моллюски и прочие водные беспозвоночные" (темп роста выше в 271 раз), "Медь и изделия из нее" (в 56,3 раза), "Специальные ткани; тафтинговые текстильные материалы; кружева; гобелены" (в 46 раз), "Мясо и пищевые мясные субпродукты" (в 40 раз), "Соль; сера; земли и камень; штукатурные материалы, известь и цемент" (в 20 раз), "Алюминий и изделия из него" (в 19 раз). Такие темпы в основном обусловлены влиянием эффекта "низкой базы", так как на долю данных товаров в 2016 году приходилось 11,4% суммарного экспорта Курской области. Для некоторых товаров, таких как пластмассы и изделия из них, какао и продукты из него, электрические машины и оборудование, средства наземного транспорта, кроме железнодорожного или трамвайного и другие, динамика темпов роста экспорта в 2018 году по отношению к 2016 году оказалась ниже, чем среднероссийские показатели.</w:t>
      </w:r>
    </w:p>
    <w:p>
      <w:pPr>
        <w:pStyle w:val="0"/>
        <w:ind w:firstLine="540"/>
        <w:jc w:val="both"/>
      </w:pPr>
      <w:r>
        <w:rPr>
          <w:sz w:val="20"/>
        </w:rPr>
      </w:r>
    </w:p>
    <w:p>
      <w:pPr>
        <w:pStyle w:val="2"/>
        <w:outlineLvl w:val="4"/>
        <w:ind w:firstLine="540"/>
        <w:jc w:val="both"/>
      </w:pPr>
      <w:r>
        <w:rPr>
          <w:sz w:val="20"/>
        </w:rPr>
        <w:t xml:space="preserve">Экспортная товарная специализация</w:t>
      </w:r>
    </w:p>
    <w:p>
      <w:pPr>
        <w:pStyle w:val="0"/>
        <w:ind w:firstLine="540"/>
        <w:jc w:val="both"/>
      </w:pPr>
      <w:r>
        <w:rPr>
          <w:sz w:val="20"/>
        </w:rPr>
      </w:r>
    </w:p>
    <w:p>
      <w:pPr>
        <w:pStyle w:val="0"/>
        <w:ind w:firstLine="540"/>
        <w:jc w:val="both"/>
      </w:pPr>
      <w:r>
        <w:rPr>
          <w:sz w:val="20"/>
        </w:rPr>
        <w:t xml:space="preserve">Специализация по экспортируемому товару определяется преимуществом региона по сравнению с другими регионами или странами за счет: а) более высокой доли экспорта данного товара в общем объеме экспорта региона по сравнению с долей мирового экспорта этого товара в общемировом экспорте; б) более высокого соотношения экспорта товара и валового регионального продукта по сравнению с соотношением мирового экспорта товара и общемирового валового внутреннего продукта; в) более высокой доли данного товара на соответствующем мировом рынке. Каждый из вышеприведенных критериев характеризуется отдельным индексом. Специализация по товару возникает в случае, если один из этих индексов больше единицы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Оценка экспортной товарной специализации проводится на основе метода Хаусманна - Клингера (http://www.nber.org/papers/w11905; https://papers.ssrn.com/sol3/papers.cfm?abstract_id=939646).</w:t>
      </w:r>
    </w:p>
    <w:p>
      <w:pPr>
        <w:pStyle w:val="0"/>
        <w:ind w:firstLine="540"/>
        <w:jc w:val="both"/>
      </w:pPr>
      <w:r>
        <w:rPr>
          <w:sz w:val="20"/>
        </w:rPr>
      </w:r>
    </w:p>
    <w:p>
      <w:pPr>
        <w:pStyle w:val="0"/>
        <w:ind w:firstLine="540"/>
        <w:jc w:val="both"/>
      </w:pPr>
      <w:r>
        <w:rPr>
          <w:sz w:val="20"/>
        </w:rPr>
        <w:t xml:space="preserve">По данным за 2018 год Курская область экспортирует 671 товарную группу (с детализацией на уровне 6 знаков кодов ТН ВЭД). На долю товаров, по которым область имеет специализацию (179 товарных групп), приходится 98% суммарного экспорта в денежном выражении. При этом по классам товаров (сырье, нижние/средние/верхние переделы) специализация структурирована следующим образом:</w:t>
      </w:r>
    </w:p>
    <w:p>
      <w:pPr>
        <w:pStyle w:val="0"/>
        <w:spacing w:before="200" w:line-rule="auto"/>
        <w:ind w:firstLine="540"/>
        <w:jc w:val="both"/>
      </w:pPr>
      <w:r>
        <w:rPr>
          <w:sz w:val="20"/>
        </w:rPr>
        <w:t xml:space="preserve">1) сырьевые товары - 11 товарных групп со средним индексом специализации 45,1 (без руды 31,5), максимальное значение индекса - 182. Сырьевые товары с наибольшим индексом специализации: железная руда агломерированная, перья и пух птиц для набивки, отходы синтетических волокон;</w:t>
      </w:r>
    </w:p>
    <w:p>
      <w:pPr>
        <w:pStyle w:val="0"/>
        <w:spacing w:before="200" w:line-rule="auto"/>
        <w:ind w:firstLine="540"/>
        <w:jc w:val="both"/>
      </w:pPr>
      <w:r>
        <w:rPr>
          <w:sz w:val="20"/>
        </w:rPr>
        <w:t xml:space="preserve">2) нижние переделы - 24 товарные группы со средним индексом специализации 23, максимальное значение индекса - 130. Товары нижнего передела с наибольшим индексом специализации: свинец, содержащий сурьму; семена льна, горчица;</w:t>
      </w:r>
    </w:p>
    <w:p>
      <w:pPr>
        <w:pStyle w:val="0"/>
        <w:spacing w:before="200" w:line-rule="auto"/>
        <w:ind w:firstLine="540"/>
        <w:jc w:val="both"/>
      </w:pPr>
      <w:r>
        <w:rPr>
          <w:sz w:val="20"/>
        </w:rPr>
        <w:t xml:space="preserve">3) средние переделы - 48 товарных групп со средним индексом специализации 30, максимальное значение индекса - 300. Товары среднего передела с наибольшим индексом специализации: обработанное зерно злаков, высокопрочные полиамидные комплексные нити, полиамидные волокна;</w:t>
      </w:r>
    </w:p>
    <w:p>
      <w:pPr>
        <w:pStyle w:val="0"/>
        <w:spacing w:before="200" w:line-rule="auto"/>
        <w:ind w:firstLine="540"/>
        <w:jc w:val="both"/>
      </w:pPr>
      <w:r>
        <w:rPr>
          <w:sz w:val="20"/>
        </w:rPr>
        <w:t xml:space="preserve">4) верхние переделы - 96 товарных групп со средним индексом специализации 11,4, максимальное значение индекса - 148. Товары верхнего передела с наибольшим индексом специализации: конвейерные ленты, никель-железные аккумуляторы, стеклянные ампулы.</w:t>
      </w:r>
    </w:p>
    <w:p>
      <w:pPr>
        <w:pStyle w:val="0"/>
        <w:spacing w:before="200" w:line-rule="auto"/>
        <w:ind w:firstLine="540"/>
        <w:jc w:val="both"/>
      </w:pPr>
      <w:r>
        <w:rPr>
          <w:sz w:val="20"/>
        </w:rPr>
        <w:t xml:space="preserve">Товары глубокой переработки гораздо более разнообразны по сравнению с товарами других переделов и сырьем, но при этом обладают наименьшим индексом специализации. Товарные группы верхних уровней переделов связаны между собой сильнее, чем товары прочих уровней переработки, например, конвейерные ленты, армированные текстилем; конвейерные ленты, армированные металлом; приводные ремни. Этот фактор способствует формированию точки роста для развития экспорта за счет наличия высокой базы для наборов товарных групп, технологически связанных между собой. В данном случае возможно расширение экспортной корзины без капитальных вложений.</w:t>
      </w:r>
    </w:p>
    <w:p>
      <w:pPr>
        <w:pStyle w:val="0"/>
        <w:spacing w:before="200" w:line-rule="auto"/>
        <w:ind w:firstLine="540"/>
        <w:jc w:val="both"/>
      </w:pPr>
      <w:r>
        <w:rPr>
          <w:sz w:val="20"/>
        </w:rPr>
        <w:t xml:space="preserve">В структуре товарной специализации Курской области на уровне 6 знаков кодов ТНВЭД преобладает продукция верхних и средних переделов. Представленные 25 товарных групп покрывают более 70% экспорта региона в денежном выражении.</w:t>
      </w:r>
    </w:p>
    <w:p>
      <w:pPr>
        <w:pStyle w:val="0"/>
        <w:ind w:firstLine="540"/>
        <w:jc w:val="both"/>
      </w:pPr>
      <w:r>
        <w:rPr>
          <w:sz w:val="20"/>
        </w:rPr>
      </w:r>
    </w:p>
    <w:p>
      <w:pPr>
        <w:pStyle w:val="0"/>
        <w:outlineLvl w:val="5"/>
        <w:jc w:val="right"/>
      </w:pPr>
      <w:r>
        <w:rPr>
          <w:sz w:val="20"/>
        </w:rPr>
        <w:t xml:space="preserve">Таблица N 11</w:t>
      </w:r>
    </w:p>
    <w:p>
      <w:pPr>
        <w:pStyle w:val="0"/>
        <w:jc w:val="center"/>
      </w:pPr>
      <w:r>
        <w:rPr>
          <w:sz w:val="20"/>
        </w:rPr>
      </w:r>
    </w:p>
    <w:p>
      <w:pPr>
        <w:pStyle w:val="2"/>
        <w:jc w:val="center"/>
      </w:pPr>
      <w:r>
        <w:rPr>
          <w:sz w:val="20"/>
        </w:rPr>
        <w:t xml:space="preserve">Экспортная товарная специализация Курской области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16"/>
        <w:gridCol w:w="1984"/>
        <w:gridCol w:w="1757"/>
      </w:tblGrid>
      <w:tr>
        <w:tc>
          <w:tcPr>
            <w:tcW w:w="5216" w:type="dxa"/>
          </w:tcPr>
          <w:p>
            <w:pPr>
              <w:pStyle w:val="0"/>
              <w:jc w:val="center"/>
            </w:pPr>
            <w:r>
              <w:rPr>
                <w:sz w:val="20"/>
              </w:rPr>
              <w:t xml:space="preserve">Наименование товарной группы</w:t>
            </w:r>
          </w:p>
        </w:tc>
        <w:tc>
          <w:tcPr>
            <w:tcW w:w="1984" w:type="dxa"/>
          </w:tcPr>
          <w:p>
            <w:pPr>
              <w:pStyle w:val="0"/>
              <w:jc w:val="center"/>
            </w:pPr>
            <w:r>
              <w:rPr>
                <w:sz w:val="20"/>
              </w:rPr>
              <w:t xml:space="preserve">Класс товарной группы</w:t>
            </w:r>
          </w:p>
        </w:tc>
        <w:tc>
          <w:tcPr>
            <w:tcW w:w="1757" w:type="dxa"/>
          </w:tcPr>
          <w:p>
            <w:pPr>
              <w:pStyle w:val="0"/>
              <w:jc w:val="center"/>
            </w:pPr>
            <w:r>
              <w:rPr>
                <w:sz w:val="20"/>
              </w:rPr>
              <w:t xml:space="preserve">Индекс специализации</w:t>
            </w:r>
          </w:p>
        </w:tc>
      </w:tr>
      <w:tr>
        <w:tc>
          <w:tcPr>
            <w:tcW w:w="5216" w:type="dxa"/>
          </w:tcPr>
          <w:p>
            <w:pPr>
              <w:pStyle w:val="0"/>
              <w:jc w:val="both"/>
            </w:pPr>
            <w:r>
              <w:rPr>
                <w:sz w:val="20"/>
              </w:rPr>
              <w:t xml:space="preserve">Прочее обработанное зерно злаков, кроме овса и кукурузы</w:t>
            </w:r>
          </w:p>
        </w:tc>
        <w:tc>
          <w:tcPr>
            <w:tcW w:w="1984" w:type="dxa"/>
          </w:tcPr>
          <w:p>
            <w:pPr>
              <w:pStyle w:val="0"/>
              <w:jc w:val="center"/>
            </w:pPr>
            <w:r>
              <w:rPr>
                <w:sz w:val="20"/>
              </w:rPr>
              <w:t xml:space="preserve">Средние переделы</w:t>
            </w:r>
          </w:p>
        </w:tc>
        <w:tc>
          <w:tcPr>
            <w:tcW w:w="1757" w:type="dxa"/>
          </w:tcPr>
          <w:p>
            <w:pPr>
              <w:pStyle w:val="0"/>
              <w:jc w:val="center"/>
            </w:pPr>
            <w:r>
              <w:rPr>
                <w:sz w:val="20"/>
              </w:rPr>
              <w:t xml:space="preserve">300,3</w:t>
            </w:r>
          </w:p>
        </w:tc>
      </w:tr>
      <w:tr>
        <w:tc>
          <w:tcPr>
            <w:tcW w:w="5216" w:type="dxa"/>
          </w:tcPr>
          <w:p>
            <w:pPr>
              <w:pStyle w:val="0"/>
              <w:jc w:val="both"/>
            </w:pPr>
            <w:r>
              <w:rPr>
                <w:sz w:val="20"/>
              </w:rPr>
              <w:t xml:space="preserve">Высокопрочные полиамидные (кроме арамидных) комплексные нити</w:t>
            </w:r>
          </w:p>
        </w:tc>
        <w:tc>
          <w:tcPr>
            <w:tcW w:w="1984" w:type="dxa"/>
          </w:tcPr>
          <w:p>
            <w:pPr>
              <w:pStyle w:val="0"/>
              <w:jc w:val="center"/>
            </w:pPr>
            <w:r>
              <w:rPr>
                <w:sz w:val="20"/>
              </w:rPr>
              <w:t xml:space="preserve">Средние переделы</w:t>
            </w:r>
          </w:p>
        </w:tc>
        <w:tc>
          <w:tcPr>
            <w:tcW w:w="1757" w:type="dxa"/>
          </w:tcPr>
          <w:p>
            <w:pPr>
              <w:pStyle w:val="0"/>
              <w:jc w:val="center"/>
            </w:pPr>
            <w:r>
              <w:rPr>
                <w:sz w:val="20"/>
              </w:rPr>
              <w:t xml:space="preserve">256,8</w:t>
            </w:r>
          </w:p>
        </w:tc>
      </w:tr>
      <w:tr>
        <w:tc>
          <w:tcPr>
            <w:tcW w:w="5216" w:type="dxa"/>
          </w:tcPr>
          <w:p>
            <w:pPr>
              <w:pStyle w:val="0"/>
              <w:jc w:val="both"/>
            </w:pPr>
            <w:r>
              <w:rPr>
                <w:sz w:val="20"/>
              </w:rPr>
              <w:t xml:space="preserve">Железная руда агломерированная</w:t>
            </w:r>
          </w:p>
        </w:tc>
        <w:tc>
          <w:tcPr>
            <w:tcW w:w="1984" w:type="dxa"/>
          </w:tcPr>
          <w:p>
            <w:pPr>
              <w:pStyle w:val="0"/>
              <w:jc w:val="center"/>
            </w:pPr>
            <w:r>
              <w:rPr>
                <w:sz w:val="20"/>
              </w:rPr>
              <w:t xml:space="preserve">Сырье</w:t>
            </w:r>
          </w:p>
        </w:tc>
        <w:tc>
          <w:tcPr>
            <w:tcW w:w="1757" w:type="dxa"/>
          </w:tcPr>
          <w:p>
            <w:pPr>
              <w:pStyle w:val="0"/>
              <w:jc w:val="center"/>
            </w:pPr>
            <w:r>
              <w:rPr>
                <w:sz w:val="20"/>
              </w:rPr>
              <w:t xml:space="preserve">181,9</w:t>
            </w:r>
          </w:p>
        </w:tc>
      </w:tr>
      <w:tr>
        <w:tc>
          <w:tcPr>
            <w:tcW w:w="5216" w:type="dxa"/>
          </w:tcPr>
          <w:p>
            <w:pPr>
              <w:pStyle w:val="0"/>
              <w:jc w:val="both"/>
            </w:pPr>
            <w:r>
              <w:rPr>
                <w:sz w:val="20"/>
              </w:rPr>
              <w:t xml:space="preserve">Полиамидные волокна, кроме арамидных</w:t>
            </w:r>
          </w:p>
        </w:tc>
        <w:tc>
          <w:tcPr>
            <w:tcW w:w="1984" w:type="dxa"/>
          </w:tcPr>
          <w:p>
            <w:pPr>
              <w:pStyle w:val="0"/>
              <w:jc w:val="center"/>
            </w:pPr>
            <w:r>
              <w:rPr>
                <w:sz w:val="20"/>
              </w:rPr>
              <w:t xml:space="preserve">Средние переделы</w:t>
            </w:r>
          </w:p>
        </w:tc>
        <w:tc>
          <w:tcPr>
            <w:tcW w:w="1757" w:type="dxa"/>
          </w:tcPr>
          <w:p>
            <w:pPr>
              <w:pStyle w:val="0"/>
              <w:jc w:val="center"/>
            </w:pPr>
            <w:r>
              <w:rPr>
                <w:sz w:val="20"/>
              </w:rPr>
              <w:t xml:space="preserve">177,5</w:t>
            </w:r>
          </w:p>
        </w:tc>
      </w:tr>
      <w:tr>
        <w:tc>
          <w:tcPr>
            <w:tcW w:w="5216" w:type="dxa"/>
          </w:tcPr>
          <w:p>
            <w:pPr>
              <w:pStyle w:val="0"/>
              <w:jc w:val="both"/>
            </w:pPr>
            <w:r>
              <w:rPr>
                <w:sz w:val="20"/>
              </w:rPr>
              <w:t xml:space="preserve">Конвейерные ленты, армированные текстилем</w:t>
            </w:r>
          </w:p>
        </w:tc>
        <w:tc>
          <w:tcPr>
            <w:tcW w:w="1984" w:type="dxa"/>
          </w:tcPr>
          <w:p>
            <w:pPr>
              <w:pStyle w:val="0"/>
              <w:jc w:val="center"/>
            </w:pPr>
            <w:r>
              <w:rPr>
                <w:sz w:val="20"/>
              </w:rPr>
              <w:t xml:space="preserve">Верхние переделы</w:t>
            </w:r>
          </w:p>
        </w:tc>
        <w:tc>
          <w:tcPr>
            <w:tcW w:w="1757" w:type="dxa"/>
          </w:tcPr>
          <w:p>
            <w:pPr>
              <w:pStyle w:val="0"/>
              <w:jc w:val="center"/>
            </w:pPr>
            <w:r>
              <w:rPr>
                <w:sz w:val="20"/>
              </w:rPr>
              <w:t xml:space="preserve">148,0</w:t>
            </w:r>
          </w:p>
        </w:tc>
      </w:tr>
      <w:tr>
        <w:tc>
          <w:tcPr>
            <w:tcW w:w="5216" w:type="dxa"/>
          </w:tcPr>
          <w:p>
            <w:pPr>
              <w:pStyle w:val="0"/>
              <w:jc w:val="both"/>
            </w:pPr>
            <w:r>
              <w:rPr>
                <w:sz w:val="20"/>
              </w:rPr>
              <w:t xml:space="preserve">Полиамидные нетекстурированные комплексные одиночные нити с круткой от 50 кр/м</w:t>
            </w:r>
          </w:p>
        </w:tc>
        <w:tc>
          <w:tcPr>
            <w:tcW w:w="1984" w:type="dxa"/>
          </w:tcPr>
          <w:p>
            <w:pPr>
              <w:pStyle w:val="0"/>
              <w:jc w:val="center"/>
            </w:pPr>
            <w:r>
              <w:rPr>
                <w:sz w:val="20"/>
              </w:rPr>
              <w:t xml:space="preserve">Средние переделы</w:t>
            </w:r>
          </w:p>
        </w:tc>
        <w:tc>
          <w:tcPr>
            <w:tcW w:w="1757" w:type="dxa"/>
          </w:tcPr>
          <w:p>
            <w:pPr>
              <w:pStyle w:val="0"/>
              <w:jc w:val="center"/>
            </w:pPr>
            <w:r>
              <w:rPr>
                <w:sz w:val="20"/>
              </w:rPr>
              <w:t xml:space="preserve">141,5</w:t>
            </w:r>
          </w:p>
        </w:tc>
      </w:tr>
      <w:tr>
        <w:tc>
          <w:tcPr>
            <w:tcW w:w="5216" w:type="dxa"/>
          </w:tcPr>
          <w:p>
            <w:pPr>
              <w:pStyle w:val="0"/>
              <w:jc w:val="both"/>
            </w:pPr>
            <w:r>
              <w:rPr>
                <w:sz w:val="20"/>
              </w:rPr>
              <w:t xml:space="preserve">Свинец, содержащий сурьму</w:t>
            </w:r>
          </w:p>
        </w:tc>
        <w:tc>
          <w:tcPr>
            <w:tcW w:w="1984" w:type="dxa"/>
          </w:tcPr>
          <w:p>
            <w:pPr>
              <w:pStyle w:val="0"/>
              <w:jc w:val="center"/>
            </w:pPr>
            <w:r>
              <w:rPr>
                <w:sz w:val="20"/>
              </w:rPr>
              <w:t xml:space="preserve">Нижние переделы</w:t>
            </w:r>
          </w:p>
        </w:tc>
        <w:tc>
          <w:tcPr>
            <w:tcW w:w="1757" w:type="dxa"/>
          </w:tcPr>
          <w:p>
            <w:pPr>
              <w:pStyle w:val="0"/>
              <w:jc w:val="center"/>
            </w:pPr>
            <w:r>
              <w:rPr>
                <w:sz w:val="20"/>
              </w:rPr>
              <w:t xml:space="preserve">130,3</w:t>
            </w:r>
          </w:p>
        </w:tc>
      </w:tr>
      <w:tr>
        <w:tc>
          <w:tcPr>
            <w:tcW w:w="5216" w:type="dxa"/>
          </w:tcPr>
          <w:p>
            <w:pPr>
              <w:pStyle w:val="0"/>
              <w:jc w:val="both"/>
            </w:pPr>
            <w:r>
              <w:rPr>
                <w:sz w:val="20"/>
              </w:rPr>
              <w:t xml:space="preserve">Никель-железные аккумуляторы</w:t>
            </w:r>
          </w:p>
        </w:tc>
        <w:tc>
          <w:tcPr>
            <w:tcW w:w="1984" w:type="dxa"/>
          </w:tcPr>
          <w:p>
            <w:pPr>
              <w:pStyle w:val="0"/>
              <w:jc w:val="center"/>
            </w:pPr>
            <w:r>
              <w:rPr>
                <w:sz w:val="20"/>
              </w:rPr>
              <w:t xml:space="preserve">Верхние переделы</w:t>
            </w:r>
          </w:p>
        </w:tc>
        <w:tc>
          <w:tcPr>
            <w:tcW w:w="1757" w:type="dxa"/>
          </w:tcPr>
          <w:p>
            <w:pPr>
              <w:pStyle w:val="0"/>
              <w:jc w:val="center"/>
            </w:pPr>
            <w:r>
              <w:rPr>
                <w:sz w:val="20"/>
              </w:rPr>
              <w:t xml:space="preserve">113,6</w:t>
            </w:r>
          </w:p>
        </w:tc>
      </w:tr>
      <w:tr>
        <w:tc>
          <w:tcPr>
            <w:tcW w:w="5216" w:type="dxa"/>
          </w:tcPr>
          <w:p>
            <w:pPr>
              <w:pStyle w:val="0"/>
              <w:jc w:val="both"/>
            </w:pPr>
            <w:r>
              <w:rPr>
                <w:sz w:val="20"/>
              </w:rPr>
              <w:t xml:space="preserve">Перья и пух птиц для набивки</w:t>
            </w:r>
          </w:p>
        </w:tc>
        <w:tc>
          <w:tcPr>
            <w:tcW w:w="1984" w:type="dxa"/>
          </w:tcPr>
          <w:p>
            <w:pPr>
              <w:pStyle w:val="0"/>
              <w:jc w:val="center"/>
            </w:pPr>
            <w:r>
              <w:rPr>
                <w:sz w:val="20"/>
              </w:rPr>
              <w:t xml:space="preserve">Сырье</w:t>
            </w:r>
          </w:p>
        </w:tc>
        <w:tc>
          <w:tcPr>
            <w:tcW w:w="1757" w:type="dxa"/>
          </w:tcPr>
          <w:p>
            <w:pPr>
              <w:pStyle w:val="0"/>
              <w:jc w:val="center"/>
            </w:pPr>
            <w:r>
              <w:rPr>
                <w:sz w:val="20"/>
              </w:rPr>
              <w:t xml:space="preserve">107,7</w:t>
            </w:r>
          </w:p>
        </w:tc>
      </w:tr>
      <w:tr>
        <w:tc>
          <w:tcPr>
            <w:tcW w:w="5216" w:type="dxa"/>
          </w:tcPr>
          <w:p>
            <w:pPr>
              <w:pStyle w:val="0"/>
              <w:jc w:val="both"/>
            </w:pPr>
            <w:r>
              <w:rPr>
                <w:sz w:val="20"/>
              </w:rPr>
              <w:t xml:space="preserve">Отходы синтетических волокон</w:t>
            </w:r>
          </w:p>
        </w:tc>
        <w:tc>
          <w:tcPr>
            <w:tcW w:w="1984" w:type="dxa"/>
          </w:tcPr>
          <w:p>
            <w:pPr>
              <w:pStyle w:val="0"/>
              <w:jc w:val="center"/>
            </w:pPr>
            <w:r>
              <w:rPr>
                <w:sz w:val="20"/>
              </w:rPr>
              <w:t xml:space="preserve">Сырье</w:t>
            </w:r>
          </w:p>
        </w:tc>
        <w:tc>
          <w:tcPr>
            <w:tcW w:w="1757" w:type="dxa"/>
          </w:tcPr>
          <w:p>
            <w:pPr>
              <w:pStyle w:val="0"/>
              <w:jc w:val="center"/>
            </w:pPr>
            <w:r>
              <w:rPr>
                <w:sz w:val="20"/>
              </w:rPr>
              <w:t xml:space="preserve">107,4</w:t>
            </w:r>
          </w:p>
        </w:tc>
      </w:tr>
      <w:tr>
        <w:tc>
          <w:tcPr>
            <w:tcW w:w="5216" w:type="dxa"/>
          </w:tcPr>
          <w:p>
            <w:pPr>
              <w:pStyle w:val="0"/>
              <w:jc w:val="both"/>
            </w:pPr>
            <w:r>
              <w:rPr>
                <w:sz w:val="20"/>
              </w:rPr>
              <w:t xml:space="preserve">Однослойные полипропиленовые пленки и листы</w:t>
            </w:r>
          </w:p>
        </w:tc>
        <w:tc>
          <w:tcPr>
            <w:tcW w:w="1984" w:type="dxa"/>
          </w:tcPr>
          <w:p>
            <w:pPr>
              <w:pStyle w:val="0"/>
              <w:jc w:val="center"/>
            </w:pPr>
            <w:r>
              <w:rPr>
                <w:sz w:val="20"/>
              </w:rPr>
              <w:t xml:space="preserve">Средние переделы</w:t>
            </w:r>
          </w:p>
        </w:tc>
        <w:tc>
          <w:tcPr>
            <w:tcW w:w="1757" w:type="dxa"/>
          </w:tcPr>
          <w:p>
            <w:pPr>
              <w:pStyle w:val="0"/>
              <w:jc w:val="center"/>
            </w:pPr>
            <w:r>
              <w:rPr>
                <w:sz w:val="20"/>
              </w:rPr>
              <w:t xml:space="preserve">105,4</w:t>
            </w:r>
          </w:p>
        </w:tc>
      </w:tr>
      <w:tr>
        <w:tc>
          <w:tcPr>
            <w:tcW w:w="5216" w:type="dxa"/>
          </w:tcPr>
          <w:p>
            <w:pPr>
              <w:pStyle w:val="0"/>
              <w:jc w:val="both"/>
            </w:pPr>
            <w:r>
              <w:rPr>
                <w:sz w:val="20"/>
              </w:rPr>
              <w:t xml:space="preserve">Семена льна</w:t>
            </w:r>
          </w:p>
        </w:tc>
        <w:tc>
          <w:tcPr>
            <w:tcW w:w="1984" w:type="dxa"/>
          </w:tcPr>
          <w:p>
            <w:pPr>
              <w:pStyle w:val="0"/>
              <w:jc w:val="center"/>
            </w:pPr>
            <w:r>
              <w:rPr>
                <w:sz w:val="20"/>
              </w:rPr>
              <w:t xml:space="preserve">Нижние переделы</w:t>
            </w:r>
          </w:p>
        </w:tc>
        <w:tc>
          <w:tcPr>
            <w:tcW w:w="1757" w:type="dxa"/>
          </w:tcPr>
          <w:p>
            <w:pPr>
              <w:pStyle w:val="0"/>
              <w:jc w:val="center"/>
            </w:pPr>
            <w:r>
              <w:rPr>
                <w:sz w:val="20"/>
              </w:rPr>
              <w:t xml:space="preserve">102,0</w:t>
            </w:r>
          </w:p>
        </w:tc>
      </w:tr>
      <w:tr>
        <w:tc>
          <w:tcPr>
            <w:tcW w:w="5216" w:type="dxa"/>
          </w:tcPr>
          <w:p>
            <w:pPr>
              <w:pStyle w:val="0"/>
              <w:jc w:val="both"/>
            </w:pPr>
            <w:r>
              <w:rPr>
                <w:sz w:val="20"/>
              </w:rPr>
              <w:t xml:space="preserve">Сахар</w:t>
            </w:r>
          </w:p>
        </w:tc>
        <w:tc>
          <w:tcPr>
            <w:tcW w:w="1984" w:type="dxa"/>
          </w:tcPr>
          <w:p>
            <w:pPr>
              <w:pStyle w:val="0"/>
              <w:jc w:val="center"/>
            </w:pPr>
            <w:r>
              <w:rPr>
                <w:sz w:val="20"/>
              </w:rPr>
              <w:t xml:space="preserve">Средний передел</w:t>
            </w:r>
          </w:p>
        </w:tc>
        <w:tc>
          <w:tcPr>
            <w:tcW w:w="1757" w:type="dxa"/>
          </w:tcPr>
          <w:p>
            <w:pPr>
              <w:pStyle w:val="0"/>
              <w:jc w:val="center"/>
            </w:pPr>
            <w:r>
              <w:rPr>
                <w:sz w:val="20"/>
              </w:rPr>
              <w:t xml:space="preserve">21,1</w:t>
            </w:r>
          </w:p>
        </w:tc>
      </w:tr>
      <w:tr>
        <w:tc>
          <w:tcPr>
            <w:tcW w:w="5216" w:type="dxa"/>
          </w:tcPr>
          <w:p>
            <w:pPr>
              <w:pStyle w:val="0"/>
              <w:jc w:val="both"/>
            </w:pPr>
            <w:r>
              <w:rPr>
                <w:sz w:val="20"/>
              </w:rPr>
              <w:t xml:space="preserve">Мясо и пищевые субпродукты</w:t>
            </w:r>
          </w:p>
        </w:tc>
        <w:tc>
          <w:tcPr>
            <w:tcW w:w="1984" w:type="dxa"/>
          </w:tcPr>
          <w:p>
            <w:pPr>
              <w:pStyle w:val="0"/>
              <w:jc w:val="center"/>
            </w:pPr>
            <w:r>
              <w:rPr>
                <w:sz w:val="20"/>
              </w:rPr>
              <w:t xml:space="preserve">Средний передел</w:t>
            </w:r>
          </w:p>
        </w:tc>
        <w:tc>
          <w:tcPr>
            <w:tcW w:w="1757" w:type="dxa"/>
          </w:tcPr>
          <w:p>
            <w:pPr>
              <w:pStyle w:val="0"/>
              <w:jc w:val="center"/>
            </w:pPr>
            <w:r>
              <w:rPr>
                <w:sz w:val="20"/>
              </w:rPr>
              <w:t xml:space="preserve">18,9</w:t>
            </w:r>
          </w:p>
        </w:tc>
      </w:tr>
      <w:tr>
        <w:tc>
          <w:tcPr>
            <w:tcW w:w="5216" w:type="dxa"/>
          </w:tcPr>
          <w:p>
            <w:pPr>
              <w:pStyle w:val="0"/>
              <w:jc w:val="both"/>
            </w:pPr>
            <w:r>
              <w:rPr>
                <w:sz w:val="20"/>
              </w:rPr>
              <w:t xml:space="preserve">Продукты глубокой переработки зерновых</w:t>
            </w:r>
          </w:p>
        </w:tc>
        <w:tc>
          <w:tcPr>
            <w:tcW w:w="1984" w:type="dxa"/>
          </w:tcPr>
          <w:p>
            <w:pPr>
              <w:pStyle w:val="0"/>
              <w:jc w:val="center"/>
            </w:pPr>
            <w:r>
              <w:rPr>
                <w:sz w:val="20"/>
              </w:rPr>
              <w:t xml:space="preserve">Средний передел</w:t>
            </w:r>
          </w:p>
        </w:tc>
        <w:tc>
          <w:tcPr>
            <w:tcW w:w="1757" w:type="dxa"/>
          </w:tcPr>
          <w:p>
            <w:pPr>
              <w:pStyle w:val="0"/>
              <w:jc w:val="center"/>
            </w:pPr>
            <w:r>
              <w:rPr>
                <w:sz w:val="20"/>
              </w:rPr>
              <w:t xml:space="preserve">14,0</w:t>
            </w:r>
          </w:p>
        </w:tc>
      </w:tr>
      <w:tr>
        <w:tc>
          <w:tcPr>
            <w:tcW w:w="5216" w:type="dxa"/>
          </w:tcPr>
          <w:p>
            <w:pPr>
              <w:pStyle w:val="0"/>
              <w:jc w:val="both"/>
            </w:pPr>
            <w:r>
              <w:rPr>
                <w:sz w:val="20"/>
              </w:rPr>
              <w:t xml:space="preserve">Молочная продукция</w:t>
            </w:r>
          </w:p>
        </w:tc>
        <w:tc>
          <w:tcPr>
            <w:tcW w:w="1984" w:type="dxa"/>
          </w:tcPr>
          <w:p>
            <w:pPr>
              <w:pStyle w:val="0"/>
              <w:jc w:val="center"/>
            </w:pPr>
            <w:r>
              <w:rPr>
                <w:sz w:val="20"/>
              </w:rPr>
              <w:t xml:space="preserve">Средний и верхний переделы</w:t>
            </w:r>
          </w:p>
        </w:tc>
        <w:tc>
          <w:tcPr>
            <w:tcW w:w="1757" w:type="dxa"/>
          </w:tcPr>
          <w:p>
            <w:pPr>
              <w:pStyle w:val="0"/>
              <w:jc w:val="center"/>
            </w:pPr>
            <w:r>
              <w:rPr>
                <w:sz w:val="20"/>
              </w:rPr>
              <w:t xml:space="preserve">2,5</w:t>
            </w:r>
          </w:p>
        </w:tc>
      </w:tr>
      <w:tr>
        <w:tc>
          <w:tcPr>
            <w:tcW w:w="5216" w:type="dxa"/>
          </w:tcPr>
          <w:p>
            <w:pPr>
              <w:pStyle w:val="0"/>
              <w:jc w:val="both"/>
            </w:pPr>
            <w:r>
              <w:rPr>
                <w:sz w:val="20"/>
              </w:rPr>
              <w:t xml:space="preserve">Напитки</w:t>
            </w:r>
          </w:p>
        </w:tc>
        <w:tc>
          <w:tcPr>
            <w:tcW w:w="1984" w:type="dxa"/>
          </w:tcPr>
          <w:p>
            <w:pPr>
              <w:pStyle w:val="0"/>
              <w:jc w:val="center"/>
            </w:pPr>
            <w:r>
              <w:rPr>
                <w:sz w:val="20"/>
              </w:rPr>
              <w:t xml:space="preserve">Верхний передел</w:t>
            </w:r>
          </w:p>
        </w:tc>
        <w:tc>
          <w:tcPr>
            <w:tcW w:w="1757" w:type="dxa"/>
          </w:tcPr>
          <w:p>
            <w:pPr>
              <w:pStyle w:val="0"/>
              <w:jc w:val="center"/>
            </w:pPr>
            <w:r>
              <w:rPr>
                <w:sz w:val="20"/>
              </w:rPr>
              <w:t xml:space="preserve">1,4</w:t>
            </w:r>
          </w:p>
        </w:tc>
      </w:tr>
      <w:tr>
        <w:tc>
          <w:tcPr>
            <w:tcW w:w="5216" w:type="dxa"/>
          </w:tcPr>
          <w:p>
            <w:pPr>
              <w:pStyle w:val="0"/>
              <w:jc w:val="both"/>
            </w:pPr>
            <w:r>
              <w:rPr>
                <w:sz w:val="20"/>
              </w:rPr>
              <w:t xml:space="preserve">Крупа из злаков, кроме пшеницы и кукурузы</w:t>
            </w:r>
          </w:p>
        </w:tc>
        <w:tc>
          <w:tcPr>
            <w:tcW w:w="1984" w:type="dxa"/>
          </w:tcPr>
          <w:p>
            <w:pPr>
              <w:pStyle w:val="0"/>
              <w:jc w:val="center"/>
            </w:pPr>
            <w:r>
              <w:rPr>
                <w:sz w:val="20"/>
              </w:rPr>
              <w:t xml:space="preserve">Средние переделы</w:t>
            </w:r>
          </w:p>
        </w:tc>
        <w:tc>
          <w:tcPr>
            <w:tcW w:w="1757" w:type="dxa"/>
          </w:tcPr>
          <w:p>
            <w:pPr>
              <w:pStyle w:val="0"/>
              <w:jc w:val="center"/>
            </w:pPr>
            <w:r>
              <w:rPr>
                <w:sz w:val="20"/>
              </w:rPr>
              <w:t xml:space="preserve">98,6</w:t>
            </w:r>
          </w:p>
        </w:tc>
      </w:tr>
      <w:tr>
        <w:tc>
          <w:tcPr>
            <w:tcW w:w="5216" w:type="dxa"/>
          </w:tcPr>
          <w:p>
            <w:pPr>
              <w:pStyle w:val="0"/>
              <w:jc w:val="both"/>
            </w:pPr>
            <w:r>
              <w:rPr>
                <w:sz w:val="20"/>
              </w:rPr>
              <w:t xml:space="preserve">Стеклянные ампулы</w:t>
            </w:r>
          </w:p>
        </w:tc>
        <w:tc>
          <w:tcPr>
            <w:tcW w:w="1984" w:type="dxa"/>
          </w:tcPr>
          <w:p>
            <w:pPr>
              <w:pStyle w:val="0"/>
              <w:jc w:val="center"/>
            </w:pPr>
            <w:r>
              <w:rPr>
                <w:sz w:val="20"/>
              </w:rPr>
              <w:t xml:space="preserve">Верхние переделы</w:t>
            </w:r>
          </w:p>
        </w:tc>
        <w:tc>
          <w:tcPr>
            <w:tcW w:w="1757" w:type="dxa"/>
          </w:tcPr>
          <w:p>
            <w:pPr>
              <w:pStyle w:val="0"/>
              <w:jc w:val="center"/>
            </w:pPr>
            <w:r>
              <w:rPr>
                <w:sz w:val="20"/>
              </w:rPr>
              <w:t xml:space="preserve">98,0</w:t>
            </w:r>
          </w:p>
        </w:tc>
      </w:tr>
      <w:tr>
        <w:tc>
          <w:tcPr>
            <w:tcW w:w="5216" w:type="dxa"/>
          </w:tcPr>
          <w:p>
            <w:pPr>
              <w:pStyle w:val="0"/>
              <w:jc w:val="both"/>
            </w:pPr>
            <w:r>
              <w:rPr>
                <w:sz w:val="20"/>
              </w:rPr>
              <w:t xml:space="preserve">Прочие расфасованные лекарства с алкалоидами</w:t>
            </w:r>
          </w:p>
        </w:tc>
        <w:tc>
          <w:tcPr>
            <w:tcW w:w="1984" w:type="dxa"/>
          </w:tcPr>
          <w:p>
            <w:pPr>
              <w:pStyle w:val="0"/>
              <w:jc w:val="center"/>
            </w:pPr>
            <w:r>
              <w:rPr>
                <w:sz w:val="20"/>
              </w:rPr>
              <w:t xml:space="preserve">Верхние переделы</w:t>
            </w:r>
          </w:p>
        </w:tc>
        <w:tc>
          <w:tcPr>
            <w:tcW w:w="1757" w:type="dxa"/>
          </w:tcPr>
          <w:p>
            <w:pPr>
              <w:pStyle w:val="0"/>
              <w:jc w:val="center"/>
            </w:pPr>
            <w:r>
              <w:rPr>
                <w:sz w:val="20"/>
              </w:rPr>
              <w:t xml:space="preserve">86,8</w:t>
            </w:r>
          </w:p>
        </w:tc>
      </w:tr>
      <w:tr>
        <w:tc>
          <w:tcPr>
            <w:tcW w:w="5216" w:type="dxa"/>
          </w:tcPr>
          <w:p>
            <w:pPr>
              <w:pStyle w:val="0"/>
              <w:jc w:val="both"/>
            </w:pPr>
            <w:r>
              <w:rPr>
                <w:sz w:val="20"/>
              </w:rPr>
              <w:t xml:space="preserve">Контейнеры</w:t>
            </w:r>
          </w:p>
        </w:tc>
        <w:tc>
          <w:tcPr>
            <w:tcW w:w="1984" w:type="dxa"/>
          </w:tcPr>
          <w:p>
            <w:pPr>
              <w:pStyle w:val="0"/>
              <w:jc w:val="center"/>
            </w:pPr>
            <w:r>
              <w:rPr>
                <w:sz w:val="20"/>
              </w:rPr>
              <w:t xml:space="preserve">Верхние переделы</w:t>
            </w:r>
          </w:p>
        </w:tc>
        <w:tc>
          <w:tcPr>
            <w:tcW w:w="1757" w:type="dxa"/>
          </w:tcPr>
          <w:p>
            <w:pPr>
              <w:pStyle w:val="0"/>
              <w:jc w:val="center"/>
            </w:pPr>
            <w:r>
              <w:rPr>
                <w:sz w:val="20"/>
              </w:rPr>
              <w:t xml:space="preserve">81,2</w:t>
            </w:r>
          </w:p>
        </w:tc>
      </w:tr>
      <w:tr>
        <w:tc>
          <w:tcPr>
            <w:tcW w:w="5216" w:type="dxa"/>
          </w:tcPr>
          <w:p>
            <w:pPr>
              <w:pStyle w:val="0"/>
              <w:jc w:val="both"/>
            </w:pPr>
            <w:r>
              <w:rPr>
                <w:sz w:val="20"/>
              </w:rPr>
              <w:t xml:space="preserve">Горчица</w:t>
            </w:r>
          </w:p>
        </w:tc>
        <w:tc>
          <w:tcPr>
            <w:tcW w:w="1984" w:type="dxa"/>
          </w:tcPr>
          <w:p>
            <w:pPr>
              <w:pStyle w:val="0"/>
              <w:jc w:val="center"/>
            </w:pPr>
            <w:r>
              <w:rPr>
                <w:sz w:val="20"/>
              </w:rPr>
              <w:t xml:space="preserve">Нижние переделы</w:t>
            </w:r>
          </w:p>
        </w:tc>
        <w:tc>
          <w:tcPr>
            <w:tcW w:w="1757" w:type="dxa"/>
          </w:tcPr>
          <w:p>
            <w:pPr>
              <w:pStyle w:val="0"/>
              <w:jc w:val="center"/>
            </w:pPr>
            <w:r>
              <w:rPr>
                <w:sz w:val="20"/>
              </w:rPr>
              <w:t xml:space="preserve">78,2</w:t>
            </w:r>
          </w:p>
        </w:tc>
      </w:tr>
      <w:tr>
        <w:tc>
          <w:tcPr>
            <w:tcW w:w="5216" w:type="dxa"/>
          </w:tcPr>
          <w:p>
            <w:pPr>
              <w:pStyle w:val="0"/>
              <w:jc w:val="both"/>
            </w:pPr>
            <w:r>
              <w:rPr>
                <w:sz w:val="20"/>
              </w:rPr>
              <w:t xml:space="preserve">Неотбеленные хлопчатобумажные ткани с химволокнами от 200 г/м2 полотняного переплетения</w:t>
            </w:r>
          </w:p>
        </w:tc>
        <w:tc>
          <w:tcPr>
            <w:tcW w:w="1984" w:type="dxa"/>
          </w:tcPr>
          <w:p>
            <w:pPr>
              <w:pStyle w:val="0"/>
              <w:jc w:val="center"/>
            </w:pPr>
            <w:r>
              <w:rPr>
                <w:sz w:val="20"/>
              </w:rPr>
              <w:t xml:space="preserve">Средние переделы</w:t>
            </w:r>
          </w:p>
        </w:tc>
        <w:tc>
          <w:tcPr>
            <w:tcW w:w="1757" w:type="dxa"/>
          </w:tcPr>
          <w:p>
            <w:pPr>
              <w:pStyle w:val="0"/>
              <w:jc w:val="center"/>
            </w:pPr>
            <w:r>
              <w:rPr>
                <w:sz w:val="20"/>
              </w:rPr>
              <w:t xml:space="preserve">70,4</w:t>
            </w:r>
          </w:p>
        </w:tc>
      </w:tr>
      <w:tr>
        <w:tc>
          <w:tcPr>
            <w:tcW w:w="5216" w:type="dxa"/>
          </w:tcPr>
          <w:p>
            <w:pPr>
              <w:pStyle w:val="0"/>
              <w:jc w:val="both"/>
            </w:pPr>
            <w:r>
              <w:rPr>
                <w:sz w:val="20"/>
              </w:rPr>
              <w:t xml:space="preserve">Кондитерские изделия</w:t>
            </w:r>
          </w:p>
        </w:tc>
        <w:tc>
          <w:tcPr>
            <w:tcW w:w="1984" w:type="dxa"/>
          </w:tcPr>
          <w:p>
            <w:pPr>
              <w:pStyle w:val="0"/>
              <w:jc w:val="center"/>
            </w:pPr>
            <w:r>
              <w:rPr>
                <w:sz w:val="20"/>
              </w:rPr>
              <w:t xml:space="preserve">Верхние пределы</w:t>
            </w:r>
          </w:p>
        </w:tc>
        <w:tc>
          <w:tcPr>
            <w:tcW w:w="1757" w:type="dxa"/>
          </w:tcPr>
          <w:p>
            <w:pPr>
              <w:pStyle w:val="0"/>
              <w:jc w:val="center"/>
            </w:pPr>
            <w:r>
              <w:rPr>
                <w:sz w:val="20"/>
              </w:rPr>
              <w:t xml:space="preserve">64,1</w:t>
            </w:r>
          </w:p>
        </w:tc>
      </w:tr>
      <w:tr>
        <w:tc>
          <w:tcPr>
            <w:tcW w:w="5216" w:type="dxa"/>
          </w:tcPr>
          <w:p>
            <w:pPr>
              <w:pStyle w:val="0"/>
              <w:jc w:val="both"/>
            </w:pPr>
            <w:r>
              <w:rPr>
                <w:sz w:val="20"/>
              </w:rPr>
              <w:t xml:space="preserve">Прочие прорезиненные текстильные материалы</w:t>
            </w:r>
          </w:p>
        </w:tc>
        <w:tc>
          <w:tcPr>
            <w:tcW w:w="1984" w:type="dxa"/>
          </w:tcPr>
          <w:p>
            <w:pPr>
              <w:pStyle w:val="0"/>
              <w:jc w:val="center"/>
            </w:pPr>
            <w:r>
              <w:rPr>
                <w:sz w:val="20"/>
              </w:rPr>
              <w:t xml:space="preserve">Верхние переделы</w:t>
            </w:r>
          </w:p>
        </w:tc>
        <w:tc>
          <w:tcPr>
            <w:tcW w:w="1757" w:type="dxa"/>
          </w:tcPr>
          <w:p>
            <w:pPr>
              <w:pStyle w:val="0"/>
              <w:jc w:val="center"/>
            </w:pPr>
            <w:r>
              <w:rPr>
                <w:sz w:val="20"/>
              </w:rPr>
              <w:t xml:space="preserve">63,5</w:t>
            </w:r>
          </w:p>
        </w:tc>
      </w:tr>
    </w:tbl>
    <w:p>
      <w:pPr>
        <w:pStyle w:val="0"/>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расчет АО "Альянс Консалтинг".</w:t>
      </w:r>
    </w:p>
    <w:p>
      <w:pPr>
        <w:pStyle w:val="0"/>
        <w:ind w:firstLine="540"/>
        <w:jc w:val="both"/>
      </w:pPr>
      <w:r>
        <w:rPr>
          <w:sz w:val="20"/>
        </w:rPr>
      </w:r>
    </w:p>
    <w:p>
      <w:pPr>
        <w:pStyle w:val="2"/>
        <w:outlineLvl w:val="4"/>
        <w:ind w:firstLine="540"/>
        <w:jc w:val="both"/>
      </w:pPr>
      <w:r>
        <w:rPr>
          <w:sz w:val="20"/>
        </w:rPr>
        <w:t xml:space="preserve">Реализации экспорта продукции АПК Курской области</w:t>
      </w:r>
    </w:p>
    <w:p>
      <w:pPr>
        <w:pStyle w:val="0"/>
        <w:ind w:firstLine="540"/>
        <w:jc w:val="both"/>
      </w:pPr>
      <w:r>
        <w:rPr>
          <w:sz w:val="20"/>
        </w:rPr>
      </w:r>
    </w:p>
    <w:p>
      <w:pPr>
        <w:pStyle w:val="0"/>
        <w:ind w:firstLine="540"/>
        <w:jc w:val="both"/>
      </w:pPr>
      <w:r>
        <w:rPr>
          <w:sz w:val="20"/>
        </w:rPr>
        <w:t xml:space="preserve">К основным экспортным видам продукции также относятся: кондитерские изделия (в том числе шоколад и мучные кондитерские изделия), свинина, солод, свекловичный жом, сахар.</w:t>
      </w:r>
    </w:p>
    <w:p>
      <w:pPr>
        <w:pStyle w:val="0"/>
        <w:spacing w:before="200" w:line-rule="auto"/>
        <w:ind w:firstLine="540"/>
        <w:jc w:val="both"/>
      </w:pPr>
      <w:r>
        <w:rPr>
          <w:sz w:val="20"/>
        </w:rPr>
        <w:t xml:space="preserve">Курская область экспортирует продукцию пищевой и перерабатывающей промышленности, а также зерно.</w:t>
      </w:r>
    </w:p>
    <w:p>
      <w:pPr>
        <w:pStyle w:val="0"/>
        <w:spacing w:before="200" w:line-rule="auto"/>
        <w:ind w:firstLine="540"/>
        <w:jc w:val="both"/>
      </w:pPr>
      <w:r>
        <w:rPr>
          <w:sz w:val="20"/>
        </w:rPr>
        <w:t xml:space="preserve">Зерно вывозится в основном в сопредельные регионы, в Республику Беларусь, Украину, Азербайджан, Латвию, а также для концентрации в порты.</w:t>
      </w:r>
    </w:p>
    <w:p>
      <w:pPr>
        <w:pStyle w:val="0"/>
        <w:spacing w:before="200" w:line-rule="auto"/>
        <w:ind w:firstLine="540"/>
        <w:jc w:val="both"/>
      </w:pPr>
      <w:r>
        <w:rPr>
          <w:sz w:val="20"/>
        </w:rPr>
        <w:t xml:space="preserve">Что касается продукции предприятий пищевой и перерабатывающей промышленности, то Курская область активно осваивает рынок стран СНГ (Беларусь, Молдова, Казахстан, Абхазия), Европы, США, Ближнего Востока.</w:t>
      </w:r>
    </w:p>
    <w:p>
      <w:pPr>
        <w:pStyle w:val="0"/>
        <w:spacing w:before="200" w:line-rule="auto"/>
        <w:ind w:firstLine="540"/>
        <w:jc w:val="both"/>
      </w:pPr>
      <w:r>
        <w:rPr>
          <w:sz w:val="20"/>
        </w:rPr>
        <w:t xml:space="preserve">Одним из крупных экспортеров в регионе является кондитерская фабрика АО "КОНТИ-РУС". География ее продаж - более 30 стран, в том числе Китай, страны Ближнего Востока, Северной Африки. Доля кондитерских изделий на экспорт в общем объеме отгруженной продукции составляет порядка 30 тыс. тонн, или 34%.</w:t>
      </w:r>
    </w:p>
    <w:p>
      <w:pPr>
        <w:pStyle w:val="0"/>
        <w:spacing w:before="200" w:line-rule="auto"/>
        <w:ind w:firstLine="540"/>
        <w:jc w:val="both"/>
      </w:pPr>
      <w:r>
        <w:rPr>
          <w:sz w:val="20"/>
        </w:rPr>
        <w:t xml:space="preserve">Кроме кондитерских изделий, курские предприятия экспортируют гречневую крупу и хлопья быстрого приготовления, мясную, молочную продукцию, сахар и мелассу.</w:t>
      </w:r>
    </w:p>
    <w:p>
      <w:pPr>
        <w:pStyle w:val="0"/>
        <w:spacing w:before="200" w:line-rule="auto"/>
        <w:ind w:firstLine="540"/>
        <w:jc w:val="both"/>
      </w:pPr>
      <w:r>
        <w:rPr>
          <w:sz w:val="20"/>
        </w:rPr>
        <w:t xml:space="preserve">Крупным экспортером мясной продукции в Курской области является ГК "Агропромкомплектация".</w:t>
      </w:r>
    </w:p>
    <w:p>
      <w:pPr>
        <w:pStyle w:val="0"/>
        <w:spacing w:before="200" w:line-rule="auto"/>
        <w:ind w:firstLine="540"/>
        <w:jc w:val="both"/>
      </w:pPr>
      <w:r>
        <w:rPr>
          <w:sz w:val="20"/>
        </w:rPr>
        <w:t xml:space="preserve">Продукция реализуется в страны ЕАЭС и Юго-Восточной Азии под брендом APK Trading Company. Ассортимент насчитывает порядка 20 наименований, в том числе замороженные свиные субпродукты, сырая мясная продукция, полуфабрикаты и мукоза.</w:t>
      </w:r>
    </w:p>
    <w:p>
      <w:pPr>
        <w:pStyle w:val="0"/>
        <w:spacing w:before="200" w:line-rule="auto"/>
        <w:ind w:firstLine="540"/>
        <w:jc w:val="both"/>
      </w:pPr>
      <w:r>
        <w:rPr>
          <w:sz w:val="20"/>
        </w:rPr>
        <w:t xml:space="preserve">К 2024 году планируется увеличить экспорт продукции агропромышленного комплекса Курской области до 272 млн. долл. США, что в 2,3 раза превысит уровень 2017 года.</w:t>
      </w:r>
    </w:p>
    <w:p>
      <w:pPr>
        <w:pStyle w:val="0"/>
        <w:spacing w:before="200" w:line-rule="auto"/>
        <w:ind w:firstLine="540"/>
        <w:jc w:val="both"/>
      </w:pPr>
      <w:r>
        <w:rPr>
          <w:sz w:val="20"/>
        </w:rPr>
        <w:t xml:space="preserve">Выполнение показателей по региональному проекту "Развитие экспорта продукции АПК Курской области" планируется за счет увеличения экспортных поставок высоко маржинальной продукции.</w:t>
      </w:r>
    </w:p>
    <w:p>
      <w:pPr>
        <w:pStyle w:val="0"/>
        <w:spacing w:before="200" w:line-rule="auto"/>
        <w:ind w:firstLine="540"/>
        <w:jc w:val="both"/>
      </w:pPr>
      <w:r>
        <w:rPr>
          <w:sz w:val="20"/>
        </w:rPr>
        <w:t xml:space="preserve">Перспективным направлением развития экспорта является увеличение поставок сахара, мелассы, сушеного гранулированного жома, колбасных изделий, кондитерских изделий, соевого шрота.</w:t>
      </w:r>
    </w:p>
    <w:p>
      <w:pPr>
        <w:pStyle w:val="0"/>
        <w:spacing w:before="200" w:line-rule="auto"/>
        <w:ind w:firstLine="540"/>
        <w:jc w:val="both"/>
      </w:pPr>
      <w:r>
        <w:rPr>
          <w:sz w:val="20"/>
        </w:rPr>
        <w:t xml:space="preserve">Увеличению экспортного потенциала будет способствовать реализация инвестиционных проектов компанией ГК "Мираторг", ООО "Агропромкомплектация-Курск", ООО "Курскагротерминал" (ГК "Содружество"), АО "ИннПромБиотех".</w:t>
      </w:r>
    </w:p>
    <w:p>
      <w:pPr>
        <w:pStyle w:val="0"/>
        <w:ind w:firstLine="540"/>
        <w:jc w:val="both"/>
      </w:pPr>
      <w:r>
        <w:rPr>
          <w:sz w:val="20"/>
        </w:rPr>
      </w:r>
    </w:p>
    <w:p>
      <w:pPr>
        <w:pStyle w:val="2"/>
        <w:outlineLvl w:val="3"/>
        <w:ind w:firstLine="540"/>
        <w:jc w:val="both"/>
      </w:pPr>
      <w:r>
        <w:rPr>
          <w:sz w:val="20"/>
        </w:rPr>
        <w:t xml:space="preserve">1.3. География экспорта Курской области</w:t>
      </w:r>
    </w:p>
    <w:p>
      <w:pPr>
        <w:pStyle w:val="0"/>
        <w:ind w:firstLine="540"/>
        <w:jc w:val="both"/>
      </w:pPr>
      <w:r>
        <w:rPr>
          <w:sz w:val="20"/>
        </w:rPr>
      </w:r>
    </w:p>
    <w:p>
      <w:pPr>
        <w:pStyle w:val="2"/>
        <w:outlineLvl w:val="4"/>
        <w:jc w:val="center"/>
      </w:pPr>
      <w:r>
        <w:rPr>
          <w:sz w:val="20"/>
        </w:rPr>
        <w:t xml:space="preserve">Страны-импортеры продукции региона в 2015 - 2018 гг.</w:t>
      </w:r>
    </w:p>
    <w:p>
      <w:pPr>
        <w:pStyle w:val="0"/>
        <w:ind w:firstLine="540"/>
        <w:jc w:val="both"/>
      </w:pPr>
      <w:r>
        <w:rPr>
          <w:sz w:val="20"/>
        </w:rPr>
      </w:r>
    </w:p>
    <w:p>
      <w:pPr>
        <w:pStyle w:val="0"/>
        <w:ind w:firstLine="540"/>
        <w:jc w:val="both"/>
      </w:pPr>
      <w:r>
        <w:rPr>
          <w:sz w:val="20"/>
        </w:rPr>
        <w:t xml:space="preserve">География экспорта продукции Курской области достаточно обширна - за период 2015 - 2018 гг. экспортные поставки осуществлялись минимум в 70 стран. Крупнейшими импортерами региона являются Китай, Казахстан, Украина. За 3 года (2016 - 2018 гг.) наибольший объем продукции был поставлен Курской областью в Словакию (203 млн. долл. США), Украину (198,7 млн. долл. США), Китай (195 млн. долл. США), Казахстан (155,7 млн. долл. США), Латвию (115,7 млн. долл. США), Беларусь (112,1 млн. долл. США).</w:t>
      </w:r>
    </w:p>
    <w:p>
      <w:pPr>
        <w:pStyle w:val="0"/>
        <w:ind w:firstLine="540"/>
        <w:jc w:val="both"/>
      </w:pPr>
      <w:r>
        <w:rPr>
          <w:sz w:val="20"/>
        </w:rPr>
      </w:r>
    </w:p>
    <w:p>
      <w:pPr>
        <w:pStyle w:val="0"/>
        <w:outlineLvl w:val="5"/>
        <w:jc w:val="right"/>
      </w:pPr>
      <w:r>
        <w:rPr>
          <w:sz w:val="20"/>
        </w:rPr>
        <w:t xml:space="preserve">Таблица N 12</w:t>
      </w:r>
    </w:p>
    <w:p>
      <w:pPr>
        <w:pStyle w:val="0"/>
        <w:jc w:val="center"/>
      </w:pPr>
      <w:r>
        <w:rPr>
          <w:sz w:val="20"/>
        </w:rPr>
      </w:r>
    </w:p>
    <w:p>
      <w:pPr>
        <w:pStyle w:val="2"/>
        <w:jc w:val="center"/>
      </w:pPr>
      <w:r>
        <w:rPr>
          <w:sz w:val="20"/>
        </w:rPr>
        <w:t xml:space="preserve">Топ-5 стран по доли в объеме экспорта Курской области,</w:t>
      </w:r>
    </w:p>
    <w:p>
      <w:pPr>
        <w:pStyle w:val="2"/>
        <w:jc w:val="center"/>
      </w:pPr>
      <w:r>
        <w:rPr>
          <w:sz w:val="20"/>
        </w:rPr>
        <w:t xml:space="preserve">2015 - 2018 гг.</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09"/>
        <w:gridCol w:w="617"/>
        <w:gridCol w:w="1651"/>
        <w:gridCol w:w="617"/>
        <w:gridCol w:w="1793"/>
        <w:gridCol w:w="708"/>
        <w:gridCol w:w="1464"/>
        <w:gridCol w:w="708"/>
      </w:tblGrid>
      <w:tr>
        <w:tc>
          <w:tcPr>
            <w:gridSpan w:val="2"/>
            <w:tcW w:w="2126" w:type="dxa"/>
            <w:vAlign w:val="bottom"/>
          </w:tcPr>
          <w:p>
            <w:pPr>
              <w:pStyle w:val="0"/>
              <w:jc w:val="center"/>
            </w:pPr>
            <w:r>
              <w:rPr>
                <w:sz w:val="20"/>
              </w:rPr>
              <w:t xml:space="preserve">2015 г.</w:t>
            </w:r>
          </w:p>
        </w:tc>
        <w:tc>
          <w:tcPr>
            <w:gridSpan w:val="2"/>
            <w:tcW w:w="2268" w:type="dxa"/>
            <w:vAlign w:val="bottom"/>
          </w:tcPr>
          <w:p>
            <w:pPr>
              <w:pStyle w:val="0"/>
              <w:jc w:val="center"/>
            </w:pPr>
            <w:r>
              <w:rPr>
                <w:sz w:val="20"/>
              </w:rPr>
              <w:t xml:space="preserve">2016 г.</w:t>
            </w:r>
          </w:p>
        </w:tc>
        <w:tc>
          <w:tcPr>
            <w:gridSpan w:val="2"/>
            <w:tcW w:w="2501" w:type="dxa"/>
            <w:vAlign w:val="bottom"/>
          </w:tcPr>
          <w:p>
            <w:pPr>
              <w:pStyle w:val="0"/>
              <w:jc w:val="center"/>
            </w:pPr>
            <w:r>
              <w:rPr>
                <w:sz w:val="20"/>
              </w:rPr>
              <w:t xml:space="preserve">2017 г.</w:t>
            </w:r>
          </w:p>
        </w:tc>
        <w:tc>
          <w:tcPr>
            <w:gridSpan w:val="2"/>
            <w:tcW w:w="2172" w:type="dxa"/>
            <w:vAlign w:val="bottom"/>
          </w:tcPr>
          <w:p>
            <w:pPr>
              <w:pStyle w:val="0"/>
              <w:jc w:val="center"/>
            </w:pPr>
            <w:r>
              <w:rPr>
                <w:sz w:val="20"/>
              </w:rPr>
              <w:t xml:space="preserve">2018 г.</w:t>
            </w:r>
          </w:p>
        </w:tc>
      </w:tr>
      <w:tr>
        <w:tc>
          <w:tcPr>
            <w:tcW w:w="1509" w:type="dxa"/>
            <w:vAlign w:val="bottom"/>
          </w:tcPr>
          <w:p>
            <w:pPr>
              <w:pStyle w:val="0"/>
              <w:jc w:val="center"/>
            </w:pPr>
            <w:r>
              <w:rPr>
                <w:sz w:val="20"/>
              </w:rPr>
              <w:t xml:space="preserve">Китай</w:t>
            </w:r>
          </w:p>
        </w:tc>
        <w:tc>
          <w:tcPr>
            <w:tcW w:w="617" w:type="dxa"/>
            <w:vAlign w:val="bottom"/>
          </w:tcPr>
          <w:p>
            <w:pPr>
              <w:pStyle w:val="0"/>
              <w:jc w:val="both"/>
            </w:pPr>
            <w:r>
              <w:rPr>
                <w:sz w:val="20"/>
              </w:rPr>
              <w:t xml:space="preserve">16%</w:t>
            </w:r>
          </w:p>
        </w:tc>
        <w:tc>
          <w:tcPr>
            <w:tcW w:w="1651" w:type="dxa"/>
            <w:vAlign w:val="bottom"/>
          </w:tcPr>
          <w:p>
            <w:pPr>
              <w:pStyle w:val="0"/>
              <w:jc w:val="center"/>
            </w:pPr>
            <w:r>
              <w:rPr>
                <w:sz w:val="20"/>
              </w:rPr>
              <w:t xml:space="preserve">Китай</w:t>
            </w:r>
          </w:p>
        </w:tc>
        <w:tc>
          <w:tcPr>
            <w:tcW w:w="617" w:type="dxa"/>
            <w:vAlign w:val="bottom"/>
          </w:tcPr>
          <w:p>
            <w:pPr>
              <w:pStyle w:val="0"/>
              <w:jc w:val="both"/>
            </w:pPr>
            <w:r>
              <w:rPr>
                <w:sz w:val="20"/>
              </w:rPr>
              <w:t xml:space="preserve">22%</w:t>
            </w:r>
          </w:p>
        </w:tc>
        <w:tc>
          <w:tcPr>
            <w:tcW w:w="1793" w:type="dxa"/>
            <w:vAlign w:val="bottom"/>
          </w:tcPr>
          <w:p>
            <w:pPr>
              <w:pStyle w:val="0"/>
              <w:jc w:val="center"/>
            </w:pPr>
            <w:r>
              <w:rPr>
                <w:sz w:val="20"/>
              </w:rPr>
              <w:t xml:space="preserve">Казахстан</w:t>
            </w:r>
          </w:p>
        </w:tc>
        <w:tc>
          <w:tcPr>
            <w:tcW w:w="708" w:type="dxa"/>
            <w:vAlign w:val="bottom"/>
          </w:tcPr>
          <w:p>
            <w:pPr>
              <w:pStyle w:val="0"/>
              <w:jc w:val="both"/>
            </w:pPr>
            <w:r>
              <w:rPr>
                <w:sz w:val="20"/>
              </w:rPr>
              <w:t xml:space="preserve">11%</w:t>
            </w:r>
          </w:p>
        </w:tc>
        <w:tc>
          <w:tcPr>
            <w:tcW w:w="1464" w:type="dxa"/>
            <w:vAlign w:val="bottom"/>
          </w:tcPr>
          <w:p>
            <w:pPr>
              <w:pStyle w:val="0"/>
              <w:jc w:val="both"/>
            </w:pPr>
            <w:r>
              <w:rPr>
                <w:sz w:val="20"/>
              </w:rPr>
              <w:t xml:space="preserve">Словакия</w:t>
            </w:r>
          </w:p>
        </w:tc>
        <w:tc>
          <w:tcPr>
            <w:tcW w:w="708" w:type="dxa"/>
            <w:vAlign w:val="bottom"/>
          </w:tcPr>
          <w:p>
            <w:pPr>
              <w:pStyle w:val="0"/>
              <w:jc w:val="both"/>
            </w:pPr>
            <w:r>
              <w:rPr>
                <w:sz w:val="20"/>
              </w:rPr>
              <w:t xml:space="preserve">18%</w:t>
            </w:r>
          </w:p>
        </w:tc>
      </w:tr>
      <w:tr>
        <w:tc>
          <w:tcPr>
            <w:tcW w:w="1509" w:type="dxa"/>
            <w:vAlign w:val="bottom"/>
          </w:tcPr>
          <w:p>
            <w:pPr>
              <w:pStyle w:val="0"/>
              <w:jc w:val="center"/>
            </w:pPr>
            <w:r>
              <w:rPr>
                <w:sz w:val="20"/>
              </w:rPr>
              <w:t xml:space="preserve">Украина</w:t>
            </w:r>
          </w:p>
        </w:tc>
        <w:tc>
          <w:tcPr>
            <w:tcW w:w="617" w:type="dxa"/>
            <w:vAlign w:val="bottom"/>
          </w:tcPr>
          <w:p>
            <w:pPr>
              <w:pStyle w:val="0"/>
              <w:jc w:val="both"/>
            </w:pPr>
            <w:r>
              <w:rPr>
                <w:sz w:val="20"/>
              </w:rPr>
              <w:t xml:space="preserve">14%</w:t>
            </w:r>
          </w:p>
        </w:tc>
        <w:tc>
          <w:tcPr>
            <w:tcW w:w="1651" w:type="dxa"/>
            <w:vAlign w:val="bottom"/>
          </w:tcPr>
          <w:p>
            <w:pPr>
              <w:pStyle w:val="0"/>
              <w:jc w:val="center"/>
            </w:pPr>
            <w:r>
              <w:rPr>
                <w:sz w:val="20"/>
              </w:rPr>
              <w:t xml:space="preserve">Украина</w:t>
            </w:r>
          </w:p>
        </w:tc>
        <w:tc>
          <w:tcPr>
            <w:tcW w:w="617" w:type="dxa"/>
            <w:vAlign w:val="bottom"/>
          </w:tcPr>
          <w:p>
            <w:pPr>
              <w:pStyle w:val="0"/>
              <w:jc w:val="both"/>
            </w:pPr>
            <w:r>
              <w:rPr>
                <w:sz w:val="20"/>
              </w:rPr>
              <w:t xml:space="preserve">11%</w:t>
            </w:r>
          </w:p>
        </w:tc>
        <w:tc>
          <w:tcPr>
            <w:tcW w:w="1793" w:type="dxa"/>
            <w:vAlign w:val="bottom"/>
          </w:tcPr>
          <w:p>
            <w:pPr>
              <w:pStyle w:val="0"/>
              <w:jc w:val="center"/>
            </w:pPr>
            <w:r>
              <w:rPr>
                <w:sz w:val="20"/>
              </w:rPr>
              <w:t xml:space="preserve">Украина</w:t>
            </w:r>
          </w:p>
        </w:tc>
        <w:tc>
          <w:tcPr>
            <w:tcW w:w="708" w:type="dxa"/>
            <w:vAlign w:val="bottom"/>
          </w:tcPr>
          <w:p>
            <w:pPr>
              <w:pStyle w:val="0"/>
              <w:jc w:val="both"/>
            </w:pPr>
            <w:r>
              <w:rPr>
                <w:sz w:val="20"/>
              </w:rPr>
              <w:t xml:space="preserve">11%</w:t>
            </w:r>
          </w:p>
        </w:tc>
        <w:tc>
          <w:tcPr>
            <w:tcW w:w="1464" w:type="dxa"/>
            <w:vAlign w:val="bottom"/>
          </w:tcPr>
          <w:p>
            <w:pPr>
              <w:pStyle w:val="0"/>
              <w:jc w:val="both"/>
            </w:pPr>
            <w:r>
              <w:rPr>
                <w:sz w:val="20"/>
              </w:rPr>
              <w:t xml:space="preserve">Украина</w:t>
            </w:r>
          </w:p>
        </w:tc>
        <w:tc>
          <w:tcPr>
            <w:tcW w:w="708" w:type="dxa"/>
            <w:vAlign w:val="bottom"/>
          </w:tcPr>
          <w:p>
            <w:pPr>
              <w:pStyle w:val="0"/>
              <w:jc w:val="both"/>
            </w:pPr>
            <w:r>
              <w:rPr>
                <w:sz w:val="20"/>
              </w:rPr>
              <w:t xml:space="preserve">11%</w:t>
            </w:r>
          </w:p>
        </w:tc>
      </w:tr>
      <w:tr>
        <w:tc>
          <w:tcPr>
            <w:tcW w:w="1509" w:type="dxa"/>
            <w:vAlign w:val="bottom"/>
          </w:tcPr>
          <w:p>
            <w:pPr>
              <w:pStyle w:val="0"/>
              <w:jc w:val="center"/>
            </w:pPr>
            <w:r>
              <w:rPr>
                <w:sz w:val="20"/>
              </w:rPr>
              <w:t xml:space="preserve">Казахстан</w:t>
            </w:r>
          </w:p>
        </w:tc>
        <w:tc>
          <w:tcPr>
            <w:tcW w:w="617" w:type="dxa"/>
            <w:vAlign w:val="bottom"/>
          </w:tcPr>
          <w:p>
            <w:pPr>
              <w:pStyle w:val="0"/>
              <w:jc w:val="both"/>
            </w:pPr>
            <w:r>
              <w:rPr>
                <w:sz w:val="20"/>
              </w:rPr>
              <w:t xml:space="preserve">10%</w:t>
            </w:r>
          </w:p>
        </w:tc>
        <w:tc>
          <w:tcPr>
            <w:tcW w:w="1651" w:type="dxa"/>
            <w:vAlign w:val="bottom"/>
          </w:tcPr>
          <w:p>
            <w:pPr>
              <w:pStyle w:val="0"/>
              <w:jc w:val="center"/>
            </w:pPr>
            <w:r>
              <w:rPr>
                <w:sz w:val="20"/>
              </w:rPr>
              <w:t xml:space="preserve">Казахстан</w:t>
            </w:r>
          </w:p>
        </w:tc>
        <w:tc>
          <w:tcPr>
            <w:tcW w:w="617" w:type="dxa"/>
            <w:vAlign w:val="bottom"/>
          </w:tcPr>
          <w:p>
            <w:pPr>
              <w:pStyle w:val="0"/>
              <w:jc w:val="both"/>
            </w:pPr>
            <w:r>
              <w:rPr>
                <w:sz w:val="20"/>
              </w:rPr>
              <w:t xml:space="preserve">8%</w:t>
            </w:r>
          </w:p>
        </w:tc>
        <w:tc>
          <w:tcPr>
            <w:tcW w:w="1793" w:type="dxa"/>
            <w:vAlign w:val="bottom"/>
          </w:tcPr>
          <w:p>
            <w:pPr>
              <w:pStyle w:val="0"/>
              <w:jc w:val="center"/>
            </w:pPr>
            <w:r>
              <w:rPr>
                <w:sz w:val="20"/>
              </w:rPr>
              <w:t xml:space="preserve">Китай</w:t>
            </w:r>
          </w:p>
        </w:tc>
        <w:tc>
          <w:tcPr>
            <w:tcW w:w="708" w:type="dxa"/>
            <w:vAlign w:val="bottom"/>
          </w:tcPr>
          <w:p>
            <w:pPr>
              <w:pStyle w:val="0"/>
              <w:jc w:val="both"/>
            </w:pPr>
            <w:r>
              <w:rPr>
                <w:sz w:val="20"/>
              </w:rPr>
              <w:t xml:space="preserve">10%</w:t>
            </w:r>
          </w:p>
        </w:tc>
        <w:tc>
          <w:tcPr>
            <w:tcW w:w="1464" w:type="dxa"/>
            <w:vAlign w:val="bottom"/>
          </w:tcPr>
          <w:p>
            <w:pPr>
              <w:pStyle w:val="0"/>
              <w:jc w:val="both"/>
            </w:pPr>
            <w:r>
              <w:rPr>
                <w:sz w:val="20"/>
              </w:rPr>
              <w:t xml:space="preserve">Латвия</w:t>
            </w:r>
          </w:p>
        </w:tc>
        <w:tc>
          <w:tcPr>
            <w:tcW w:w="708" w:type="dxa"/>
            <w:vAlign w:val="bottom"/>
          </w:tcPr>
          <w:p>
            <w:pPr>
              <w:pStyle w:val="0"/>
              <w:jc w:val="both"/>
            </w:pPr>
            <w:r>
              <w:rPr>
                <w:sz w:val="20"/>
              </w:rPr>
              <w:t xml:space="preserve">9%</w:t>
            </w:r>
          </w:p>
        </w:tc>
      </w:tr>
      <w:tr>
        <w:tc>
          <w:tcPr>
            <w:tcW w:w="1509" w:type="dxa"/>
            <w:vAlign w:val="bottom"/>
          </w:tcPr>
          <w:p>
            <w:pPr>
              <w:pStyle w:val="0"/>
              <w:jc w:val="center"/>
            </w:pPr>
            <w:r>
              <w:rPr>
                <w:sz w:val="20"/>
              </w:rPr>
              <w:t xml:space="preserve">Беларусь</w:t>
            </w:r>
          </w:p>
        </w:tc>
        <w:tc>
          <w:tcPr>
            <w:tcW w:w="617" w:type="dxa"/>
            <w:vAlign w:val="bottom"/>
          </w:tcPr>
          <w:p>
            <w:pPr>
              <w:pStyle w:val="0"/>
              <w:jc w:val="both"/>
            </w:pPr>
            <w:r>
              <w:rPr>
                <w:sz w:val="20"/>
              </w:rPr>
              <w:t xml:space="preserve">7%</w:t>
            </w:r>
          </w:p>
        </w:tc>
        <w:tc>
          <w:tcPr>
            <w:tcW w:w="1651" w:type="dxa"/>
            <w:vAlign w:val="bottom"/>
          </w:tcPr>
          <w:p>
            <w:pPr>
              <w:pStyle w:val="0"/>
              <w:jc w:val="center"/>
            </w:pPr>
            <w:r>
              <w:rPr>
                <w:sz w:val="20"/>
              </w:rPr>
              <w:t xml:space="preserve">Словакия</w:t>
            </w:r>
          </w:p>
        </w:tc>
        <w:tc>
          <w:tcPr>
            <w:tcW w:w="617" w:type="dxa"/>
            <w:vAlign w:val="bottom"/>
          </w:tcPr>
          <w:p>
            <w:pPr>
              <w:pStyle w:val="0"/>
              <w:jc w:val="both"/>
            </w:pPr>
            <w:r>
              <w:rPr>
                <w:sz w:val="20"/>
              </w:rPr>
              <w:t xml:space="preserve">7%</w:t>
            </w:r>
          </w:p>
        </w:tc>
        <w:tc>
          <w:tcPr>
            <w:tcW w:w="1793" w:type="dxa"/>
            <w:vAlign w:val="bottom"/>
          </w:tcPr>
          <w:p>
            <w:pPr>
              <w:pStyle w:val="0"/>
              <w:jc w:val="center"/>
            </w:pPr>
            <w:r>
              <w:rPr>
                <w:sz w:val="20"/>
              </w:rPr>
              <w:t xml:space="preserve">Польша</w:t>
            </w:r>
          </w:p>
        </w:tc>
        <w:tc>
          <w:tcPr>
            <w:tcW w:w="708" w:type="dxa"/>
            <w:vAlign w:val="bottom"/>
          </w:tcPr>
          <w:p>
            <w:pPr>
              <w:pStyle w:val="0"/>
              <w:jc w:val="both"/>
            </w:pPr>
            <w:r>
              <w:rPr>
                <w:sz w:val="20"/>
              </w:rPr>
              <w:t xml:space="preserve">10%</w:t>
            </w:r>
          </w:p>
        </w:tc>
        <w:tc>
          <w:tcPr>
            <w:tcW w:w="1464" w:type="dxa"/>
            <w:vAlign w:val="bottom"/>
          </w:tcPr>
          <w:p>
            <w:pPr>
              <w:pStyle w:val="0"/>
              <w:jc w:val="both"/>
            </w:pPr>
            <w:r>
              <w:rPr>
                <w:sz w:val="20"/>
              </w:rPr>
              <w:t xml:space="preserve">Беларусь</w:t>
            </w:r>
          </w:p>
        </w:tc>
        <w:tc>
          <w:tcPr>
            <w:tcW w:w="708" w:type="dxa"/>
            <w:vAlign w:val="bottom"/>
          </w:tcPr>
          <w:p>
            <w:pPr>
              <w:pStyle w:val="0"/>
              <w:jc w:val="both"/>
            </w:pPr>
            <w:r>
              <w:rPr>
                <w:sz w:val="20"/>
              </w:rPr>
              <w:t xml:space="preserve">7%</w:t>
            </w:r>
          </w:p>
        </w:tc>
      </w:tr>
      <w:tr>
        <w:tc>
          <w:tcPr>
            <w:tcW w:w="1509" w:type="dxa"/>
            <w:vAlign w:val="bottom"/>
          </w:tcPr>
          <w:p>
            <w:pPr>
              <w:pStyle w:val="0"/>
              <w:jc w:val="center"/>
            </w:pPr>
            <w:r>
              <w:rPr>
                <w:sz w:val="20"/>
              </w:rPr>
              <w:t xml:space="preserve">Польша</w:t>
            </w:r>
          </w:p>
        </w:tc>
        <w:tc>
          <w:tcPr>
            <w:tcW w:w="617" w:type="dxa"/>
            <w:vAlign w:val="bottom"/>
          </w:tcPr>
          <w:p>
            <w:pPr>
              <w:pStyle w:val="0"/>
              <w:jc w:val="both"/>
            </w:pPr>
            <w:r>
              <w:rPr>
                <w:sz w:val="20"/>
              </w:rPr>
              <w:t xml:space="preserve">6%</w:t>
            </w:r>
          </w:p>
        </w:tc>
        <w:tc>
          <w:tcPr>
            <w:tcW w:w="1651" w:type="dxa"/>
            <w:vAlign w:val="bottom"/>
          </w:tcPr>
          <w:p>
            <w:pPr>
              <w:pStyle w:val="0"/>
              <w:jc w:val="center"/>
            </w:pPr>
            <w:r>
              <w:rPr>
                <w:sz w:val="20"/>
              </w:rPr>
              <w:t xml:space="preserve">Латвия</w:t>
            </w:r>
          </w:p>
        </w:tc>
        <w:tc>
          <w:tcPr>
            <w:tcW w:w="617" w:type="dxa"/>
            <w:vAlign w:val="bottom"/>
          </w:tcPr>
          <w:p>
            <w:pPr>
              <w:pStyle w:val="0"/>
              <w:jc w:val="both"/>
            </w:pPr>
            <w:r>
              <w:rPr>
                <w:sz w:val="20"/>
              </w:rPr>
              <w:t xml:space="preserve">6%</w:t>
            </w:r>
          </w:p>
        </w:tc>
        <w:tc>
          <w:tcPr>
            <w:tcW w:w="1793" w:type="dxa"/>
            <w:vAlign w:val="bottom"/>
          </w:tcPr>
          <w:p>
            <w:pPr>
              <w:pStyle w:val="0"/>
              <w:jc w:val="center"/>
            </w:pPr>
            <w:r>
              <w:rPr>
                <w:sz w:val="20"/>
              </w:rPr>
              <w:t xml:space="preserve">Сербия</w:t>
            </w:r>
          </w:p>
        </w:tc>
        <w:tc>
          <w:tcPr>
            <w:tcW w:w="708" w:type="dxa"/>
            <w:vAlign w:val="bottom"/>
          </w:tcPr>
          <w:p>
            <w:pPr>
              <w:pStyle w:val="0"/>
              <w:jc w:val="both"/>
            </w:pPr>
            <w:r>
              <w:rPr>
                <w:sz w:val="20"/>
              </w:rPr>
              <w:t xml:space="preserve">7%</w:t>
            </w:r>
          </w:p>
        </w:tc>
        <w:tc>
          <w:tcPr>
            <w:tcW w:w="1464" w:type="dxa"/>
            <w:vAlign w:val="bottom"/>
          </w:tcPr>
          <w:p>
            <w:pPr>
              <w:pStyle w:val="0"/>
              <w:jc w:val="both"/>
            </w:pPr>
            <w:r>
              <w:rPr>
                <w:sz w:val="20"/>
              </w:rPr>
              <w:t xml:space="preserve">Казахстан</w:t>
            </w:r>
          </w:p>
        </w:tc>
        <w:tc>
          <w:tcPr>
            <w:tcW w:w="708" w:type="dxa"/>
            <w:vAlign w:val="bottom"/>
          </w:tcPr>
          <w:p>
            <w:pPr>
              <w:pStyle w:val="0"/>
              <w:jc w:val="both"/>
            </w:pPr>
            <w:r>
              <w:rPr>
                <w:sz w:val="20"/>
              </w:rPr>
              <w:t xml:space="preserve">7%</w:t>
            </w:r>
          </w:p>
        </w:tc>
      </w:tr>
    </w:tbl>
    <w:p>
      <w:pPr>
        <w:pStyle w:val="0"/>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расчет АО "Альянс Консалтинг".</w:t>
      </w:r>
    </w:p>
    <w:p>
      <w:pPr>
        <w:pStyle w:val="0"/>
        <w:ind w:firstLine="540"/>
        <w:jc w:val="both"/>
      </w:pPr>
      <w:r>
        <w:rPr>
          <w:sz w:val="20"/>
        </w:rPr>
      </w:r>
    </w:p>
    <w:p>
      <w:pPr>
        <w:pStyle w:val="0"/>
        <w:ind w:firstLine="540"/>
        <w:jc w:val="both"/>
      </w:pPr>
      <w:r>
        <w:rPr>
          <w:sz w:val="20"/>
        </w:rPr>
        <w:t xml:space="preserve">Основным товаром, экспортирующимся в Словакию, является руда (99,8% экспорта в страну в 2018 году). Наибольшая доля в экспорте на Украину приходится на пластмассы и изделия из них (34%), свинец и изделия из него (14%), черные металлы (7%), каучук, резину и изделия из них (5%), жиры и масла животного или растительного происхождения (6%). В структуре экспорта Курской области в Латвию наибольшую долю занимают злаки (94%), остатки и отходы пищевой промышленности (3%) и черные металлы (2%).</w:t>
      </w:r>
    </w:p>
    <w:p>
      <w:pPr>
        <w:pStyle w:val="0"/>
        <w:spacing w:before="200" w:line-rule="auto"/>
        <w:ind w:firstLine="540"/>
        <w:jc w:val="both"/>
      </w:pPr>
      <w:r>
        <w:rPr>
          <w:sz w:val="20"/>
        </w:rPr>
        <w:t xml:space="preserve">Географически экспорт Курской области достаточно концентрирован - 12 стран в 2014 - 2017 гг. обеспечивали 80% всего экспорта. В 2018 году 81% экспорта пришлось на Словакию, Украину, Латвию, Беларусь, Казахстан, Германию, Китай, Польшу, Великобританию, Сербию, Турцию, Молдову, Узбекистан.</w:t>
      </w:r>
    </w:p>
    <w:p>
      <w:pPr>
        <w:pStyle w:val="0"/>
        <w:spacing w:before="200" w:line-rule="auto"/>
        <w:ind w:firstLine="540"/>
        <w:jc w:val="both"/>
      </w:pPr>
      <w:r>
        <w:rPr>
          <w:sz w:val="20"/>
        </w:rPr>
        <w:t xml:space="preserve">Наиболее динамично экспортные поставки расширяются в следующие страны: Франция (за период 2016 - 2018 гг. среднегодовой темп роста экспорта составил более 900%), Египет (621%), Румыния (561%), Великобритания (264%), Нидерланды (260%), Дания (238%), Сербия (176%), Узбекистан (175%), Португалия и Хорватия (по 171%). На долю этих 10 динамично развивающихся экспортных рынков Курской области в 2018 году приходилось 13% общего экспорта (88,2 млн. долл. США).</w:t>
      </w:r>
    </w:p>
    <w:p>
      <w:pPr>
        <w:pStyle w:val="0"/>
        <w:spacing w:before="200" w:line-rule="auto"/>
        <w:ind w:firstLine="540"/>
        <w:jc w:val="both"/>
      </w:pPr>
      <w:r>
        <w:rPr>
          <w:sz w:val="20"/>
        </w:rPr>
        <w:t xml:space="preserve">За последние три года наблюдается стабильный рост экспорта преимущественно в страны Европы. Экспорт Курской области в Великобританию увеличивался ежегодно в среднем в 3,64 раза, в Нидерланды - в 3,6 раза, в Данию - в 3,4 раза, в Португалию - в 2,7 раза. Также среди стран со стабильно растущим объемом экспорта продукции Курской области находятся Узбекистан (среднегодовой темп роста объема вывозимой продукции составил 175%) и Гватемала (среднегодовой рост поставок - 81%).</w:t>
      </w:r>
    </w:p>
    <w:p>
      <w:pPr>
        <w:pStyle w:val="0"/>
        <w:ind w:firstLine="540"/>
        <w:jc w:val="both"/>
      </w:pPr>
      <w:r>
        <w:rPr>
          <w:sz w:val="20"/>
        </w:rPr>
      </w:r>
    </w:p>
    <w:p>
      <w:pPr>
        <w:pStyle w:val="2"/>
        <w:outlineLvl w:val="4"/>
        <w:ind w:firstLine="540"/>
        <w:jc w:val="both"/>
      </w:pPr>
      <w:r>
        <w:rPr>
          <w:sz w:val="20"/>
        </w:rPr>
        <w:t xml:space="preserve">Группировка стран-импортеров по уровню концентрации</w:t>
      </w:r>
    </w:p>
    <w:p>
      <w:pPr>
        <w:pStyle w:val="0"/>
        <w:ind w:firstLine="540"/>
        <w:jc w:val="both"/>
      </w:pPr>
      <w:r>
        <w:rPr>
          <w:sz w:val="20"/>
        </w:rPr>
      </w:r>
    </w:p>
    <w:p>
      <w:pPr>
        <w:pStyle w:val="0"/>
        <w:ind w:firstLine="540"/>
        <w:jc w:val="both"/>
      </w:pPr>
      <w:r>
        <w:rPr>
          <w:sz w:val="20"/>
        </w:rPr>
        <w:t xml:space="preserve">Все страны, импортирующие продукцию Курской области, могут быть разделены на четыре группы по уровню концентрации экспортной корзины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Уровень концентрации определяется на основе индекса концентрации Херфиндаля - Хиршмана.</w:t>
      </w:r>
    </w:p>
    <w:p>
      <w:pPr>
        <w:pStyle w:val="0"/>
        <w:ind w:firstLine="540"/>
        <w:jc w:val="both"/>
      </w:pPr>
      <w:r>
        <w:rPr>
          <w:sz w:val="20"/>
        </w:rPr>
      </w:r>
    </w:p>
    <w:p>
      <w:pPr>
        <w:pStyle w:val="0"/>
        <w:ind w:firstLine="540"/>
        <w:jc w:val="both"/>
      </w:pPr>
      <w:r>
        <w:rPr>
          <w:sz w:val="20"/>
        </w:rPr>
        <w:t xml:space="preserve">1) страны с низким уровнем концентрации (наиболее широкая номенклатура товаров в экспортной корзине);</w:t>
      </w:r>
    </w:p>
    <w:p>
      <w:pPr>
        <w:pStyle w:val="0"/>
        <w:spacing w:before="200" w:line-rule="auto"/>
        <w:ind w:firstLine="540"/>
        <w:jc w:val="both"/>
      </w:pPr>
      <w:r>
        <w:rPr>
          <w:sz w:val="20"/>
        </w:rPr>
        <w:t xml:space="preserve">2) страны со средним уровнем концентрации;</w:t>
      </w:r>
    </w:p>
    <w:p>
      <w:pPr>
        <w:pStyle w:val="0"/>
        <w:spacing w:before="200" w:line-rule="auto"/>
        <w:ind w:firstLine="540"/>
        <w:jc w:val="both"/>
      </w:pPr>
      <w:r>
        <w:rPr>
          <w:sz w:val="20"/>
        </w:rPr>
        <w:t xml:space="preserve">3) страны с высоким уровнем концентрации;</w:t>
      </w:r>
    </w:p>
    <w:p>
      <w:pPr>
        <w:pStyle w:val="0"/>
        <w:spacing w:before="200" w:line-rule="auto"/>
        <w:ind w:firstLine="540"/>
        <w:jc w:val="both"/>
      </w:pPr>
      <w:r>
        <w:rPr>
          <w:sz w:val="20"/>
        </w:rPr>
        <w:t xml:space="preserve">4) страны с очень высоким уровнем концентрации (экспортная корзина содержит ограниченное количество товарных позиций).</w:t>
      </w:r>
    </w:p>
    <w:p>
      <w:pPr>
        <w:pStyle w:val="0"/>
        <w:spacing w:before="200" w:line-rule="auto"/>
        <w:ind w:firstLine="540"/>
        <w:jc w:val="both"/>
      </w:pPr>
      <w:r>
        <w:rPr>
          <w:sz w:val="20"/>
        </w:rPr>
        <w:t xml:space="preserve">По итогам анализа за 2016 - 2018 годы к числу стран с низким уровнем концентрации отдельных групп товаров в экспортной корзине Курской области или самым высоким уровнем диверсификации экспортного портфеля относятся Беларусь, Армения, Украина, Киргизия, Азербайджан, Таджикистан, Грузия, Туркмения, Казахстан, Молдавия. Среднее количество единиц продукции по ТНВЭД (с 6 уровнем детализации) в экспортной корзине для этих стран составляет 97 товарных групп. Средний объем ВВП страны-импортера в данной группе равен 39 млрд. долл. США. Средний объем экспорта Курской области в страну по данной группе стран составляет 21,1 млн. долл. США.</w:t>
      </w:r>
    </w:p>
    <w:p>
      <w:pPr>
        <w:pStyle w:val="0"/>
        <w:jc w:val="both"/>
      </w:pPr>
      <w:r>
        <w:rPr>
          <w:sz w:val="20"/>
        </w:rPr>
        <w:t xml:space="preserve">(в ред. </w:t>
      </w:r>
      <w:hyperlink w:history="0" r:id="rId124"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В число стран со средним уровнем концентрации отдельных групп товаров в экспортной корзине Курской области или со средним уровнем диверсификации экспортного портфеля входят Турция, Австралия, Латвия, Монголия, Болгария, Германия, Афганистан, Узбекистан, Эстония, Вьетнам, Индия, Израиль, Литва, США, Чехия, Гвинея, Иран, Румыния. Среднее количество единиц товаров по ТНВЭД (с 6 уровнем детализации) в экспортной корзине страны составляет 14 товарных групп. Средний объем ВВП страны-импортера в данной группе равен 1552 млрд. долл. США. Средний объем экспорта Курской области в страну по данной группе стран составляет 10,3 млн. долл. США.</w:t>
      </w:r>
    </w:p>
    <w:p>
      <w:pPr>
        <w:pStyle w:val="0"/>
        <w:spacing w:before="200" w:line-rule="auto"/>
        <w:ind w:firstLine="540"/>
        <w:jc w:val="both"/>
      </w:pPr>
      <w:r>
        <w:rPr>
          <w:sz w:val="20"/>
        </w:rPr>
        <w:t xml:space="preserve">К странам с высоким уровнем концентрации отдельных групп товаров в экспортной корзине Курской области или с низким уровнем диверсификации экспортного портфеля относятся Египет, Абхазия, Польша, Нидерланды, Китай, Финляндия, Испания, Италия, Великобритания, Хорватия. Среднее количество единиц продукции по ТНВЭД (с 6-м уровнем детализации) в экспортной корзине страны составляет 9 товарных групп. Средний объем ВВП страны-импортера в данной группе равен 1879 млрд. долл. США. Средний объем экспорта Курской области в страну по данной группе стран составляет 11,0 млн. долл. США.</w:t>
      </w:r>
    </w:p>
    <w:p>
      <w:pPr>
        <w:pStyle w:val="0"/>
        <w:spacing w:before="200" w:line-rule="auto"/>
        <w:ind w:firstLine="540"/>
        <w:jc w:val="both"/>
      </w:pPr>
      <w:r>
        <w:rPr>
          <w:sz w:val="20"/>
        </w:rPr>
        <w:t xml:space="preserve">Страны с очень высоким уровнем концентрации отдельных групп товаров в экспортной корзине Курской области или с очень низким уровнем диверсификации экспортного портфеля включают Словению, Алжир, Индонезию, Сербию, Швецию, Бельгию, Грецию, Швейцарию, Словакию, Тайвань, Ирак, ОАЭ, Перу, Боснию и Герцеговину, Венгрию, Гватемалу, Данию, Исландию, Канаду, Ливан, Македонию, Марокко, Мексику, Мьянму, Норвегию, Португалию, Республику Корея, Саудовскую Аравию, Сингапур, Таиланд, Францию, Чили, ЮАР, Японию. Среднее количество единиц продукции по ТНВЭД (с 6 уровнем детализации) в экспортной корзине страны составляет 2 товарные группы. Средний объем ВВП страны-импортера в данной корзине 558 млрд. долл. США. Средний объем экспорта Курской области в страну по данной группе стран составляет 5,0 млн. долл. США.</w:t>
      </w:r>
    </w:p>
    <w:p>
      <w:pPr>
        <w:pStyle w:val="0"/>
        <w:spacing w:before="200" w:line-rule="auto"/>
        <w:ind w:firstLine="540"/>
        <w:jc w:val="both"/>
      </w:pPr>
      <w:r>
        <w:rPr>
          <w:sz w:val="20"/>
        </w:rPr>
        <w:t xml:space="preserve">Наиболее высокий уровень диверсификации экспортной корзины Курской области наблюдается в отношении стран со сравнительно низким уровнем ВВП. Однако, за счет большого числа экспортируемых видов продукции в страны с низким уровнем концентрации экспортной корзины регион достигает более высоких показателей объема экспорта в сравнении с другими группами стран. В то же время в страны с высоким ВВП Курская область экспортирует ограниченное количество товарных позиций.</w:t>
      </w:r>
    </w:p>
    <w:p>
      <w:pPr>
        <w:pStyle w:val="0"/>
        <w:ind w:firstLine="540"/>
        <w:jc w:val="both"/>
      </w:pPr>
      <w:r>
        <w:rPr>
          <w:sz w:val="20"/>
        </w:rPr>
      </w:r>
    </w:p>
    <w:p>
      <w:pPr>
        <w:pStyle w:val="2"/>
        <w:outlineLvl w:val="3"/>
        <w:ind w:firstLine="540"/>
        <w:jc w:val="both"/>
      </w:pPr>
      <w:r>
        <w:rPr>
          <w:sz w:val="20"/>
        </w:rPr>
        <w:t xml:space="preserve">1.4. Система поддержки экспорта</w:t>
      </w:r>
    </w:p>
    <w:p>
      <w:pPr>
        <w:pStyle w:val="0"/>
        <w:ind w:firstLine="540"/>
        <w:jc w:val="both"/>
      </w:pPr>
      <w:r>
        <w:rPr>
          <w:sz w:val="20"/>
        </w:rPr>
      </w:r>
    </w:p>
    <w:p>
      <w:pPr>
        <w:pStyle w:val="0"/>
        <w:ind w:firstLine="540"/>
        <w:jc w:val="both"/>
      </w:pPr>
      <w:r>
        <w:rPr>
          <w:sz w:val="20"/>
        </w:rPr>
        <w:t xml:space="preserve">Действующая в Курской области система поддержки экспорта включает в себя Центр поддержки экспорта Курской области на базе Автономной некоммерческой организации "Центр "Мой бизнес" Курской области", Министерство экономического развития Курской области, Министерство сельского хозяйства Курской области, Министерство промышленности, торговли и предпринимательства Курской области, Союз "Торгово-промышленная палата Курской области".</w:t>
      </w:r>
    </w:p>
    <w:p>
      <w:pPr>
        <w:pStyle w:val="0"/>
        <w:jc w:val="both"/>
      </w:pPr>
      <w:r>
        <w:rPr>
          <w:sz w:val="20"/>
        </w:rPr>
        <w:t xml:space="preserve">(в ред. </w:t>
      </w:r>
      <w:hyperlink w:history="0" r:id="rId125"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Закона</w:t>
        </w:r>
      </w:hyperlink>
      <w:r>
        <w:rPr>
          <w:sz w:val="20"/>
        </w:rPr>
        <w:t xml:space="preserve"> Курской области от 04.05.2023 N 40-ЗКО)</w:t>
      </w:r>
    </w:p>
    <w:p>
      <w:pPr>
        <w:pStyle w:val="0"/>
        <w:spacing w:before="200" w:line-rule="auto"/>
        <w:ind w:firstLine="540"/>
        <w:jc w:val="both"/>
      </w:pPr>
      <w:r>
        <w:rPr>
          <w:sz w:val="20"/>
        </w:rPr>
        <w:t xml:space="preserve">Региональная система поддержки экспорта реализует большинство инструментов содействия действующим и потенциальным экспортерам в рамках основных направлений: организационно-коммуникационного, образовательного, информационно-консультационного. В случае отсутствия возможности предоставления услуг экспортерам собственными силами организации системы поддержки экспорта организуют и координируют взаимодействие с федеральными органами. Так, по вопросам финансирования и страхования экспортных контрактов привлекаются АО РОСЭКСИМБАНК и Российское агентство по страхованию экспортных кредитов и инвестиций (ЭКСАР), по вопросам поиска и установления контактов с потенциальными покупателями на зарубежных рынках привлекаются торговые представительства Министерства экономического развития Российской Федерации в соответствующих странах, по вопросам получения информации о рынках и действующих торговых барьерах используются ресурсы АО "Российский экспортный центр" (РЭЦ).</w:t>
      </w:r>
    </w:p>
    <w:p>
      <w:pPr>
        <w:pStyle w:val="0"/>
        <w:spacing w:before="200" w:line-rule="auto"/>
        <w:ind w:firstLine="540"/>
        <w:jc w:val="both"/>
      </w:pPr>
      <w:r>
        <w:rPr>
          <w:sz w:val="20"/>
        </w:rPr>
        <w:t xml:space="preserve">Некоторые инструменты поддержки экспорта предоставляются несколькими участниками действующей системы. Несмотря на результативность всей системы как в части содействия нынешним экспортерам, так и в части вовлечения новых предприятий в экспортную деятельность, дублирование функций не позволяет использовать ее потенциал максимально эффективно. Задачи развития экспорта, поставленные на федеральном уровне, требуют существенного совершенствования региональной системы поддержки внешней торговли и международной кооперации.</w:t>
      </w:r>
    </w:p>
    <w:p>
      <w:pPr>
        <w:pStyle w:val="0"/>
        <w:jc w:val="center"/>
      </w:pPr>
      <w:r>
        <w:rPr>
          <w:sz w:val="20"/>
        </w:rPr>
      </w:r>
    </w:p>
    <w:p>
      <w:pPr>
        <w:pStyle w:val="0"/>
        <w:outlineLvl w:val="4"/>
        <w:jc w:val="right"/>
      </w:pPr>
      <w:r>
        <w:rPr>
          <w:sz w:val="20"/>
        </w:rPr>
        <w:t xml:space="preserve">Таблица N 13</w:t>
      </w:r>
    </w:p>
    <w:p>
      <w:pPr>
        <w:pStyle w:val="0"/>
        <w:jc w:val="center"/>
      </w:pPr>
      <w:r>
        <w:rPr>
          <w:sz w:val="20"/>
        </w:rPr>
      </w:r>
    </w:p>
    <w:p>
      <w:pPr>
        <w:pStyle w:val="2"/>
        <w:jc w:val="center"/>
      </w:pPr>
      <w:r>
        <w:rPr>
          <w:sz w:val="20"/>
        </w:rPr>
        <w:t xml:space="preserve">Система поддержки экспорта Курской области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40"/>
        <w:gridCol w:w="1408"/>
        <w:gridCol w:w="1417"/>
        <w:gridCol w:w="1701"/>
        <w:gridCol w:w="1701"/>
      </w:tblGrid>
      <w:tr>
        <w:tblPrEx>
          <w:tblBorders>
            <w:insideH w:val="nil"/>
          </w:tblBorders>
        </w:tblPrEx>
        <w:tc>
          <w:tcPr>
            <w:tcW w:w="2840" w:type="dxa"/>
            <w:tcBorders>
              <w:bottom w:val="nil"/>
            </w:tcBorders>
          </w:tcPr>
          <w:p>
            <w:pPr>
              <w:pStyle w:val="0"/>
              <w:jc w:val="center"/>
            </w:pPr>
            <w:r>
              <w:rPr>
                <w:sz w:val="20"/>
              </w:rPr>
              <w:t xml:space="preserve">Механизмы и инструменты поддержки</w:t>
            </w:r>
          </w:p>
        </w:tc>
        <w:tc>
          <w:tcPr>
            <w:tcW w:w="1408" w:type="dxa"/>
            <w:tcBorders>
              <w:bottom w:val="nil"/>
            </w:tcBorders>
          </w:tcPr>
          <w:p>
            <w:pPr>
              <w:pStyle w:val="0"/>
              <w:jc w:val="center"/>
            </w:pPr>
            <w:r>
              <w:rPr>
                <w:sz w:val="20"/>
              </w:rPr>
              <w:t xml:space="preserve">Центр поддержки экспорта Курской области</w:t>
            </w:r>
          </w:p>
        </w:tc>
        <w:tc>
          <w:tcPr>
            <w:tcW w:w="1417" w:type="dxa"/>
            <w:tcBorders>
              <w:bottom w:val="nil"/>
            </w:tcBorders>
          </w:tcPr>
          <w:p>
            <w:pPr>
              <w:pStyle w:val="0"/>
              <w:jc w:val="center"/>
            </w:pPr>
            <w:r>
              <w:rPr>
                <w:sz w:val="20"/>
              </w:rPr>
              <w:t xml:space="preserve">Министерство экономического развития Курской области</w:t>
            </w:r>
          </w:p>
        </w:tc>
        <w:tc>
          <w:tcPr>
            <w:tcW w:w="1701" w:type="dxa"/>
            <w:tcBorders>
              <w:bottom w:val="nil"/>
            </w:tcBorders>
          </w:tcPr>
          <w:p>
            <w:pPr>
              <w:pStyle w:val="0"/>
              <w:jc w:val="center"/>
            </w:pPr>
            <w:r>
              <w:rPr>
                <w:sz w:val="20"/>
              </w:rPr>
              <w:t xml:space="preserve">Союз "Торгово-промышленная палата Курской области</w:t>
            </w:r>
          </w:p>
        </w:tc>
        <w:tc>
          <w:tcPr>
            <w:tcW w:w="1701" w:type="dxa"/>
            <w:tcBorders>
              <w:bottom w:val="nil"/>
            </w:tcBorders>
          </w:tcPr>
          <w:p>
            <w:pPr>
              <w:pStyle w:val="0"/>
              <w:jc w:val="center"/>
            </w:pPr>
            <w:r>
              <w:rPr>
                <w:sz w:val="20"/>
              </w:rPr>
              <w:t xml:space="preserve">Федеральные органы: РЭЦ, ФОИВ, ЭКСАР, Росэксимбанк</w:t>
            </w:r>
          </w:p>
        </w:tc>
      </w:tr>
      <w:tr>
        <w:tblPrEx>
          <w:tblBorders>
            <w:insideH w:val="nil"/>
          </w:tblBorders>
        </w:tblPrEx>
        <w:tc>
          <w:tcPr>
            <w:gridSpan w:val="5"/>
            <w:tcW w:w="9067" w:type="dxa"/>
            <w:tcBorders>
              <w:top w:val="nil"/>
            </w:tcBorders>
          </w:tcPr>
          <w:p>
            <w:pPr>
              <w:pStyle w:val="0"/>
              <w:jc w:val="both"/>
            </w:pPr>
            <w:r>
              <w:rPr>
                <w:sz w:val="20"/>
              </w:rPr>
              <w:t xml:space="preserve">(в ред. </w:t>
            </w:r>
            <w:hyperlink w:history="0" r:id="rId126" w:tooltip="Закон Курской области от 04.05.2023 N 40-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0.04.2023) {КонсультантПлюс}">
              <w:r>
                <w:rPr>
                  <w:sz w:val="20"/>
                  <w:color w:val="0000ff"/>
                </w:rPr>
                <w:t xml:space="preserve">Закона</w:t>
              </w:r>
            </w:hyperlink>
            <w:r>
              <w:rPr>
                <w:sz w:val="20"/>
              </w:rPr>
              <w:t xml:space="preserve"> Курской области от 04.05.2023 N 40-ЗКО)</w:t>
            </w:r>
          </w:p>
        </w:tc>
      </w:tr>
      <w:tr>
        <w:tc>
          <w:tcPr>
            <w:gridSpan w:val="5"/>
            <w:tcW w:w="9067" w:type="dxa"/>
            <w:vAlign w:val="center"/>
          </w:tcPr>
          <w:p>
            <w:pPr>
              <w:pStyle w:val="0"/>
              <w:outlineLvl w:val="5"/>
              <w:jc w:val="center"/>
            </w:pPr>
            <w:r>
              <w:rPr>
                <w:sz w:val="20"/>
              </w:rPr>
              <w:t xml:space="preserve">Организационно-коммуникационные</w:t>
            </w:r>
          </w:p>
        </w:tc>
      </w:tr>
      <w:tr>
        <w:tc>
          <w:tcPr>
            <w:tcW w:w="2840" w:type="dxa"/>
            <w:vAlign w:val="center"/>
          </w:tcPr>
          <w:p>
            <w:pPr>
              <w:pStyle w:val="0"/>
              <w:jc w:val="center"/>
            </w:pPr>
            <w:r>
              <w:rPr>
                <w:sz w:val="20"/>
              </w:rPr>
              <w:t xml:space="preserve">Организация / участие в конференциях, выставках, ярмарках</w:t>
            </w:r>
          </w:p>
        </w:tc>
        <w:tc>
          <w:tcPr>
            <w:tcW w:w="1408" w:type="dxa"/>
            <w:vAlign w:val="center"/>
          </w:tcPr>
          <w:p>
            <w:pPr>
              <w:pStyle w:val="0"/>
              <w:jc w:val="center"/>
            </w:pPr>
            <w:r>
              <w:rPr>
                <w:sz w:val="20"/>
              </w:rPr>
              <w:t xml:space="preserve">+</w:t>
            </w:r>
          </w:p>
        </w:tc>
        <w:tc>
          <w:tcPr>
            <w:tcW w:w="1417" w:type="dxa"/>
            <w:vAlign w:val="center"/>
          </w:tcPr>
          <w:p>
            <w:pPr>
              <w:pStyle w:val="0"/>
              <w:jc w:val="center"/>
            </w:pPr>
            <w:r>
              <w:rPr>
                <w:sz w:val="20"/>
              </w:rPr>
              <w:t xml:space="preserve">+</w:t>
            </w:r>
          </w:p>
        </w:tc>
        <w:tc>
          <w:tcPr>
            <w:tcW w:w="1701" w:type="dxa"/>
            <w:vAlign w:val="center"/>
          </w:tcPr>
          <w:p>
            <w:pPr>
              <w:pStyle w:val="0"/>
              <w:jc w:val="center"/>
            </w:pPr>
            <w:r>
              <w:rPr>
                <w:sz w:val="20"/>
              </w:rPr>
            </w:r>
          </w:p>
        </w:tc>
        <w:tc>
          <w:tcPr>
            <w:tcW w:w="1701" w:type="dxa"/>
            <w:vAlign w:val="center"/>
          </w:tcPr>
          <w:p>
            <w:pPr>
              <w:pStyle w:val="0"/>
              <w:jc w:val="center"/>
            </w:pPr>
            <w:r>
              <w:rPr>
                <w:sz w:val="20"/>
              </w:rPr>
              <w:t xml:space="preserve">+</w:t>
            </w:r>
          </w:p>
        </w:tc>
      </w:tr>
      <w:tr>
        <w:tc>
          <w:tcPr>
            <w:tcW w:w="2840" w:type="dxa"/>
            <w:vAlign w:val="center"/>
          </w:tcPr>
          <w:p>
            <w:pPr>
              <w:pStyle w:val="0"/>
              <w:jc w:val="center"/>
            </w:pPr>
            <w:r>
              <w:rPr>
                <w:sz w:val="20"/>
              </w:rPr>
              <w:t xml:space="preserve">Организация бизнес-миссий</w:t>
            </w:r>
          </w:p>
        </w:tc>
        <w:tc>
          <w:tcPr>
            <w:tcW w:w="1408" w:type="dxa"/>
            <w:vAlign w:val="center"/>
          </w:tcPr>
          <w:p>
            <w:pPr>
              <w:pStyle w:val="0"/>
              <w:jc w:val="center"/>
            </w:pPr>
            <w:r>
              <w:rPr>
                <w:sz w:val="20"/>
              </w:rPr>
              <w:t xml:space="preserve">+</w:t>
            </w:r>
          </w:p>
        </w:tc>
        <w:tc>
          <w:tcPr>
            <w:tcW w:w="1417" w:type="dxa"/>
            <w:vAlign w:val="center"/>
          </w:tcPr>
          <w:p>
            <w:pPr>
              <w:pStyle w:val="0"/>
              <w:jc w:val="center"/>
            </w:pPr>
            <w:r>
              <w:rPr>
                <w:sz w:val="20"/>
              </w:rPr>
              <w:t xml:space="preserve">+</w:t>
            </w:r>
          </w:p>
        </w:tc>
        <w:tc>
          <w:tcPr>
            <w:tcW w:w="1701" w:type="dxa"/>
            <w:vAlign w:val="center"/>
          </w:tcPr>
          <w:p>
            <w:pPr>
              <w:pStyle w:val="0"/>
              <w:jc w:val="center"/>
            </w:pPr>
            <w:r>
              <w:rPr>
                <w:sz w:val="20"/>
              </w:rPr>
              <w:t xml:space="preserve">+</w:t>
            </w:r>
          </w:p>
        </w:tc>
        <w:tc>
          <w:tcPr>
            <w:tcW w:w="1701" w:type="dxa"/>
            <w:vAlign w:val="center"/>
          </w:tcPr>
          <w:p>
            <w:pPr>
              <w:pStyle w:val="0"/>
              <w:jc w:val="center"/>
            </w:pPr>
            <w:r>
              <w:rPr>
                <w:sz w:val="20"/>
              </w:rPr>
              <w:t xml:space="preserve">+</w:t>
            </w:r>
          </w:p>
        </w:tc>
      </w:tr>
      <w:tr>
        <w:tc>
          <w:tcPr>
            <w:tcW w:w="2840" w:type="dxa"/>
            <w:vAlign w:val="center"/>
          </w:tcPr>
          <w:p>
            <w:pPr>
              <w:pStyle w:val="0"/>
              <w:jc w:val="center"/>
            </w:pPr>
            <w:r>
              <w:rPr>
                <w:sz w:val="20"/>
              </w:rPr>
              <w:t xml:space="preserve">Организация переговоров</w:t>
            </w:r>
          </w:p>
        </w:tc>
        <w:tc>
          <w:tcPr>
            <w:tcW w:w="1408" w:type="dxa"/>
            <w:vAlign w:val="center"/>
          </w:tcPr>
          <w:p>
            <w:pPr>
              <w:pStyle w:val="0"/>
              <w:jc w:val="center"/>
            </w:pPr>
            <w:r>
              <w:rPr>
                <w:sz w:val="20"/>
              </w:rPr>
              <w:t xml:space="preserve">+</w:t>
            </w:r>
          </w:p>
        </w:tc>
        <w:tc>
          <w:tcPr>
            <w:tcW w:w="1417" w:type="dxa"/>
            <w:vAlign w:val="center"/>
          </w:tcPr>
          <w:p>
            <w:pPr>
              <w:pStyle w:val="0"/>
              <w:jc w:val="center"/>
            </w:pPr>
            <w:r>
              <w:rPr>
                <w:sz w:val="20"/>
              </w:rPr>
              <w:t xml:space="preserve">+</w:t>
            </w:r>
          </w:p>
        </w:tc>
        <w:tc>
          <w:tcPr>
            <w:tcW w:w="1701" w:type="dxa"/>
            <w:vAlign w:val="center"/>
          </w:tcPr>
          <w:p>
            <w:pPr>
              <w:pStyle w:val="0"/>
              <w:jc w:val="center"/>
            </w:pPr>
            <w:r>
              <w:rPr>
                <w:sz w:val="20"/>
              </w:rPr>
              <w:t xml:space="preserve">+</w:t>
            </w:r>
          </w:p>
        </w:tc>
        <w:tc>
          <w:tcPr>
            <w:tcW w:w="1701" w:type="dxa"/>
            <w:vAlign w:val="center"/>
          </w:tcPr>
          <w:p>
            <w:pPr>
              <w:pStyle w:val="0"/>
              <w:jc w:val="center"/>
            </w:pPr>
            <w:r>
              <w:rPr>
                <w:sz w:val="20"/>
              </w:rPr>
              <w:t xml:space="preserve">+</w:t>
            </w:r>
          </w:p>
        </w:tc>
      </w:tr>
      <w:tr>
        <w:tc>
          <w:tcPr>
            <w:tcW w:w="2840" w:type="dxa"/>
            <w:vAlign w:val="center"/>
          </w:tcPr>
          <w:p>
            <w:pPr>
              <w:pStyle w:val="0"/>
              <w:jc w:val="center"/>
            </w:pPr>
            <w:r>
              <w:rPr>
                <w:sz w:val="20"/>
              </w:rPr>
              <w:t xml:space="preserve">Предоставление площадки для экспортеров</w:t>
            </w:r>
          </w:p>
        </w:tc>
        <w:tc>
          <w:tcPr>
            <w:tcW w:w="1408" w:type="dxa"/>
            <w:vAlign w:val="center"/>
          </w:tcPr>
          <w:p>
            <w:pPr>
              <w:pStyle w:val="0"/>
              <w:jc w:val="center"/>
            </w:pPr>
            <w:r>
              <w:rPr>
                <w:sz w:val="20"/>
              </w:rPr>
              <w:t xml:space="preserve">+</w:t>
            </w:r>
          </w:p>
        </w:tc>
        <w:tc>
          <w:tcPr>
            <w:tcW w:w="1417" w:type="dxa"/>
            <w:vAlign w:val="center"/>
          </w:tcPr>
          <w:p>
            <w:pPr>
              <w:pStyle w:val="0"/>
              <w:jc w:val="center"/>
            </w:pPr>
            <w:r>
              <w:rPr>
                <w:sz w:val="20"/>
              </w:rPr>
            </w:r>
          </w:p>
        </w:tc>
        <w:tc>
          <w:tcPr>
            <w:tcW w:w="1701" w:type="dxa"/>
            <w:vAlign w:val="center"/>
          </w:tcPr>
          <w:p>
            <w:pPr>
              <w:pStyle w:val="0"/>
              <w:jc w:val="center"/>
            </w:pPr>
            <w:r>
              <w:rPr>
                <w:sz w:val="20"/>
              </w:rPr>
              <w:t xml:space="preserve">+</w:t>
            </w:r>
          </w:p>
        </w:tc>
        <w:tc>
          <w:tcPr>
            <w:tcW w:w="1701" w:type="dxa"/>
            <w:vAlign w:val="center"/>
          </w:tcPr>
          <w:p>
            <w:pPr>
              <w:pStyle w:val="0"/>
              <w:jc w:val="center"/>
            </w:pPr>
            <w:r>
              <w:rPr>
                <w:sz w:val="20"/>
              </w:rPr>
            </w:r>
          </w:p>
        </w:tc>
      </w:tr>
      <w:tr>
        <w:tc>
          <w:tcPr>
            <w:tcW w:w="2840" w:type="dxa"/>
            <w:vAlign w:val="center"/>
          </w:tcPr>
          <w:p>
            <w:pPr>
              <w:pStyle w:val="0"/>
              <w:jc w:val="center"/>
            </w:pPr>
            <w:r>
              <w:rPr>
                <w:sz w:val="20"/>
              </w:rPr>
              <w:t xml:space="preserve">Обучение (проведение тренингов, семинаров, стажировок)</w:t>
            </w:r>
          </w:p>
        </w:tc>
        <w:tc>
          <w:tcPr>
            <w:tcW w:w="1408" w:type="dxa"/>
            <w:vAlign w:val="center"/>
          </w:tcPr>
          <w:p>
            <w:pPr>
              <w:pStyle w:val="0"/>
              <w:jc w:val="center"/>
            </w:pPr>
            <w:r>
              <w:rPr>
                <w:sz w:val="20"/>
              </w:rPr>
              <w:t xml:space="preserve">+</w:t>
            </w:r>
          </w:p>
        </w:tc>
        <w:tc>
          <w:tcPr>
            <w:tcW w:w="1417" w:type="dxa"/>
            <w:vAlign w:val="center"/>
          </w:tcPr>
          <w:p>
            <w:pPr>
              <w:pStyle w:val="0"/>
              <w:jc w:val="center"/>
            </w:pPr>
            <w:r>
              <w:rPr>
                <w:sz w:val="20"/>
              </w:rPr>
            </w:r>
          </w:p>
        </w:tc>
        <w:tc>
          <w:tcPr>
            <w:tcW w:w="1701" w:type="dxa"/>
            <w:vAlign w:val="center"/>
          </w:tcPr>
          <w:p>
            <w:pPr>
              <w:pStyle w:val="0"/>
              <w:jc w:val="center"/>
            </w:pPr>
            <w:r>
              <w:rPr>
                <w:sz w:val="20"/>
              </w:rPr>
              <w:t xml:space="preserve">+</w:t>
            </w:r>
          </w:p>
        </w:tc>
        <w:tc>
          <w:tcPr>
            <w:tcW w:w="1701" w:type="dxa"/>
            <w:vAlign w:val="center"/>
          </w:tcPr>
          <w:p>
            <w:pPr>
              <w:pStyle w:val="0"/>
              <w:jc w:val="center"/>
            </w:pPr>
            <w:r>
              <w:rPr>
                <w:sz w:val="20"/>
              </w:rPr>
            </w:r>
          </w:p>
        </w:tc>
      </w:tr>
      <w:tr>
        <w:tc>
          <w:tcPr>
            <w:gridSpan w:val="5"/>
            <w:tcW w:w="9067" w:type="dxa"/>
            <w:vAlign w:val="center"/>
          </w:tcPr>
          <w:p>
            <w:pPr>
              <w:pStyle w:val="0"/>
              <w:outlineLvl w:val="5"/>
              <w:jc w:val="center"/>
            </w:pPr>
            <w:r>
              <w:rPr>
                <w:sz w:val="20"/>
              </w:rPr>
              <w:t xml:space="preserve">Финансовые</w:t>
            </w:r>
          </w:p>
        </w:tc>
      </w:tr>
      <w:tr>
        <w:tc>
          <w:tcPr>
            <w:tcW w:w="2840" w:type="dxa"/>
            <w:vAlign w:val="center"/>
          </w:tcPr>
          <w:p>
            <w:pPr>
              <w:pStyle w:val="0"/>
              <w:jc w:val="center"/>
            </w:pPr>
            <w:r>
              <w:rPr>
                <w:sz w:val="20"/>
              </w:rPr>
              <w:t xml:space="preserve">Выдача грантов, субсидий</w:t>
            </w:r>
          </w:p>
        </w:tc>
        <w:tc>
          <w:tcPr>
            <w:tcW w:w="1408" w:type="dxa"/>
            <w:vAlign w:val="center"/>
          </w:tcPr>
          <w:p>
            <w:pPr>
              <w:pStyle w:val="0"/>
              <w:jc w:val="center"/>
            </w:pPr>
            <w:r>
              <w:rPr>
                <w:sz w:val="20"/>
              </w:rPr>
            </w:r>
          </w:p>
        </w:tc>
        <w:tc>
          <w:tcPr>
            <w:tcW w:w="1417" w:type="dxa"/>
            <w:vAlign w:val="center"/>
          </w:tcPr>
          <w:p>
            <w:pPr>
              <w:pStyle w:val="0"/>
              <w:jc w:val="center"/>
            </w:pPr>
            <w:r>
              <w:rPr>
                <w:sz w:val="20"/>
              </w:rPr>
              <w:t xml:space="preserve">+</w:t>
            </w:r>
          </w:p>
        </w:tc>
        <w:tc>
          <w:tcPr>
            <w:tcW w:w="1701" w:type="dxa"/>
            <w:vAlign w:val="center"/>
          </w:tcPr>
          <w:p>
            <w:pPr>
              <w:pStyle w:val="0"/>
              <w:jc w:val="center"/>
            </w:pPr>
            <w:r>
              <w:rPr>
                <w:sz w:val="20"/>
              </w:rPr>
            </w:r>
          </w:p>
        </w:tc>
        <w:tc>
          <w:tcPr>
            <w:tcW w:w="1701" w:type="dxa"/>
            <w:vAlign w:val="center"/>
          </w:tcPr>
          <w:p>
            <w:pPr>
              <w:pStyle w:val="0"/>
              <w:jc w:val="center"/>
            </w:pPr>
            <w:r>
              <w:rPr>
                <w:sz w:val="20"/>
              </w:rPr>
              <w:t xml:space="preserve">+</w:t>
            </w:r>
          </w:p>
        </w:tc>
      </w:tr>
      <w:tr>
        <w:tc>
          <w:tcPr>
            <w:tcW w:w="2840" w:type="dxa"/>
            <w:vAlign w:val="center"/>
          </w:tcPr>
          <w:p>
            <w:pPr>
              <w:pStyle w:val="0"/>
              <w:jc w:val="center"/>
            </w:pPr>
            <w:r>
              <w:rPr>
                <w:sz w:val="20"/>
              </w:rPr>
              <w:t xml:space="preserve">Кредитование</w:t>
            </w:r>
          </w:p>
        </w:tc>
        <w:tc>
          <w:tcPr>
            <w:tcW w:w="1408" w:type="dxa"/>
            <w:vAlign w:val="center"/>
          </w:tcPr>
          <w:p>
            <w:pPr>
              <w:pStyle w:val="0"/>
              <w:jc w:val="center"/>
            </w:pPr>
            <w:r>
              <w:rPr>
                <w:sz w:val="20"/>
              </w:rPr>
            </w:r>
          </w:p>
        </w:tc>
        <w:tc>
          <w:tcPr>
            <w:tcW w:w="1417" w:type="dxa"/>
            <w:vAlign w:val="center"/>
          </w:tcPr>
          <w:p>
            <w:pPr>
              <w:pStyle w:val="0"/>
              <w:jc w:val="center"/>
            </w:pPr>
            <w:r>
              <w:rPr>
                <w:sz w:val="20"/>
              </w:rPr>
            </w:r>
          </w:p>
        </w:tc>
        <w:tc>
          <w:tcPr>
            <w:tcW w:w="1701" w:type="dxa"/>
            <w:vAlign w:val="center"/>
          </w:tcPr>
          <w:p>
            <w:pPr>
              <w:pStyle w:val="0"/>
              <w:jc w:val="center"/>
            </w:pPr>
            <w:r>
              <w:rPr>
                <w:sz w:val="20"/>
              </w:rPr>
            </w:r>
          </w:p>
        </w:tc>
        <w:tc>
          <w:tcPr>
            <w:tcW w:w="1701" w:type="dxa"/>
            <w:vAlign w:val="center"/>
          </w:tcPr>
          <w:p>
            <w:pPr>
              <w:pStyle w:val="0"/>
              <w:jc w:val="center"/>
            </w:pPr>
            <w:r>
              <w:rPr>
                <w:sz w:val="20"/>
              </w:rPr>
              <w:t xml:space="preserve">+</w:t>
            </w:r>
          </w:p>
        </w:tc>
      </w:tr>
      <w:tr>
        <w:tc>
          <w:tcPr>
            <w:tcW w:w="2840" w:type="dxa"/>
            <w:vAlign w:val="center"/>
          </w:tcPr>
          <w:p>
            <w:pPr>
              <w:pStyle w:val="0"/>
              <w:jc w:val="center"/>
            </w:pPr>
            <w:r>
              <w:rPr>
                <w:sz w:val="20"/>
              </w:rPr>
              <w:t xml:space="preserve">Предоставление гарантий</w:t>
            </w:r>
          </w:p>
        </w:tc>
        <w:tc>
          <w:tcPr>
            <w:tcW w:w="1408" w:type="dxa"/>
            <w:vAlign w:val="center"/>
          </w:tcPr>
          <w:p>
            <w:pPr>
              <w:pStyle w:val="0"/>
              <w:jc w:val="center"/>
            </w:pPr>
            <w:r>
              <w:rPr>
                <w:sz w:val="20"/>
              </w:rPr>
            </w:r>
          </w:p>
        </w:tc>
        <w:tc>
          <w:tcPr>
            <w:tcW w:w="1417" w:type="dxa"/>
            <w:vAlign w:val="center"/>
          </w:tcPr>
          <w:p>
            <w:pPr>
              <w:pStyle w:val="0"/>
              <w:jc w:val="center"/>
            </w:pPr>
            <w:r>
              <w:rPr>
                <w:sz w:val="20"/>
              </w:rPr>
            </w:r>
          </w:p>
        </w:tc>
        <w:tc>
          <w:tcPr>
            <w:tcW w:w="1701" w:type="dxa"/>
            <w:vAlign w:val="center"/>
          </w:tcPr>
          <w:p>
            <w:pPr>
              <w:pStyle w:val="0"/>
              <w:jc w:val="center"/>
            </w:pPr>
            <w:r>
              <w:rPr>
                <w:sz w:val="20"/>
              </w:rPr>
            </w:r>
          </w:p>
        </w:tc>
        <w:tc>
          <w:tcPr>
            <w:tcW w:w="1701" w:type="dxa"/>
            <w:vAlign w:val="center"/>
          </w:tcPr>
          <w:p>
            <w:pPr>
              <w:pStyle w:val="0"/>
              <w:jc w:val="center"/>
            </w:pPr>
            <w:r>
              <w:rPr>
                <w:sz w:val="20"/>
              </w:rPr>
              <w:t xml:space="preserve">+</w:t>
            </w:r>
          </w:p>
        </w:tc>
      </w:tr>
      <w:tr>
        <w:tc>
          <w:tcPr>
            <w:tcW w:w="2840" w:type="dxa"/>
            <w:vAlign w:val="center"/>
          </w:tcPr>
          <w:p>
            <w:pPr>
              <w:pStyle w:val="0"/>
              <w:jc w:val="center"/>
            </w:pPr>
            <w:r>
              <w:rPr>
                <w:sz w:val="20"/>
              </w:rPr>
              <w:t xml:space="preserve">Страхование</w:t>
            </w:r>
          </w:p>
        </w:tc>
        <w:tc>
          <w:tcPr>
            <w:tcW w:w="1408" w:type="dxa"/>
            <w:vAlign w:val="center"/>
          </w:tcPr>
          <w:p>
            <w:pPr>
              <w:pStyle w:val="0"/>
              <w:jc w:val="center"/>
            </w:pPr>
            <w:r>
              <w:rPr>
                <w:sz w:val="20"/>
              </w:rPr>
            </w:r>
          </w:p>
        </w:tc>
        <w:tc>
          <w:tcPr>
            <w:tcW w:w="1417" w:type="dxa"/>
            <w:vAlign w:val="center"/>
          </w:tcPr>
          <w:p>
            <w:pPr>
              <w:pStyle w:val="0"/>
              <w:jc w:val="center"/>
            </w:pPr>
            <w:r>
              <w:rPr>
                <w:sz w:val="20"/>
              </w:rPr>
            </w:r>
          </w:p>
        </w:tc>
        <w:tc>
          <w:tcPr>
            <w:tcW w:w="1701" w:type="dxa"/>
            <w:vAlign w:val="center"/>
          </w:tcPr>
          <w:p>
            <w:pPr>
              <w:pStyle w:val="0"/>
              <w:jc w:val="center"/>
            </w:pPr>
            <w:r>
              <w:rPr>
                <w:sz w:val="20"/>
              </w:rPr>
            </w:r>
          </w:p>
        </w:tc>
        <w:tc>
          <w:tcPr>
            <w:tcW w:w="1701" w:type="dxa"/>
            <w:vAlign w:val="center"/>
          </w:tcPr>
          <w:p>
            <w:pPr>
              <w:pStyle w:val="0"/>
              <w:jc w:val="center"/>
            </w:pPr>
            <w:r>
              <w:rPr>
                <w:sz w:val="20"/>
              </w:rPr>
              <w:t xml:space="preserve">+</w:t>
            </w:r>
          </w:p>
        </w:tc>
      </w:tr>
      <w:tr>
        <w:tc>
          <w:tcPr>
            <w:gridSpan w:val="5"/>
            <w:tcW w:w="9067" w:type="dxa"/>
            <w:vAlign w:val="center"/>
          </w:tcPr>
          <w:p>
            <w:pPr>
              <w:pStyle w:val="0"/>
              <w:outlineLvl w:val="5"/>
              <w:jc w:val="center"/>
            </w:pPr>
            <w:r>
              <w:rPr>
                <w:sz w:val="20"/>
              </w:rPr>
              <w:t xml:space="preserve">Информационно-консультационные</w:t>
            </w:r>
          </w:p>
        </w:tc>
      </w:tr>
      <w:tr>
        <w:tc>
          <w:tcPr>
            <w:tcW w:w="2840" w:type="dxa"/>
            <w:vAlign w:val="center"/>
          </w:tcPr>
          <w:p>
            <w:pPr>
              <w:pStyle w:val="0"/>
              <w:jc w:val="center"/>
            </w:pPr>
            <w:r>
              <w:rPr>
                <w:sz w:val="20"/>
              </w:rPr>
              <w:t xml:space="preserve">Предоставление информации о контрагентах (поиск покупателей)</w:t>
            </w:r>
          </w:p>
        </w:tc>
        <w:tc>
          <w:tcPr>
            <w:tcW w:w="1408" w:type="dxa"/>
            <w:vAlign w:val="center"/>
          </w:tcPr>
          <w:p>
            <w:pPr>
              <w:pStyle w:val="0"/>
              <w:jc w:val="center"/>
            </w:pPr>
            <w:r>
              <w:rPr>
                <w:sz w:val="20"/>
              </w:rPr>
              <w:t xml:space="preserve">+</w:t>
            </w:r>
          </w:p>
        </w:tc>
        <w:tc>
          <w:tcPr>
            <w:tcW w:w="1417" w:type="dxa"/>
            <w:vAlign w:val="center"/>
          </w:tcPr>
          <w:p>
            <w:pPr>
              <w:pStyle w:val="0"/>
              <w:jc w:val="center"/>
            </w:pPr>
            <w:r>
              <w:rPr>
                <w:sz w:val="20"/>
              </w:rPr>
            </w:r>
          </w:p>
        </w:tc>
        <w:tc>
          <w:tcPr>
            <w:tcW w:w="1701" w:type="dxa"/>
            <w:vAlign w:val="center"/>
          </w:tcPr>
          <w:p>
            <w:pPr>
              <w:pStyle w:val="0"/>
              <w:jc w:val="center"/>
            </w:pPr>
            <w:r>
              <w:rPr>
                <w:sz w:val="20"/>
              </w:rPr>
              <w:t xml:space="preserve">+</w:t>
            </w:r>
          </w:p>
        </w:tc>
        <w:tc>
          <w:tcPr>
            <w:tcW w:w="1701" w:type="dxa"/>
            <w:vAlign w:val="center"/>
          </w:tcPr>
          <w:p>
            <w:pPr>
              <w:pStyle w:val="0"/>
              <w:jc w:val="center"/>
            </w:pPr>
            <w:r>
              <w:rPr>
                <w:sz w:val="20"/>
              </w:rPr>
              <w:t xml:space="preserve">+</w:t>
            </w:r>
          </w:p>
        </w:tc>
      </w:tr>
      <w:tr>
        <w:tc>
          <w:tcPr>
            <w:tcW w:w="2840" w:type="dxa"/>
            <w:vAlign w:val="center"/>
          </w:tcPr>
          <w:p>
            <w:pPr>
              <w:pStyle w:val="0"/>
              <w:jc w:val="center"/>
            </w:pPr>
            <w:r>
              <w:rPr>
                <w:sz w:val="20"/>
              </w:rPr>
              <w:t xml:space="preserve">Анализ рынков сбыта</w:t>
            </w:r>
          </w:p>
        </w:tc>
        <w:tc>
          <w:tcPr>
            <w:tcW w:w="1408" w:type="dxa"/>
            <w:vAlign w:val="center"/>
          </w:tcPr>
          <w:p>
            <w:pPr>
              <w:pStyle w:val="0"/>
              <w:jc w:val="center"/>
            </w:pPr>
            <w:r>
              <w:rPr>
                <w:sz w:val="20"/>
              </w:rPr>
              <w:t xml:space="preserve">+</w:t>
            </w:r>
          </w:p>
        </w:tc>
        <w:tc>
          <w:tcPr>
            <w:tcW w:w="1417" w:type="dxa"/>
            <w:vAlign w:val="center"/>
          </w:tcPr>
          <w:p>
            <w:pPr>
              <w:pStyle w:val="0"/>
              <w:jc w:val="center"/>
            </w:pPr>
            <w:r>
              <w:rPr>
                <w:sz w:val="20"/>
              </w:rPr>
              <w:t xml:space="preserve">+</w:t>
            </w:r>
          </w:p>
        </w:tc>
        <w:tc>
          <w:tcPr>
            <w:tcW w:w="1701" w:type="dxa"/>
            <w:vAlign w:val="center"/>
          </w:tcPr>
          <w:p>
            <w:pPr>
              <w:pStyle w:val="0"/>
              <w:jc w:val="center"/>
            </w:pPr>
            <w:r>
              <w:rPr>
                <w:sz w:val="20"/>
              </w:rPr>
            </w:r>
          </w:p>
        </w:tc>
        <w:tc>
          <w:tcPr>
            <w:tcW w:w="1701" w:type="dxa"/>
            <w:vAlign w:val="center"/>
          </w:tcPr>
          <w:p>
            <w:pPr>
              <w:pStyle w:val="0"/>
              <w:jc w:val="center"/>
            </w:pPr>
            <w:r>
              <w:rPr>
                <w:sz w:val="20"/>
              </w:rPr>
            </w:r>
          </w:p>
        </w:tc>
      </w:tr>
      <w:tr>
        <w:tc>
          <w:tcPr>
            <w:tcW w:w="2840" w:type="dxa"/>
            <w:vAlign w:val="center"/>
          </w:tcPr>
          <w:p>
            <w:pPr>
              <w:pStyle w:val="0"/>
              <w:jc w:val="center"/>
            </w:pPr>
            <w:r>
              <w:rPr>
                <w:sz w:val="20"/>
              </w:rPr>
              <w:t xml:space="preserve">Консультации по правовым вопросам</w:t>
            </w:r>
          </w:p>
        </w:tc>
        <w:tc>
          <w:tcPr>
            <w:tcW w:w="1408" w:type="dxa"/>
            <w:vAlign w:val="center"/>
          </w:tcPr>
          <w:p>
            <w:pPr>
              <w:pStyle w:val="0"/>
              <w:jc w:val="center"/>
            </w:pPr>
            <w:r>
              <w:rPr>
                <w:sz w:val="20"/>
              </w:rPr>
              <w:t xml:space="preserve">+</w:t>
            </w:r>
          </w:p>
        </w:tc>
        <w:tc>
          <w:tcPr>
            <w:tcW w:w="1417" w:type="dxa"/>
            <w:vAlign w:val="center"/>
          </w:tcPr>
          <w:p>
            <w:pPr>
              <w:pStyle w:val="0"/>
              <w:jc w:val="center"/>
            </w:pPr>
            <w:r>
              <w:rPr>
                <w:sz w:val="20"/>
              </w:rPr>
            </w:r>
          </w:p>
        </w:tc>
        <w:tc>
          <w:tcPr>
            <w:tcW w:w="1701" w:type="dxa"/>
            <w:vAlign w:val="center"/>
          </w:tcPr>
          <w:p>
            <w:pPr>
              <w:pStyle w:val="0"/>
              <w:jc w:val="center"/>
            </w:pPr>
            <w:r>
              <w:rPr>
                <w:sz w:val="20"/>
              </w:rPr>
              <w:t xml:space="preserve">+</w:t>
            </w:r>
          </w:p>
        </w:tc>
        <w:tc>
          <w:tcPr>
            <w:tcW w:w="1701" w:type="dxa"/>
            <w:vAlign w:val="center"/>
          </w:tcPr>
          <w:p>
            <w:pPr>
              <w:pStyle w:val="0"/>
              <w:jc w:val="center"/>
            </w:pPr>
            <w:r>
              <w:rPr>
                <w:sz w:val="20"/>
              </w:rPr>
              <w:t xml:space="preserve">+</w:t>
            </w:r>
          </w:p>
        </w:tc>
      </w:tr>
      <w:tr>
        <w:tc>
          <w:tcPr>
            <w:tcW w:w="2840" w:type="dxa"/>
            <w:vAlign w:val="center"/>
          </w:tcPr>
          <w:p>
            <w:pPr>
              <w:pStyle w:val="0"/>
              <w:jc w:val="center"/>
            </w:pPr>
            <w:r>
              <w:rPr>
                <w:sz w:val="20"/>
              </w:rPr>
              <w:t xml:space="preserve">Консультации по вопросам логистики</w:t>
            </w:r>
          </w:p>
        </w:tc>
        <w:tc>
          <w:tcPr>
            <w:tcW w:w="1408" w:type="dxa"/>
            <w:vAlign w:val="center"/>
          </w:tcPr>
          <w:p>
            <w:pPr>
              <w:pStyle w:val="0"/>
              <w:jc w:val="center"/>
            </w:pPr>
            <w:r>
              <w:rPr>
                <w:sz w:val="20"/>
              </w:rPr>
            </w:r>
          </w:p>
        </w:tc>
        <w:tc>
          <w:tcPr>
            <w:tcW w:w="1417" w:type="dxa"/>
            <w:vAlign w:val="center"/>
          </w:tcPr>
          <w:p>
            <w:pPr>
              <w:pStyle w:val="0"/>
              <w:jc w:val="center"/>
            </w:pPr>
            <w:r>
              <w:rPr>
                <w:sz w:val="20"/>
              </w:rPr>
            </w:r>
          </w:p>
        </w:tc>
        <w:tc>
          <w:tcPr>
            <w:tcW w:w="1701" w:type="dxa"/>
            <w:vAlign w:val="center"/>
          </w:tcPr>
          <w:p>
            <w:pPr>
              <w:pStyle w:val="0"/>
              <w:jc w:val="center"/>
            </w:pPr>
            <w:r>
              <w:rPr>
                <w:sz w:val="20"/>
              </w:rPr>
            </w:r>
          </w:p>
        </w:tc>
        <w:tc>
          <w:tcPr>
            <w:tcW w:w="1701" w:type="dxa"/>
            <w:vAlign w:val="center"/>
          </w:tcPr>
          <w:p>
            <w:pPr>
              <w:pStyle w:val="0"/>
              <w:jc w:val="center"/>
            </w:pPr>
            <w:r>
              <w:rPr>
                <w:sz w:val="20"/>
              </w:rPr>
              <w:t xml:space="preserve">+</w:t>
            </w:r>
          </w:p>
        </w:tc>
      </w:tr>
      <w:tr>
        <w:tc>
          <w:tcPr>
            <w:tcW w:w="2840" w:type="dxa"/>
            <w:vAlign w:val="center"/>
          </w:tcPr>
          <w:p>
            <w:pPr>
              <w:pStyle w:val="0"/>
              <w:jc w:val="center"/>
            </w:pPr>
            <w:r>
              <w:rPr>
                <w:sz w:val="20"/>
              </w:rPr>
              <w:t xml:space="preserve">Подготовка компании / продукта к выводу на рынок</w:t>
            </w:r>
          </w:p>
        </w:tc>
        <w:tc>
          <w:tcPr>
            <w:tcW w:w="1408" w:type="dxa"/>
            <w:vAlign w:val="center"/>
          </w:tcPr>
          <w:p>
            <w:pPr>
              <w:pStyle w:val="0"/>
              <w:jc w:val="center"/>
            </w:pPr>
            <w:r>
              <w:rPr>
                <w:sz w:val="20"/>
              </w:rPr>
            </w:r>
          </w:p>
        </w:tc>
        <w:tc>
          <w:tcPr>
            <w:tcW w:w="1417" w:type="dxa"/>
            <w:vAlign w:val="center"/>
          </w:tcPr>
          <w:p>
            <w:pPr>
              <w:pStyle w:val="0"/>
              <w:jc w:val="center"/>
            </w:pPr>
            <w:r>
              <w:rPr>
                <w:sz w:val="20"/>
              </w:rPr>
            </w:r>
          </w:p>
        </w:tc>
        <w:tc>
          <w:tcPr>
            <w:tcW w:w="1701" w:type="dxa"/>
            <w:vAlign w:val="center"/>
          </w:tcPr>
          <w:p>
            <w:pPr>
              <w:pStyle w:val="0"/>
              <w:jc w:val="center"/>
            </w:pPr>
            <w:r>
              <w:rPr>
                <w:sz w:val="20"/>
              </w:rPr>
              <w:t xml:space="preserve">+</w:t>
            </w:r>
          </w:p>
        </w:tc>
        <w:tc>
          <w:tcPr>
            <w:tcW w:w="1701" w:type="dxa"/>
            <w:vAlign w:val="center"/>
          </w:tcPr>
          <w:p>
            <w:pPr>
              <w:pStyle w:val="0"/>
              <w:jc w:val="center"/>
            </w:pPr>
            <w:r>
              <w:rPr>
                <w:sz w:val="20"/>
              </w:rPr>
              <w:t xml:space="preserve">+</w:t>
            </w:r>
          </w:p>
        </w:tc>
      </w:tr>
      <w:tr>
        <w:tc>
          <w:tcPr>
            <w:tcW w:w="2840" w:type="dxa"/>
            <w:vAlign w:val="center"/>
          </w:tcPr>
          <w:p>
            <w:pPr>
              <w:pStyle w:val="0"/>
              <w:jc w:val="center"/>
            </w:pPr>
            <w:r>
              <w:rPr>
                <w:sz w:val="20"/>
              </w:rPr>
              <w:t xml:space="preserve">Мониторинг законодательства</w:t>
            </w:r>
          </w:p>
          <w:p>
            <w:pPr>
              <w:pStyle w:val="0"/>
              <w:jc w:val="center"/>
            </w:pPr>
            <w:r>
              <w:rPr>
                <w:sz w:val="20"/>
              </w:rPr>
              <w:t xml:space="preserve">(выявление барьеров)</w:t>
            </w:r>
          </w:p>
        </w:tc>
        <w:tc>
          <w:tcPr>
            <w:tcW w:w="1408" w:type="dxa"/>
            <w:vAlign w:val="center"/>
          </w:tcPr>
          <w:p>
            <w:pPr>
              <w:pStyle w:val="0"/>
              <w:jc w:val="center"/>
            </w:pPr>
            <w:r>
              <w:rPr>
                <w:sz w:val="20"/>
              </w:rPr>
            </w:r>
          </w:p>
        </w:tc>
        <w:tc>
          <w:tcPr>
            <w:tcW w:w="1417" w:type="dxa"/>
            <w:vAlign w:val="center"/>
          </w:tcPr>
          <w:p>
            <w:pPr>
              <w:pStyle w:val="0"/>
              <w:jc w:val="center"/>
            </w:pPr>
            <w:r>
              <w:rPr>
                <w:sz w:val="20"/>
              </w:rPr>
            </w:r>
          </w:p>
        </w:tc>
        <w:tc>
          <w:tcPr>
            <w:tcW w:w="1701" w:type="dxa"/>
            <w:vAlign w:val="center"/>
          </w:tcPr>
          <w:p>
            <w:pPr>
              <w:pStyle w:val="0"/>
              <w:jc w:val="center"/>
            </w:pPr>
            <w:r>
              <w:rPr>
                <w:sz w:val="20"/>
              </w:rPr>
            </w:r>
          </w:p>
        </w:tc>
        <w:tc>
          <w:tcPr>
            <w:tcW w:w="1701" w:type="dxa"/>
            <w:vAlign w:val="center"/>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Источник: Веб-сайты Единого информационного портала "Экспортеры России", Центра поддержки экспорта Курской области, Администрации Курской области, РЭЦ.</w:t>
      </w:r>
    </w:p>
    <w:p>
      <w:pPr>
        <w:pStyle w:val="0"/>
        <w:ind w:firstLine="540"/>
        <w:jc w:val="both"/>
      </w:pPr>
      <w:r>
        <w:rPr>
          <w:sz w:val="20"/>
        </w:rPr>
      </w:r>
    </w:p>
    <w:p>
      <w:pPr>
        <w:pStyle w:val="2"/>
        <w:outlineLvl w:val="3"/>
        <w:ind w:firstLine="540"/>
        <w:jc w:val="both"/>
      </w:pPr>
      <w:r>
        <w:rPr>
          <w:sz w:val="20"/>
        </w:rPr>
        <w:t xml:space="preserve">1.5. Основные выводы</w:t>
      </w:r>
    </w:p>
    <w:p>
      <w:pPr>
        <w:pStyle w:val="0"/>
        <w:ind w:firstLine="540"/>
        <w:jc w:val="both"/>
      </w:pPr>
      <w:r>
        <w:rPr>
          <w:sz w:val="20"/>
        </w:rPr>
      </w:r>
    </w:p>
    <w:p>
      <w:pPr>
        <w:pStyle w:val="0"/>
        <w:ind w:firstLine="540"/>
        <w:jc w:val="both"/>
      </w:pPr>
      <w:r>
        <w:rPr>
          <w:sz w:val="20"/>
        </w:rPr>
        <w:t xml:space="preserve">Развитие экспорта Курской области в долгосрочной перспективе связано с решением следующих вызовов:</w:t>
      </w:r>
    </w:p>
    <w:p>
      <w:pPr>
        <w:pStyle w:val="0"/>
        <w:spacing w:before="200" w:line-rule="auto"/>
        <w:ind w:firstLine="540"/>
        <w:jc w:val="both"/>
      </w:pPr>
      <w:r>
        <w:rPr>
          <w:sz w:val="20"/>
        </w:rPr>
        <w:t xml:space="preserve">1) при относительно высоком уровне диверсификации экономики Курской области экспорт региона является специализированным, то есть ограниченным как по номенклатуре экспортируемых товаров, так и по географии поставок. В результате, экспортный потенциал региона остается не раскрытым, поэтому стратегия развития экспорта Курской области должна быть направлена на расширение экспортной корзины за счет расширения производственных мощностей действующих предприятий и инвестиций в новые производства по выпуску несырьевой неэнергетической промышленной продукции с высокой добавленной стоимостью;</w:t>
      </w:r>
    </w:p>
    <w:p>
      <w:pPr>
        <w:pStyle w:val="0"/>
        <w:jc w:val="both"/>
      </w:pPr>
      <w:r>
        <w:rPr>
          <w:sz w:val="20"/>
        </w:rPr>
        <w:t xml:space="preserve">(в ред. </w:t>
      </w:r>
      <w:hyperlink w:history="0" r:id="rId127"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2) товарная специализация экспорта Курской области не в полной мере учитывает производственно-технологические возможности экономики региона и потенциал международной кооперации. Анализ ассортимента экспортируемой продукции в схожих по составу экспортной корзины субъектах мировой экономики демонстрирует ряд товаров, развитие экспорта которых возможно по технологическим причинам и позволит увеличить стоимостной объем экспорта. Стратегическим направлением развития экспорта Курской области должно стать достижение и укрепление специализации по видам продукции, для которой в регионе уже имеются необходимые активы и компетенции;</w:t>
      </w:r>
    </w:p>
    <w:p>
      <w:pPr>
        <w:pStyle w:val="0"/>
        <w:spacing w:before="200" w:line-rule="auto"/>
        <w:ind w:firstLine="540"/>
        <w:jc w:val="both"/>
      </w:pPr>
      <w:r>
        <w:rPr>
          <w:sz w:val="20"/>
        </w:rPr>
        <w:t xml:space="preserve">3) качественное развитие экспортного потенциала Курской области требует совершенствования системы поддержки экспорта на региональном уровне. Необходимо создать такой механизм, который будет оперативно и эффективно реагировать на вызовы внешней среды, учитывать интересы всего спектра экспортеров и решать поставленные задачи при минимуме используемых ресурсов;</w:t>
      </w:r>
    </w:p>
    <w:p>
      <w:pPr>
        <w:pStyle w:val="0"/>
        <w:spacing w:before="200" w:line-rule="auto"/>
        <w:ind w:firstLine="540"/>
        <w:jc w:val="both"/>
      </w:pPr>
      <w:r>
        <w:rPr>
          <w:sz w:val="20"/>
        </w:rPr>
        <w:t xml:space="preserve">4) усиление санкционного давления в отношении Российской Федерации со стороны недружественных стран негативно влияет на инвестиционные планы компаний, планирующих строительство/расширение производственных комплексов с экспортной продукцией в сегменте несырьевого неэнергетического экспорта (далее - ННЭ): удорожание капитальных затрат проектов в связи с ростом цен на строительно-монтажные работы (далее - СМР), отсутствие поставок импортного оборудования, волатильность цен на экспортную продукцию на мировом рынке, разрыв логистических цепочек, потеря части рынков сбыта, снижение рентабельности, увеличение сроков окупаемости проектов приводит к отказу предприятий от инвестиционных планов. Поэтому для развития экспорта региона необходимо обеспечить комфортные условия бизнесу и предусмотреть комплекс мер за счет организации производственной кооперации на базе создаваемых производственных комплексов других экспортоориентированных компаний и действующих экспортеров Курской области, привлечения новых инвесторов на площадки;</w:t>
      </w:r>
    </w:p>
    <w:p>
      <w:pPr>
        <w:pStyle w:val="0"/>
        <w:jc w:val="both"/>
      </w:pPr>
      <w:r>
        <w:rPr>
          <w:sz w:val="20"/>
        </w:rPr>
        <w:t xml:space="preserve">(пп. 4 введен </w:t>
      </w:r>
      <w:hyperlink w:history="0" r:id="rId128"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Законом</w:t>
        </w:r>
      </w:hyperlink>
      <w:r>
        <w:rPr>
          <w:sz w:val="20"/>
        </w:rPr>
        <w:t xml:space="preserve"> Курской области от 06.10.2023 N 73-ЗКО)</w:t>
      </w:r>
    </w:p>
    <w:p>
      <w:pPr>
        <w:pStyle w:val="0"/>
        <w:spacing w:before="200" w:line-rule="auto"/>
        <w:ind w:firstLine="540"/>
        <w:jc w:val="both"/>
      </w:pPr>
      <w:r>
        <w:rPr>
          <w:sz w:val="20"/>
        </w:rPr>
        <w:t xml:space="preserve">5) нераскрытый потенциал субъектов малого и среднего предпринимательства, обусловленный недостаточностью мер поддержки субъектов малого и среднего предпринимательства - действующих и потенциальных экспортеров на региональном уровне, а также усиливающимся санкционным давлением, кризисом системы международного регулирования приводит к невозможности увеличения несырьевого неэнергетического экспорта субъектов малого и среднего предпринимательства в Курской области. Необходимо создание комплексной системы поддержки, учитывающей интересы экспортеров и экономико-политическую ситуацию в мире: обеспечить совершенствование региональных мер поддержки субъектов малого и среднего предпринимательства Курской области;</w:t>
      </w:r>
    </w:p>
    <w:p>
      <w:pPr>
        <w:pStyle w:val="0"/>
        <w:jc w:val="both"/>
      </w:pPr>
      <w:r>
        <w:rPr>
          <w:sz w:val="20"/>
        </w:rPr>
        <w:t xml:space="preserve">(пп. 5 введен </w:t>
      </w:r>
      <w:hyperlink w:history="0" r:id="rId129"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Законом</w:t>
        </w:r>
      </w:hyperlink>
      <w:r>
        <w:rPr>
          <w:sz w:val="20"/>
        </w:rPr>
        <w:t xml:space="preserve"> Курской области от 06.10.2023 N 73-ЗКО)</w:t>
      </w:r>
    </w:p>
    <w:p>
      <w:pPr>
        <w:pStyle w:val="0"/>
        <w:spacing w:before="200" w:line-rule="auto"/>
        <w:ind w:firstLine="540"/>
        <w:jc w:val="both"/>
      </w:pPr>
      <w:r>
        <w:rPr>
          <w:sz w:val="20"/>
        </w:rPr>
        <w:t xml:space="preserve">6) сокращение географии экспорта в связи с введением санкций создает угрозу снижения объема экспорта Курской области. Необходимо развивать сотрудничество с дружественными странами.</w:t>
      </w:r>
    </w:p>
    <w:p>
      <w:pPr>
        <w:pStyle w:val="0"/>
        <w:jc w:val="both"/>
      </w:pPr>
      <w:r>
        <w:rPr>
          <w:sz w:val="20"/>
        </w:rPr>
        <w:t xml:space="preserve">(пп. 6 введен </w:t>
      </w:r>
      <w:hyperlink w:history="0" r:id="rId130"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Законом</w:t>
        </w:r>
      </w:hyperlink>
      <w:r>
        <w:rPr>
          <w:sz w:val="20"/>
        </w:rPr>
        <w:t xml:space="preserve"> Курской области от 06.10.2023 N 73-ЗКО)</w:t>
      </w:r>
    </w:p>
    <w:p>
      <w:pPr>
        <w:pStyle w:val="0"/>
        <w:jc w:val="both"/>
      </w:pPr>
      <w:r>
        <w:rPr>
          <w:sz w:val="20"/>
        </w:rPr>
      </w:r>
    </w:p>
    <w:p>
      <w:pPr>
        <w:pStyle w:val="2"/>
        <w:outlineLvl w:val="2"/>
        <w:jc w:val="center"/>
      </w:pPr>
      <w:r>
        <w:rPr>
          <w:sz w:val="20"/>
        </w:rPr>
        <w:t xml:space="preserve">2. Анализ перспективных экспортных рынков</w:t>
      </w:r>
    </w:p>
    <w:p>
      <w:pPr>
        <w:pStyle w:val="0"/>
      </w:pPr>
      <w:r>
        <w:rPr>
          <w:sz w:val="20"/>
        </w:rPr>
      </w:r>
    </w:p>
    <w:p>
      <w:pPr>
        <w:pStyle w:val="2"/>
        <w:outlineLvl w:val="3"/>
        <w:ind w:firstLine="540"/>
        <w:jc w:val="both"/>
      </w:pPr>
      <w:r>
        <w:rPr>
          <w:sz w:val="20"/>
        </w:rPr>
        <w:t xml:space="preserve">2.1. Отраслевые точки роста несырьевого неэнергетического экспорта Курской области</w:t>
      </w:r>
    </w:p>
    <w:p>
      <w:pPr>
        <w:pStyle w:val="0"/>
        <w:ind w:firstLine="540"/>
        <w:jc w:val="both"/>
      </w:pPr>
      <w:r>
        <w:rPr>
          <w:sz w:val="20"/>
        </w:rPr>
      </w:r>
    </w:p>
    <w:p>
      <w:pPr>
        <w:pStyle w:val="0"/>
        <w:ind w:firstLine="540"/>
        <w:jc w:val="both"/>
      </w:pPr>
      <w:r>
        <w:rPr>
          <w:sz w:val="20"/>
        </w:rPr>
        <w:t xml:space="preserve">При определении отраслевых направлений развития экспортного потенциала Курской области необходимо учитывать следующие факторы и ориентиры:</w:t>
      </w:r>
    </w:p>
    <w:p>
      <w:pPr>
        <w:pStyle w:val="0"/>
        <w:spacing w:before="200" w:line-rule="auto"/>
        <w:ind w:firstLine="540"/>
        <w:jc w:val="both"/>
      </w:pPr>
      <w:r>
        <w:rPr>
          <w:sz w:val="20"/>
        </w:rPr>
        <w:t xml:space="preserve">1) индекс локализации отраслей экономики;</w:t>
      </w:r>
    </w:p>
    <w:p>
      <w:pPr>
        <w:pStyle w:val="0"/>
        <w:spacing w:before="200" w:line-rule="auto"/>
        <w:ind w:firstLine="540"/>
        <w:jc w:val="both"/>
      </w:pPr>
      <w:r>
        <w:rPr>
          <w:sz w:val="20"/>
        </w:rPr>
        <w:t xml:space="preserve">2) индекс товарной специализации экспортной деятельности;</w:t>
      </w:r>
    </w:p>
    <w:p>
      <w:pPr>
        <w:pStyle w:val="0"/>
        <w:spacing w:before="200" w:line-rule="auto"/>
        <w:ind w:firstLine="540"/>
        <w:jc w:val="both"/>
      </w:pPr>
      <w:r>
        <w:rPr>
          <w:sz w:val="20"/>
        </w:rPr>
        <w:t xml:space="preserve">3) точки роста, определенные в стратегическом направлении "Международная кооперация и экспорт";</w:t>
      </w:r>
    </w:p>
    <w:p>
      <w:pPr>
        <w:pStyle w:val="0"/>
        <w:spacing w:before="200" w:line-rule="auto"/>
        <w:ind w:firstLine="540"/>
        <w:jc w:val="both"/>
      </w:pPr>
      <w:r>
        <w:rPr>
          <w:sz w:val="20"/>
        </w:rPr>
        <w:t xml:space="preserve">4) стратегические приоритеты развития экспорта, установленные Президентом Российской Федерации.</w:t>
      </w:r>
    </w:p>
    <w:p>
      <w:pPr>
        <w:pStyle w:val="0"/>
        <w:ind w:firstLine="540"/>
        <w:jc w:val="both"/>
      </w:pPr>
      <w:r>
        <w:rPr>
          <w:sz w:val="20"/>
        </w:rPr>
      </w:r>
    </w:p>
    <w:p>
      <w:pPr>
        <w:pStyle w:val="2"/>
        <w:outlineLvl w:val="4"/>
        <w:jc w:val="center"/>
      </w:pPr>
      <w:r>
        <w:rPr>
          <w:sz w:val="20"/>
        </w:rPr>
        <w:t xml:space="preserve">Отраслевые точки роста в соответствии с индексом локализации</w:t>
      </w:r>
    </w:p>
    <w:p>
      <w:pPr>
        <w:pStyle w:val="0"/>
        <w:ind w:firstLine="540"/>
        <w:jc w:val="both"/>
      </w:pPr>
      <w:r>
        <w:rPr>
          <w:sz w:val="20"/>
        </w:rPr>
      </w:r>
    </w:p>
    <w:p>
      <w:pPr>
        <w:pStyle w:val="0"/>
        <w:ind w:firstLine="540"/>
        <w:jc w:val="both"/>
      </w:pPr>
      <w:r>
        <w:rPr>
          <w:sz w:val="20"/>
        </w:rPr>
        <w:t xml:space="preserve">Экспортный потенциал региона основывается на имеющейся специализации региональной экономики. Специализация экономики отражает свойство региона "быть лучше" в определенной отрасли, то есть возможность региональных производителей быть конкурентоспособными на страновом или мировом рынке. При оценке уровня специализации применяется индекс локализации, для расчета которого могут использоваться различные данные, но наиболее распространенным является соотношение структуры занятости в экономике региона и в экономике страны &lt;10&gt;. Регион обладает высокой степенью конкурентоспособности в определенной отрасли, если индекс локализации для данной отрасли больше 1.</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w:t>
      </w:r>
      <w:hyperlink w:history="0" w:anchor="P7620" w:tooltip="МЕТОДИКА">
        <w:r>
          <w:rPr>
            <w:sz w:val="20"/>
            <w:color w:val="0000ff"/>
          </w:rPr>
          <w:t xml:space="preserve">Методика</w:t>
        </w:r>
      </w:hyperlink>
      <w:r>
        <w:rPr>
          <w:sz w:val="20"/>
        </w:rPr>
        <w:t xml:space="preserve"> расчета индекса локализации представлена в приложении N 2.</w:t>
      </w:r>
    </w:p>
    <w:p>
      <w:pPr>
        <w:pStyle w:val="0"/>
        <w:ind w:firstLine="540"/>
        <w:jc w:val="both"/>
      </w:pPr>
      <w:r>
        <w:rPr>
          <w:sz w:val="20"/>
        </w:rPr>
      </w:r>
    </w:p>
    <w:p>
      <w:pPr>
        <w:pStyle w:val="0"/>
        <w:ind w:firstLine="540"/>
        <w:jc w:val="both"/>
      </w:pPr>
      <w:r>
        <w:rPr>
          <w:sz w:val="20"/>
        </w:rPr>
        <w:t xml:space="preserve">Индекс локализации Курской области в разрезе видов экономической деятельности показывает, что по данным 2017 года регион специализируется преимущественно в следующих сферах:</w:t>
      </w:r>
    </w:p>
    <w:p>
      <w:pPr>
        <w:pStyle w:val="0"/>
        <w:spacing w:before="200" w:line-rule="auto"/>
        <w:ind w:firstLine="540"/>
        <w:jc w:val="both"/>
      </w:pPr>
      <w:r>
        <w:rPr>
          <w:sz w:val="20"/>
        </w:rPr>
        <w:t xml:space="preserve">1) сельское хозяйство;</w:t>
      </w:r>
    </w:p>
    <w:p>
      <w:pPr>
        <w:pStyle w:val="0"/>
        <w:spacing w:before="200" w:line-rule="auto"/>
        <w:ind w:firstLine="540"/>
        <w:jc w:val="both"/>
      </w:pPr>
      <w:r>
        <w:rPr>
          <w:sz w:val="20"/>
        </w:rPr>
        <w:t xml:space="preserve">2) обеспечение электроэнергией, газом и паром;</w:t>
      </w:r>
    </w:p>
    <w:p>
      <w:pPr>
        <w:pStyle w:val="0"/>
        <w:spacing w:before="200" w:line-rule="auto"/>
        <w:ind w:firstLine="540"/>
        <w:jc w:val="both"/>
      </w:pPr>
      <w:r>
        <w:rPr>
          <w:sz w:val="20"/>
        </w:rPr>
        <w:t xml:space="preserve">3) добыча полезных ископаемых;</w:t>
      </w:r>
    </w:p>
    <w:p>
      <w:pPr>
        <w:pStyle w:val="0"/>
        <w:spacing w:before="200" w:line-rule="auto"/>
        <w:ind w:firstLine="540"/>
        <w:jc w:val="both"/>
      </w:pPr>
      <w:r>
        <w:rPr>
          <w:sz w:val="20"/>
        </w:rPr>
        <w:t xml:space="preserve">4) образование.</w:t>
      </w:r>
    </w:p>
    <w:p>
      <w:pPr>
        <w:pStyle w:val="0"/>
        <w:spacing w:before="200" w:line-rule="auto"/>
        <w:ind w:firstLine="540"/>
        <w:jc w:val="both"/>
      </w:pPr>
      <w:r>
        <w:rPr>
          <w:sz w:val="20"/>
        </w:rPr>
        <w:t xml:space="preserve">Профиль региона по индексу локализации для всех видов экономической деятельности представлен на рисунке ниже (рисунок 2). По сравнению с 2015 годом специализация Курской области не изменилась, что свидетельствует о сложившейся специфике региональной экономики.</w:t>
      </w:r>
    </w:p>
    <w:p>
      <w:pPr>
        <w:pStyle w:val="0"/>
        <w:jc w:val="both"/>
      </w:pPr>
      <w:r>
        <w:rPr>
          <w:sz w:val="20"/>
        </w:rPr>
      </w:r>
    </w:p>
    <w:p>
      <w:pPr>
        <w:pStyle w:val="0"/>
        <w:jc w:val="center"/>
      </w:pPr>
      <w:r>
        <w:rPr>
          <w:position w:val="-215"/>
        </w:rPr>
        <w:drawing>
          <wp:inline distT="0" distB="0" distL="0" distR="0">
            <wp:extent cx="4681855" cy="2859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4681855" cy="2859405"/>
                    </a:xfrm>
                    <a:prstGeom prst="rect">
                      <a:avLst/>
                    </a:prstGeom>
                    <a:noFill/>
                    <a:ln>
                      <a:noFill/>
                    </a:ln>
                  </pic:spPr>
                </pic:pic>
              </a:graphicData>
            </a:graphic>
          </wp:inline>
        </w:drawing>
      </w:r>
    </w:p>
    <w:p>
      <w:pPr>
        <w:pStyle w:val="0"/>
        <w:jc w:val="both"/>
      </w:pPr>
      <w:r>
        <w:rPr>
          <w:sz w:val="20"/>
        </w:rPr>
      </w:r>
    </w:p>
    <w:p>
      <w:pPr>
        <w:pStyle w:val="2"/>
        <w:outlineLvl w:val="5"/>
        <w:jc w:val="center"/>
      </w:pPr>
      <w:r>
        <w:rPr>
          <w:sz w:val="20"/>
        </w:rPr>
        <w:t xml:space="preserve">Рисунок 2. Индекс локализации Курской области (2017)</w:t>
      </w:r>
    </w:p>
    <w:p>
      <w:pPr>
        <w:pStyle w:val="0"/>
        <w:jc w:val="center"/>
      </w:pPr>
      <w:r>
        <w:rPr>
          <w:sz w:val="20"/>
        </w:rPr>
      </w:r>
    </w:p>
    <w:p>
      <w:pPr>
        <w:pStyle w:val="0"/>
        <w:ind w:firstLine="540"/>
        <w:jc w:val="both"/>
      </w:pPr>
      <w:r>
        <w:rPr>
          <w:sz w:val="20"/>
        </w:rPr>
        <w:t xml:space="preserve">Источник: статистический сборник "Регионы России. Социально-экономические показатели. 2016 г."; расчет АО "Альянс Консалтинг".</w:t>
      </w:r>
    </w:p>
    <w:p>
      <w:pPr>
        <w:pStyle w:val="0"/>
      </w:pPr>
      <w:r>
        <w:rPr>
          <w:sz w:val="20"/>
        </w:rPr>
      </w:r>
    </w:p>
    <w:p>
      <w:pPr>
        <w:pStyle w:val="2"/>
        <w:outlineLvl w:val="4"/>
        <w:jc w:val="center"/>
      </w:pPr>
      <w:r>
        <w:rPr>
          <w:sz w:val="20"/>
        </w:rPr>
        <w:t xml:space="preserve">Отраслевые точки роста в соответствии с индексом</w:t>
      </w:r>
    </w:p>
    <w:p>
      <w:pPr>
        <w:pStyle w:val="2"/>
        <w:jc w:val="center"/>
      </w:pPr>
      <w:r>
        <w:rPr>
          <w:sz w:val="20"/>
        </w:rPr>
        <w:t xml:space="preserve">специализации</w:t>
      </w:r>
    </w:p>
    <w:p>
      <w:pPr>
        <w:pStyle w:val="0"/>
        <w:ind w:firstLine="540"/>
        <w:jc w:val="both"/>
      </w:pPr>
      <w:r>
        <w:rPr>
          <w:sz w:val="20"/>
        </w:rPr>
      </w:r>
    </w:p>
    <w:p>
      <w:pPr>
        <w:pStyle w:val="0"/>
        <w:ind w:firstLine="540"/>
        <w:jc w:val="both"/>
      </w:pPr>
      <w:r>
        <w:rPr>
          <w:sz w:val="20"/>
        </w:rPr>
        <w:t xml:space="preserve">При оценке экспортной товарной специализации проводится выявление близких товарных групп &lt;11&gt;, не входящих в существующую корзину экспортной специализации региона, но которые также могут определять такую специализацию. К близким товарным группам относятся товары, для которых велика вероятность перехода к специализации (вероятность основана на статистике взаимосвязанности товаров в экспортных корзинах большинства стран мира). Также осуществляется расчет потенциального прироста экспорта товаров, необходимого для достижения специализации по данным товарам.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Каждая товарная группа обладает набором параметров: величиной текущего экспорта, величиной потенциального прироста экспорта, индексом близости и индексом технологической сложности. Наиболее привлекательными, с точки зрения расширения экспортной корзины, являются товары с наибольшим индексом близости.</w:t>
      </w:r>
    </w:p>
    <w:p>
      <w:pPr>
        <w:pStyle w:val="0"/>
        <w:ind w:firstLine="540"/>
        <w:jc w:val="both"/>
      </w:pPr>
      <w:r>
        <w:rPr>
          <w:sz w:val="20"/>
        </w:rPr>
      </w:r>
    </w:p>
    <w:p>
      <w:pPr>
        <w:pStyle w:val="0"/>
        <w:ind w:firstLine="540"/>
        <w:jc w:val="both"/>
      </w:pPr>
      <w:r>
        <w:rPr>
          <w:sz w:val="20"/>
        </w:rPr>
        <w:t xml:space="preserve">Среди товарных групп, в настоящее время не являющихся экспортной специализацией Курской области, определены наиболее близкие к текущей корзине, среди которых такие товары, как электрические машины и оборудование, их части; звукозаписывающая аппаратура, аппаратура для записи и воспроизведения телевизионного изображения и звука, ее части; реакторы, котлы, оборудование и механические части; фармацевтическая продукция. Среди первых 20 товарных групп (с детализацией на уровне 4 знаков ТН ВЭД) 14 являются товарами верхних переделов, остальные - средних. Таким образом, расширение корзины экспортной специализации Курской области должно достигаться, в первую очередь, за счет товаров глубокой переработки.</w:t>
      </w:r>
    </w:p>
    <w:p>
      <w:pPr>
        <w:pStyle w:val="0"/>
        <w:spacing w:before="200" w:line-rule="auto"/>
        <w:ind w:firstLine="540"/>
        <w:jc w:val="both"/>
      </w:pPr>
      <w:r>
        <w:rPr>
          <w:sz w:val="20"/>
        </w:rPr>
        <w:t xml:space="preserve">В качестве критериев для выбора и ранжирования товарных групп, которые могут стать точками роста экспорта, применяются следующие показатели:</w:t>
      </w:r>
    </w:p>
    <w:p>
      <w:pPr>
        <w:pStyle w:val="0"/>
        <w:spacing w:before="200" w:line-rule="auto"/>
        <w:ind w:firstLine="540"/>
        <w:jc w:val="both"/>
      </w:pPr>
      <w:r>
        <w:rPr>
          <w:sz w:val="20"/>
        </w:rPr>
        <w:t xml:space="preserve">1) текущий объем экспорта;</w:t>
      </w:r>
    </w:p>
    <w:p>
      <w:pPr>
        <w:pStyle w:val="0"/>
        <w:spacing w:before="200" w:line-rule="auto"/>
        <w:ind w:firstLine="540"/>
        <w:jc w:val="both"/>
      </w:pPr>
      <w:r>
        <w:rPr>
          <w:sz w:val="20"/>
        </w:rPr>
        <w:t xml:space="preserve">2) потенциальный прирост экспорта;</w:t>
      </w:r>
    </w:p>
    <w:p>
      <w:pPr>
        <w:pStyle w:val="0"/>
        <w:spacing w:before="200" w:line-rule="auto"/>
        <w:ind w:firstLine="540"/>
        <w:jc w:val="both"/>
      </w:pPr>
      <w:r>
        <w:rPr>
          <w:sz w:val="20"/>
        </w:rPr>
        <w:t xml:space="preserve">3) индекс технологической сложности товара;</w:t>
      </w:r>
    </w:p>
    <w:p>
      <w:pPr>
        <w:pStyle w:val="0"/>
        <w:spacing w:before="200" w:line-rule="auto"/>
        <w:ind w:firstLine="540"/>
        <w:jc w:val="both"/>
      </w:pPr>
      <w:r>
        <w:rPr>
          <w:sz w:val="20"/>
        </w:rPr>
        <w:t xml:space="preserve">4) индекс близости товара.</w:t>
      </w:r>
    </w:p>
    <w:p>
      <w:pPr>
        <w:pStyle w:val="0"/>
        <w:spacing w:before="200" w:line-rule="auto"/>
        <w:ind w:firstLine="540"/>
        <w:jc w:val="both"/>
      </w:pPr>
      <w:r>
        <w:rPr>
          <w:sz w:val="20"/>
        </w:rPr>
        <w:t xml:space="preserve">В зависимости от выбранного критерия формируются различные наборы товаров, рассматриваемые для расширения экспортной корзины Курской области. Среди выделенных товарных групп есть как абсолютно новые для экспортной деятельности Курской области, так и экспортирующиеся в последние годы. Последние более привлекательны с точки зрения быстроты достижения потенциального роста экспорта и легкости расширения экспортной специализации, однако расширение корзины за счет новых товаров более целесообразно для повышения диверсификации экономики и экспорта.</w:t>
      </w:r>
    </w:p>
    <w:p>
      <w:pPr>
        <w:pStyle w:val="0"/>
        <w:spacing w:before="200" w:line-rule="auto"/>
        <w:ind w:firstLine="540"/>
        <w:jc w:val="both"/>
      </w:pPr>
      <w:r>
        <w:rPr>
          <w:sz w:val="20"/>
        </w:rPr>
        <w:t xml:space="preserve">При выборе в качестве критерия показателя текущего объема экспорта в число товарных групп с наибольшим значением данного показателя входят прочие изделия из черных металлов, прочие отходы нелегированной стали, однослойные полиэтиленовые пленки и листы &lt;12&gt;. К товарным группам, демонстрирующим наибольший потенциал прироста объемов экспорта, относятся расфасованные лекарства, телефонные аппараты для сотовых сетей, процессоры и контроллеры, легкие и средние дистилляты. Согласно значению индекса технологической сложности товара, товарные группы с наиболее высоким уровнем данного критерия включают в себя плиты, листы, пленка или полосы/ленты из ацетата целлюлозы; плиты, листы, полосы или ленты и фольга из никелевых сплавов, простые эфиры целлюлозы, делительные головки, хонинговальные и доводочные станки. По критерию близости товара к текущей экспортной корзине в число товарных групп, рассматриваемых для расширения экспортной корзины, входят части мебели, прочий текстиль технического назначения, фильтровальное оборудование для газов, кроме фильтров для ДВС; вентиляторы, кроме вентиляторов для помещений мощностью до 125 Вт; тормоза и сервотормоза для автотранспортных средств; штепсели и розетки на напряжение до 1000 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Источник данных: данные таможенной статистики внешней торговли Федеральной таможенной службы России, http://stat.customs.ru; данные International Trade Centre, https://www.trademap.org; расчет АО "Альянс Консалтинг".</w:t>
      </w:r>
    </w:p>
    <w:p>
      <w:pPr>
        <w:pStyle w:val="0"/>
        <w:ind w:firstLine="540"/>
        <w:jc w:val="both"/>
      </w:pPr>
      <w:r>
        <w:rPr>
          <w:sz w:val="20"/>
        </w:rPr>
      </w:r>
    </w:p>
    <w:p>
      <w:pPr>
        <w:pStyle w:val="0"/>
        <w:ind w:firstLine="540"/>
        <w:jc w:val="both"/>
      </w:pPr>
      <w:r>
        <w:rPr>
          <w:sz w:val="20"/>
        </w:rPr>
        <w:t xml:space="preserve">Дополнительный набор товаров, способных стать точками роста экспорта Курской области, был сформирован в результате ранжирования товаров по интегральному показателю, учитывающему все параметры товарной группы &lt;13&gt;. В данный набор товаров вошли прочие изделия из черных металлов, части электрораспределительной аппаратуры, автозапчасти.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Интегральный показатель рассчитывался с учетом равных весовых коэффициентов значимости отдельных параметров.</w:t>
      </w:r>
    </w:p>
    <w:p>
      <w:pPr>
        <w:pStyle w:val="0"/>
        <w:ind w:firstLine="540"/>
        <w:jc w:val="both"/>
      </w:pPr>
      <w:r>
        <w:rPr>
          <w:sz w:val="20"/>
        </w:rPr>
      </w:r>
    </w:p>
    <w:p>
      <w:pPr>
        <w:pStyle w:val="0"/>
        <w:ind w:firstLine="540"/>
        <w:jc w:val="both"/>
      </w:pPr>
      <w:r>
        <w:rPr>
          <w:sz w:val="20"/>
        </w:rPr>
        <w:t xml:space="preserve">Среди товаров, для которых был оценен потенциал достижения экспортной специализации, 5% самых близких по соответствующему индексу товарных позиций могут дать потенциальный прирост экспорта в денежном выражении около 17,5 млн. долл. США при общем потенциальном приросте экспорта по таким товарным группам в размере 277,2 млн. долл. США.</w:t>
      </w:r>
    </w:p>
    <w:p>
      <w:pPr>
        <w:pStyle w:val="0"/>
        <w:spacing w:before="200" w:line-rule="auto"/>
        <w:ind w:firstLine="540"/>
        <w:jc w:val="both"/>
      </w:pPr>
      <w:r>
        <w:rPr>
          <w:sz w:val="20"/>
        </w:rPr>
        <w:t xml:space="preserve">Для максимизации прироста экспорта в стоимостном выражении более приоритетным является развитие товаров, имеющих наибольший потенциальный прирост экспорта. Крупнейшие 5% товарных позиций, ранжированных по величине потенциального прироста, могут позволить нарастить экспорт на 161,8 млн. долл. США. При этом в настоящее время в регионе могут отсутствовать необходимые производственные мощности. В таком случае ориентация на экспорт товарных групп с наибольшим потенциальным приростом экспортного объема означает запуск региональных программ по развитию соответствующих производств. Также следует учитывать, что экспорт с территории региона товаров, которые не производятся на территории субъекта Российской Федерации, может означать наличие у местных компаний компетенций по встраиванию в мировые цепочки создания стоимости. Таким образом, следует использовать данные компетенции для развития региональной производственной базы.</w:t>
      </w:r>
    </w:p>
    <w:p>
      <w:pPr>
        <w:pStyle w:val="0"/>
        <w:ind w:firstLine="540"/>
        <w:jc w:val="both"/>
      </w:pPr>
      <w:r>
        <w:rPr>
          <w:sz w:val="20"/>
        </w:rPr>
      </w:r>
    </w:p>
    <w:p>
      <w:pPr>
        <w:pStyle w:val="0"/>
        <w:outlineLvl w:val="5"/>
        <w:jc w:val="right"/>
      </w:pPr>
      <w:r>
        <w:rPr>
          <w:sz w:val="20"/>
        </w:rPr>
        <w:t xml:space="preserve">Таблица N 14</w:t>
      </w:r>
    </w:p>
    <w:p>
      <w:pPr>
        <w:pStyle w:val="0"/>
        <w:jc w:val="center"/>
      </w:pPr>
      <w:r>
        <w:rPr>
          <w:sz w:val="20"/>
        </w:rPr>
      </w:r>
    </w:p>
    <w:p>
      <w:pPr>
        <w:pStyle w:val="2"/>
        <w:jc w:val="center"/>
      </w:pPr>
      <w:r>
        <w:rPr>
          <w:sz w:val="20"/>
        </w:rPr>
        <w:t xml:space="preserve">Крупнейшие товарные группы по размеру потенциального</w:t>
      </w:r>
    </w:p>
    <w:p>
      <w:pPr>
        <w:pStyle w:val="2"/>
        <w:jc w:val="center"/>
      </w:pPr>
      <w:r>
        <w:rPr>
          <w:sz w:val="20"/>
        </w:rPr>
        <w:t xml:space="preserve">прироста экспорта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57"/>
        <w:gridCol w:w="2494"/>
        <w:gridCol w:w="1417"/>
      </w:tblGrid>
      <w:tr>
        <w:tc>
          <w:tcPr>
            <w:tcW w:w="4957" w:type="dxa"/>
          </w:tcPr>
          <w:p>
            <w:pPr>
              <w:pStyle w:val="0"/>
              <w:jc w:val="center"/>
            </w:pPr>
            <w:r>
              <w:rPr>
                <w:sz w:val="20"/>
              </w:rPr>
              <w:t xml:space="preserve">Товарная группа</w:t>
            </w:r>
          </w:p>
        </w:tc>
        <w:tc>
          <w:tcPr>
            <w:tcW w:w="2494" w:type="dxa"/>
          </w:tcPr>
          <w:p>
            <w:pPr>
              <w:pStyle w:val="0"/>
              <w:jc w:val="center"/>
            </w:pPr>
            <w:r>
              <w:rPr>
                <w:sz w:val="20"/>
              </w:rPr>
              <w:t xml:space="preserve">Потенциальный прирост экспорта, долл. США</w:t>
            </w:r>
          </w:p>
        </w:tc>
        <w:tc>
          <w:tcPr>
            <w:tcW w:w="1417" w:type="dxa"/>
          </w:tcPr>
          <w:p>
            <w:pPr>
              <w:pStyle w:val="0"/>
              <w:jc w:val="center"/>
            </w:pPr>
            <w:r>
              <w:rPr>
                <w:sz w:val="20"/>
              </w:rPr>
              <w:t xml:space="preserve">Индекс близости</w:t>
            </w:r>
          </w:p>
        </w:tc>
      </w:tr>
      <w:tr>
        <w:tc>
          <w:tcPr>
            <w:tcW w:w="4957" w:type="dxa"/>
          </w:tcPr>
          <w:p>
            <w:pPr>
              <w:pStyle w:val="0"/>
            </w:pPr>
            <w:r>
              <w:rPr>
                <w:sz w:val="20"/>
              </w:rPr>
              <w:t xml:space="preserve">Автозапчасти</w:t>
            </w:r>
          </w:p>
        </w:tc>
        <w:tc>
          <w:tcPr>
            <w:tcW w:w="2494" w:type="dxa"/>
          </w:tcPr>
          <w:p>
            <w:pPr>
              <w:pStyle w:val="0"/>
              <w:jc w:val="center"/>
            </w:pPr>
            <w:r>
              <w:rPr>
                <w:sz w:val="20"/>
              </w:rPr>
              <w:t xml:space="preserve">9156994</w:t>
            </w:r>
          </w:p>
        </w:tc>
        <w:tc>
          <w:tcPr>
            <w:tcW w:w="1417" w:type="dxa"/>
          </w:tcPr>
          <w:p>
            <w:pPr>
              <w:pStyle w:val="0"/>
              <w:jc w:val="center"/>
            </w:pPr>
            <w:r>
              <w:rPr>
                <w:sz w:val="20"/>
              </w:rPr>
              <w:t xml:space="preserve">0,290</w:t>
            </w:r>
          </w:p>
        </w:tc>
      </w:tr>
      <w:tr>
        <w:tc>
          <w:tcPr>
            <w:tcW w:w="4957" w:type="dxa"/>
          </w:tcPr>
          <w:p>
            <w:pPr>
              <w:pStyle w:val="0"/>
            </w:pPr>
            <w:r>
              <w:rPr>
                <w:sz w:val="20"/>
              </w:rPr>
              <w:t xml:space="preserve">Компьютеры и комплектующие</w:t>
            </w:r>
          </w:p>
        </w:tc>
        <w:tc>
          <w:tcPr>
            <w:tcW w:w="2494" w:type="dxa"/>
          </w:tcPr>
          <w:p>
            <w:pPr>
              <w:pStyle w:val="0"/>
              <w:jc w:val="center"/>
            </w:pPr>
            <w:r>
              <w:rPr>
                <w:sz w:val="20"/>
              </w:rPr>
              <w:t xml:space="preserve">7712694</w:t>
            </w:r>
          </w:p>
        </w:tc>
        <w:tc>
          <w:tcPr>
            <w:tcW w:w="1417" w:type="dxa"/>
          </w:tcPr>
          <w:p>
            <w:pPr>
              <w:pStyle w:val="0"/>
              <w:jc w:val="center"/>
            </w:pPr>
            <w:r>
              <w:rPr>
                <w:sz w:val="20"/>
              </w:rPr>
              <w:t xml:space="preserve">0,313</w:t>
            </w:r>
          </w:p>
        </w:tc>
      </w:tr>
      <w:tr>
        <w:tc>
          <w:tcPr>
            <w:tcW w:w="4957" w:type="dxa"/>
          </w:tcPr>
          <w:p>
            <w:pPr>
              <w:pStyle w:val="0"/>
            </w:pPr>
            <w:r>
              <w:rPr>
                <w:sz w:val="20"/>
              </w:rPr>
              <w:t xml:space="preserve">Лекарства расфасованные</w:t>
            </w:r>
          </w:p>
        </w:tc>
        <w:tc>
          <w:tcPr>
            <w:tcW w:w="2494" w:type="dxa"/>
          </w:tcPr>
          <w:p>
            <w:pPr>
              <w:pStyle w:val="0"/>
              <w:jc w:val="center"/>
            </w:pPr>
            <w:r>
              <w:rPr>
                <w:sz w:val="20"/>
              </w:rPr>
              <w:t xml:space="preserve">6735120</w:t>
            </w:r>
          </w:p>
        </w:tc>
        <w:tc>
          <w:tcPr>
            <w:tcW w:w="1417" w:type="dxa"/>
          </w:tcPr>
          <w:p>
            <w:pPr>
              <w:pStyle w:val="0"/>
              <w:jc w:val="center"/>
            </w:pPr>
            <w:r>
              <w:rPr>
                <w:sz w:val="20"/>
              </w:rPr>
              <w:t xml:space="preserve">0,298</w:t>
            </w:r>
          </w:p>
        </w:tc>
      </w:tr>
      <w:tr>
        <w:tc>
          <w:tcPr>
            <w:tcW w:w="4957" w:type="dxa"/>
          </w:tcPr>
          <w:p>
            <w:pPr>
              <w:pStyle w:val="0"/>
            </w:pPr>
            <w:r>
              <w:rPr>
                <w:sz w:val="20"/>
              </w:rPr>
              <w:t xml:space="preserve">Кабельная продукция</w:t>
            </w:r>
          </w:p>
        </w:tc>
        <w:tc>
          <w:tcPr>
            <w:tcW w:w="2494" w:type="dxa"/>
          </w:tcPr>
          <w:p>
            <w:pPr>
              <w:pStyle w:val="0"/>
              <w:jc w:val="center"/>
            </w:pPr>
            <w:r>
              <w:rPr>
                <w:sz w:val="20"/>
              </w:rPr>
              <w:t xml:space="preserve">2748458</w:t>
            </w:r>
          </w:p>
        </w:tc>
        <w:tc>
          <w:tcPr>
            <w:tcW w:w="1417" w:type="dxa"/>
          </w:tcPr>
          <w:p>
            <w:pPr>
              <w:pStyle w:val="0"/>
              <w:jc w:val="center"/>
            </w:pPr>
            <w:r>
              <w:rPr>
                <w:sz w:val="20"/>
              </w:rPr>
              <w:t xml:space="preserve">0,238</w:t>
            </w:r>
          </w:p>
        </w:tc>
      </w:tr>
      <w:tr>
        <w:tc>
          <w:tcPr>
            <w:tcW w:w="4957" w:type="dxa"/>
          </w:tcPr>
          <w:p>
            <w:pPr>
              <w:pStyle w:val="0"/>
            </w:pPr>
            <w:r>
              <w:rPr>
                <w:sz w:val="20"/>
              </w:rPr>
              <w:t xml:space="preserve">Медицинские приборы и устройства</w:t>
            </w:r>
          </w:p>
        </w:tc>
        <w:tc>
          <w:tcPr>
            <w:tcW w:w="2494" w:type="dxa"/>
          </w:tcPr>
          <w:p>
            <w:pPr>
              <w:pStyle w:val="0"/>
              <w:jc w:val="center"/>
            </w:pPr>
            <w:r>
              <w:rPr>
                <w:sz w:val="20"/>
              </w:rPr>
              <w:t xml:space="preserve">2563860</w:t>
            </w:r>
          </w:p>
        </w:tc>
        <w:tc>
          <w:tcPr>
            <w:tcW w:w="1417" w:type="dxa"/>
          </w:tcPr>
          <w:p>
            <w:pPr>
              <w:pStyle w:val="0"/>
              <w:jc w:val="center"/>
            </w:pPr>
            <w:r>
              <w:rPr>
                <w:sz w:val="20"/>
              </w:rPr>
              <w:t xml:space="preserve">0,248</w:t>
            </w:r>
          </w:p>
        </w:tc>
      </w:tr>
      <w:tr>
        <w:tc>
          <w:tcPr>
            <w:tcW w:w="4957" w:type="dxa"/>
          </w:tcPr>
          <w:p>
            <w:pPr>
              <w:pStyle w:val="0"/>
            </w:pPr>
            <w:r>
              <w:rPr>
                <w:sz w:val="20"/>
              </w:rPr>
              <w:t xml:space="preserve">Турбореактивные двигатели и газовые турбины</w:t>
            </w:r>
          </w:p>
        </w:tc>
        <w:tc>
          <w:tcPr>
            <w:tcW w:w="2494" w:type="dxa"/>
          </w:tcPr>
          <w:p>
            <w:pPr>
              <w:pStyle w:val="0"/>
              <w:jc w:val="center"/>
            </w:pPr>
            <w:r>
              <w:rPr>
                <w:sz w:val="20"/>
              </w:rPr>
              <w:t xml:space="preserve">2288554</w:t>
            </w:r>
          </w:p>
        </w:tc>
        <w:tc>
          <w:tcPr>
            <w:tcW w:w="1417" w:type="dxa"/>
          </w:tcPr>
          <w:p>
            <w:pPr>
              <w:pStyle w:val="0"/>
              <w:jc w:val="center"/>
            </w:pPr>
            <w:r>
              <w:rPr>
                <w:sz w:val="20"/>
              </w:rPr>
              <w:t xml:space="preserve">0,243</w:t>
            </w:r>
          </w:p>
        </w:tc>
      </w:tr>
      <w:tr>
        <w:tc>
          <w:tcPr>
            <w:tcW w:w="4957" w:type="dxa"/>
          </w:tcPr>
          <w:p>
            <w:pPr>
              <w:pStyle w:val="0"/>
            </w:pPr>
            <w:r>
              <w:rPr>
                <w:sz w:val="20"/>
              </w:rPr>
              <w:t xml:space="preserve">Части компьютеров и конторского оборудования</w:t>
            </w:r>
          </w:p>
        </w:tc>
        <w:tc>
          <w:tcPr>
            <w:tcW w:w="2494" w:type="dxa"/>
          </w:tcPr>
          <w:p>
            <w:pPr>
              <w:pStyle w:val="0"/>
              <w:jc w:val="center"/>
            </w:pPr>
            <w:r>
              <w:rPr>
                <w:sz w:val="20"/>
              </w:rPr>
              <w:t xml:space="preserve">2272610</w:t>
            </w:r>
          </w:p>
        </w:tc>
        <w:tc>
          <w:tcPr>
            <w:tcW w:w="1417" w:type="dxa"/>
          </w:tcPr>
          <w:p>
            <w:pPr>
              <w:pStyle w:val="0"/>
              <w:jc w:val="center"/>
            </w:pPr>
            <w:r>
              <w:rPr>
                <w:sz w:val="20"/>
              </w:rPr>
              <w:t xml:space="preserve">0,300</w:t>
            </w:r>
          </w:p>
        </w:tc>
      </w:tr>
      <w:tr>
        <w:tc>
          <w:tcPr>
            <w:tcW w:w="4957" w:type="dxa"/>
          </w:tcPr>
          <w:p>
            <w:pPr>
              <w:pStyle w:val="0"/>
            </w:pPr>
            <w:r>
              <w:rPr>
                <w:sz w:val="20"/>
              </w:rPr>
              <w:t xml:space="preserve">Мебель не для сидения</w:t>
            </w:r>
          </w:p>
        </w:tc>
        <w:tc>
          <w:tcPr>
            <w:tcW w:w="2494" w:type="dxa"/>
          </w:tcPr>
          <w:p>
            <w:pPr>
              <w:pStyle w:val="0"/>
              <w:jc w:val="center"/>
            </w:pPr>
            <w:r>
              <w:rPr>
                <w:sz w:val="20"/>
              </w:rPr>
              <w:t xml:space="preserve">2161998</w:t>
            </w:r>
          </w:p>
        </w:tc>
        <w:tc>
          <w:tcPr>
            <w:tcW w:w="1417" w:type="dxa"/>
          </w:tcPr>
          <w:p>
            <w:pPr>
              <w:pStyle w:val="0"/>
              <w:jc w:val="center"/>
            </w:pPr>
            <w:r>
              <w:rPr>
                <w:sz w:val="20"/>
              </w:rPr>
              <w:t xml:space="preserve">0,291</w:t>
            </w:r>
          </w:p>
        </w:tc>
      </w:tr>
    </w:tbl>
    <w:p>
      <w:pPr>
        <w:pStyle w:val="0"/>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данные International Trade Centre, https://www.trademap.org; расчет АО "Альянс Консалтинг".</w:t>
      </w:r>
    </w:p>
    <w:p>
      <w:pPr>
        <w:pStyle w:val="0"/>
        <w:ind w:firstLine="540"/>
        <w:jc w:val="both"/>
      </w:pPr>
      <w:r>
        <w:rPr>
          <w:sz w:val="20"/>
        </w:rPr>
      </w:r>
    </w:p>
    <w:p>
      <w:pPr>
        <w:pStyle w:val="2"/>
        <w:outlineLvl w:val="4"/>
        <w:jc w:val="center"/>
      </w:pPr>
      <w:r>
        <w:rPr>
          <w:sz w:val="20"/>
        </w:rPr>
        <w:t xml:space="preserve">Отраслевые точки роста в соответствии со стратегическим</w:t>
      </w:r>
    </w:p>
    <w:p>
      <w:pPr>
        <w:pStyle w:val="2"/>
        <w:jc w:val="center"/>
      </w:pPr>
      <w:r>
        <w:rPr>
          <w:sz w:val="20"/>
        </w:rPr>
        <w:t xml:space="preserve">направлением "Международная кооперация и экспорт"</w:t>
      </w:r>
    </w:p>
    <w:p>
      <w:pPr>
        <w:pStyle w:val="0"/>
        <w:ind w:firstLine="540"/>
        <w:jc w:val="both"/>
      </w:pPr>
      <w:r>
        <w:rPr>
          <w:sz w:val="20"/>
        </w:rPr>
      </w:r>
    </w:p>
    <w:p>
      <w:pPr>
        <w:pStyle w:val="0"/>
        <w:ind w:firstLine="540"/>
        <w:jc w:val="both"/>
      </w:pPr>
      <w:r>
        <w:rPr>
          <w:sz w:val="20"/>
        </w:rPr>
        <w:t xml:space="preserve">Решением Совета при Президенте Российской Федерации по стратегическому развитию и приоритетным проектам (протокол от 27 сентября 2016 г. N 5) были определены базовые цели стратегического направления "Международная кооперация и экспорт", устанавливающие следующие приоритетные отраслевые направления развития экспорта Российской Федерации:</w:t>
      </w:r>
    </w:p>
    <w:p>
      <w:pPr>
        <w:pStyle w:val="0"/>
        <w:spacing w:before="200" w:line-rule="auto"/>
        <w:ind w:firstLine="540"/>
        <w:jc w:val="both"/>
      </w:pPr>
      <w:r>
        <w:rPr>
          <w:sz w:val="20"/>
        </w:rPr>
        <w:t xml:space="preserve">1) автомобилестроение;</w:t>
      </w:r>
    </w:p>
    <w:p>
      <w:pPr>
        <w:pStyle w:val="0"/>
        <w:spacing w:before="200" w:line-rule="auto"/>
        <w:ind w:firstLine="540"/>
        <w:jc w:val="both"/>
      </w:pPr>
      <w:r>
        <w:rPr>
          <w:sz w:val="20"/>
        </w:rPr>
        <w:t xml:space="preserve">2) сельскохозяйственное машиностроение;</w:t>
      </w:r>
    </w:p>
    <w:p>
      <w:pPr>
        <w:pStyle w:val="0"/>
        <w:spacing w:before="200" w:line-rule="auto"/>
        <w:ind w:firstLine="540"/>
        <w:jc w:val="both"/>
      </w:pPr>
      <w:r>
        <w:rPr>
          <w:sz w:val="20"/>
        </w:rPr>
        <w:t xml:space="preserve">3) железнодорожное машиностроение;</w:t>
      </w:r>
    </w:p>
    <w:p>
      <w:pPr>
        <w:pStyle w:val="0"/>
        <w:spacing w:before="200" w:line-rule="auto"/>
        <w:ind w:firstLine="540"/>
        <w:jc w:val="both"/>
      </w:pPr>
      <w:r>
        <w:rPr>
          <w:sz w:val="20"/>
        </w:rPr>
        <w:t xml:space="preserve">4) авиастроение;</w:t>
      </w:r>
    </w:p>
    <w:p>
      <w:pPr>
        <w:pStyle w:val="0"/>
        <w:spacing w:before="200" w:line-rule="auto"/>
        <w:ind w:firstLine="540"/>
        <w:jc w:val="both"/>
      </w:pPr>
      <w:r>
        <w:rPr>
          <w:sz w:val="20"/>
        </w:rPr>
        <w:t xml:space="preserve">5) продукция агропромышленного сектора.</w:t>
      </w:r>
    </w:p>
    <w:p>
      <w:pPr>
        <w:pStyle w:val="0"/>
        <w:spacing w:before="200" w:line-rule="auto"/>
        <w:ind w:firstLine="540"/>
        <w:jc w:val="both"/>
      </w:pPr>
      <w:r>
        <w:rPr>
          <w:sz w:val="20"/>
        </w:rPr>
        <w:t xml:space="preserve">Кроме приоритетных отраслей, в рамках направления "Международная кооперация и экспорт" определены отрасли с наиболее высоким уровнем оценки потенциального вклада в увеличение несырьевого неэнергетического экспорта, среди которых:</w:t>
      </w:r>
    </w:p>
    <w:p>
      <w:pPr>
        <w:pStyle w:val="0"/>
        <w:spacing w:before="200" w:line-rule="auto"/>
        <w:ind w:firstLine="540"/>
        <w:jc w:val="both"/>
      </w:pPr>
      <w:r>
        <w:rPr>
          <w:sz w:val="20"/>
        </w:rPr>
        <w:t xml:space="preserve">1) энергетическое машиностроение;</w:t>
      </w:r>
    </w:p>
    <w:p>
      <w:pPr>
        <w:pStyle w:val="0"/>
        <w:spacing w:before="200" w:line-rule="auto"/>
        <w:ind w:firstLine="540"/>
        <w:jc w:val="both"/>
      </w:pPr>
      <w:r>
        <w:rPr>
          <w:sz w:val="20"/>
        </w:rPr>
        <w:t xml:space="preserve">2) приборостроение;</w:t>
      </w:r>
    </w:p>
    <w:p>
      <w:pPr>
        <w:pStyle w:val="0"/>
        <w:spacing w:before="200" w:line-rule="auto"/>
        <w:ind w:firstLine="540"/>
        <w:jc w:val="both"/>
      </w:pPr>
      <w:r>
        <w:rPr>
          <w:sz w:val="20"/>
        </w:rPr>
        <w:t xml:space="preserve">3) производство фармацевтической продукции;</w:t>
      </w:r>
    </w:p>
    <w:p>
      <w:pPr>
        <w:pStyle w:val="0"/>
        <w:spacing w:before="200" w:line-rule="auto"/>
        <w:ind w:firstLine="540"/>
        <w:jc w:val="both"/>
      </w:pPr>
      <w:r>
        <w:rPr>
          <w:sz w:val="20"/>
        </w:rPr>
        <w:t xml:space="preserve">4) производство металлических и резинотехнических изделий;</w:t>
      </w:r>
    </w:p>
    <w:p>
      <w:pPr>
        <w:pStyle w:val="0"/>
        <w:spacing w:before="200" w:line-rule="auto"/>
        <w:ind w:firstLine="540"/>
        <w:jc w:val="both"/>
      </w:pPr>
      <w:r>
        <w:rPr>
          <w:sz w:val="20"/>
        </w:rPr>
        <w:t xml:space="preserve">5) нефтехимия.</w:t>
      </w:r>
    </w:p>
    <w:p>
      <w:pPr>
        <w:pStyle w:val="0"/>
        <w:spacing w:before="200" w:line-rule="auto"/>
        <w:ind w:firstLine="540"/>
        <w:jc w:val="both"/>
      </w:pPr>
      <w:r>
        <w:rPr>
          <w:sz w:val="20"/>
        </w:rPr>
        <w:t xml:space="preserve">Абзац утратил силу. - </w:t>
      </w:r>
      <w:hyperlink w:history="0" r:id="rId132"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w:t>
        </w:r>
      </w:hyperlink>
      <w:r>
        <w:rPr>
          <w:sz w:val="20"/>
        </w:rPr>
        <w:t xml:space="preserve"> Курской области от 06.10.2023 N 73-ЗКО.</w:t>
      </w:r>
    </w:p>
    <w:p>
      <w:pPr>
        <w:pStyle w:val="0"/>
        <w:ind w:firstLine="540"/>
        <w:jc w:val="both"/>
      </w:pPr>
      <w:r>
        <w:rPr>
          <w:sz w:val="20"/>
        </w:rPr>
      </w:r>
    </w:p>
    <w:p>
      <w:pPr>
        <w:pStyle w:val="2"/>
        <w:outlineLvl w:val="4"/>
        <w:ind w:firstLine="540"/>
        <w:jc w:val="both"/>
      </w:pPr>
      <w:r>
        <w:rPr>
          <w:sz w:val="20"/>
        </w:rPr>
        <w:t xml:space="preserve">Отраслевые точки роста в соответствие со стратегическими приоритетами, установленными Президентом Российской Федерации</w:t>
      </w:r>
    </w:p>
    <w:p>
      <w:pPr>
        <w:pStyle w:val="0"/>
        <w:ind w:firstLine="540"/>
        <w:jc w:val="both"/>
      </w:pPr>
      <w:r>
        <w:rPr>
          <w:sz w:val="20"/>
        </w:rPr>
      </w:r>
    </w:p>
    <w:p>
      <w:pPr>
        <w:pStyle w:val="0"/>
        <w:ind w:firstLine="540"/>
        <w:jc w:val="both"/>
      </w:pPr>
      <w:r>
        <w:rPr>
          <w:sz w:val="20"/>
        </w:rPr>
        <w:t xml:space="preserve">В послании Федеральному собранию Российской Федерации (март 2018 года) Президент Российской Федерации обозначил следующие отрасли и товарные группы, которые являются приоритетными для развития экспорта:</w:t>
      </w:r>
    </w:p>
    <w:p>
      <w:pPr>
        <w:pStyle w:val="0"/>
        <w:spacing w:before="200" w:line-rule="auto"/>
        <w:ind w:firstLine="540"/>
        <w:jc w:val="both"/>
      </w:pPr>
      <w:r>
        <w:rPr>
          <w:sz w:val="20"/>
        </w:rPr>
        <w:t xml:space="preserve">1) несырьевой неэнергетический экспорт (в частности, продукция машиностроения, продукция агропромышленного комплекса);</w:t>
      </w:r>
    </w:p>
    <w:p>
      <w:pPr>
        <w:pStyle w:val="0"/>
        <w:spacing w:before="200" w:line-rule="auto"/>
        <w:ind w:firstLine="540"/>
        <w:jc w:val="both"/>
      </w:pPr>
      <w:r>
        <w:rPr>
          <w:sz w:val="20"/>
        </w:rPr>
        <w:t xml:space="preserve">2) услуги (в частности, образование, медицина, туризм, услуги транспорта).</w:t>
      </w:r>
    </w:p>
    <w:p>
      <w:pPr>
        <w:pStyle w:val="0"/>
        <w:spacing w:before="200" w:line-rule="auto"/>
        <w:ind w:firstLine="540"/>
        <w:jc w:val="both"/>
      </w:pPr>
      <w:r>
        <w:rPr>
          <w:sz w:val="20"/>
        </w:rPr>
        <w:t xml:space="preserve">Президентом Российской Федерации также были установлены сроки и экспортные показатели, на которые должны ориентироваться, в том числе, субъекты Российской Федерации в ходе развития внешнеэкономической деятельности. К 2025 году необходимо практически удвоить объем несырьевого неэнергетического экспорта и существенно нарастить (до 100 млрд. долл. США в год) объем экспорта услуг. К 2024 году необходимо обеспечить положительное сальдо внешней торговли по продовольственным товарам.</w:t>
      </w:r>
    </w:p>
    <w:p>
      <w:pPr>
        <w:pStyle w:val="0"/>
        <w:jc w:val="both"/>
      </w:pPr>
      <w:r>
        <w:rPr>
          <w:sz w:val="20"/>
        </w:rPr>
        <w:t xml:space="preserve">(в ред. </w:t>
      </w:r>
      <w:hyperlink w:history="0" r:id="rId133"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ind w:firstLine="540"/>
        <w:jc w:val="both"/>
      </w:pPr>
      <w:r>
        <w:rPr>
          <w:sz w:val="20"/>
        </w:rPr>
      </w:r>
    </w:p>
    <w:p>
      <w:pPr>
        <w:pStyle w:val="2"/>
        <w:outlineLvl w:val="3"/>
        <w:ind w:firstLine="540"/>
        <w:jc w:val="both"/>
      </w:pPr>
      <w:r>
        <w:rPr>
          <w:sz w:val="20"/>
        </w:rPr>
        <w:t xml:space="preserve">2.2. Расширение географии экспортных поставок</w:t>
      </w:r>
    </w:p>
    <w:p>
      <w:pPr>
        <w:pStyle w:val="0"/>
        <w:ind w:firstLine="540"/>
        <w:jc w:val="both"/>
      </w:pPr>
      <w:r>
        <w:rPr>
          <w:sz w:val="20"/>
        </w:rPr>
      </w:r>
    </w:p>
    <w:p>
      <w:pPr>
        <w:pStyle w:val="2"/>
        <w:outlineLvl w:val="4"/>
        <w:jc w:val="center"/>
      </w:pPr>
      <w:r>
        <w:rPr>
          <w:sz w:val="20"/>
        </w:rPr>
        <w:t xml:space="preserve">Страновые рынки в соответствии с уровнем концентрации</w:t>
      </w:r>
    </w:p>
    <w:p>
      <w:pPr>
        <w:pStyle w:val="2"/>
        <w:jc w:val="center"/>
      </w:pPr>
      <w:r>
        <w:rPr>
          <w:sz w:val="20"/>
        </w:rPr>
        <w:t xml:space="preserve">экспортной корзины</w:t>
      </w:r>
    </w:p>
    <w:p>
      <w:pPr>
        <w:pStyle w:val="0"/>
        <w:ind w:firstLine="540"/>
        <w:jc w:val="both"/>
      </w:pPr>
      <w:r>
        <w:rPr>
          <w:sz w:val="20"/>
        </w:rPr>
      </w:r>
    </w:p>
    <w:p>
      <w:pPr>
        <w:pStyle w:val="0"/>
        <w:ind w:firstLine="540"/>
        <w:jc w:val="both"/>
      </w:pPr>
      <w:r>
        <w:rPr>
          <w:sz w:val="20"/>
        </w:rPr>
        <w:t xml:space="preserve">Выбор стратегических направлений для географической экспортной экспансии Курской области учитывает положение страны-импортера в группировке стран по уровню концентрации экспортной корзины региона. В зависимости от группы определяются подходы и приоритеты в развитии товарооборота с целевыми странами.</w:t>
      </w:r>
    </w:p>
    <w:p>
      <w:pPr>
        <w:pStyle w:val="0"/>
        <w:spacing w:before="200" w:line-rule="auto"/>
        <w:ind w:firstLine="540"/>
        <w:jc w:val="both"/>
      </w:pPr>
      <w:r>
        <w:rPr>
          <w:sz w:val="20"/>
        </w:rPr>
        <w:t xml:space="preserve">На основании статистических данных за 2016 - 2018 годы были сделаны следующие выводы. В отношении стран, экспорт Курской области в которые наиболее диверсифицирован (Беларусь, Армения, Украина, Киргизия, Азербайджан, Таджикистан, Грузия, Туркмения, Казахстан, Молдавия), целесообразно развитие экспортных поставок и поддержание долгосрочного роста, в первую очередь, в рамках текущего портфеля продукции. Самой быстрорастущей экономикой из данной группы стран является Казахстан (средний темп роста экономики в 2015 - 2017 гг. составил 4%). При этом Казахстан имеет самую позитивную динамику роста ВВП за последние три года среди первой тройки крупнейших стран-импортеров продукции Курской области.</w:t>
      </w:r>
    </w:p>
    <w:p>
      <w:pPr>
        <w:pStyle w:val="0"/>
        <w:jc w:val="both"/>
      </w:pPr>
      <w:r>
        <w:rPr>
          <w:sz w:val="20"/>
        </w:rPr>
        <w:t xml:space="preserve">(в ред. </w:t>
      </w:r>
      <w:hyperlink w:history="0" r:id="rId134"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Для стран с менее диверсифицированным экспортным портфелем по сравнению с уровнем первой группы (Турция, Австралия, Латвия, Монголия, Болгария, Германия, Афганистан, Узбекистан, Эстония, Вьетнам, Индия, Израиль, Литва, США, Чехия, Гвинея, Иран, Румыния) возможно как развитие долгосрочных отношений в рамках существующего товарного портфеля, так и расширение номенклатуры экспортных товаров, прежде всего, за счет технологически сложной продукции верхних переделов.</w:t>
      </w:r>
    </w:p>
    <w:p>
      <w:pPr>
        <w:pStyle w:val="0"/>
        <w:spacing w:before="200" w:line-rule="auto"/>
        <w:ind w:firstLine="540"/>
        <w:jc w:val="both"/>
      </w:pPr>
      <w:r>
        <w:rPr>
          <w:sz w:val="20"/>
        </w:rPr>
        <w:t xml:space="preserve">В отношении стран с низким текущим уровнем диверсификации экспортного портфеля Курской области, но имеющим наивысший среди четырех групп показатель среднегруппового ВВП (Египет, Абхазия, Польша, Нидерланды, Китай, Финляндия, Испания, Италия, Великобритания, Хорватия), целесообразно расширение экспортной корзины за счет выхода на товарные рынки, где уже представлена продукция региона и где у региона имеется специализация. Кроме этого, возможна экспансия на новые товарные рынки, смежные с текущей специализацией региона, а также на рынки, в рамках которых Курская область планирует достигать и развивать специализацию.</w:t>
      </w:r>
    </w:p>
    <w:p>
      <w:pPr>
        <w:pStyle w:val="0"/>
        <w:spacing w:before="200" w:line-rule="auto"/>
        <w:ind w:firstLine="540"/>
        <w:jc w:val="both"/>
      </w:pPr>
      <w:r>
        <w:rPr>
          <w:sz w:val="20"/>
        </w:rPr>
        <w:t xml:space="preserve">В странах с самым низким уровнем диверсификации экспортной корзины (Словения, Алжир, Индонезия, Сербия, Швеция, Бельгия, Греция, Швейцария, Словакия, Тайвань, Ирак, ОАЭ, Перу, Босния и Герцеговина, Венгрия, Гватемала, Дания, Исландия, Канада, Ливан, Македония, Марокко, Мексика, Мьянма, Норвегия, Португалия, Республика Корея, Саудовская Аравия, Сингапур, Таиланд, Франция, Чили, ЮАР, Япония) стратегия региона может быть направлена на повышение разнообразия ввозимых в страну товаров и продвижение продукции, по которой Курская область обладает товарной специализацией.</w:t>
      </w:r>
    </w:p>
    <w:p>
      <w:pPr>
        <w:pStyle w:val="0"/>
        <w:spacing w:before="200" w:line-rule="auto"/>
        <w:ind w:firstLine="540"/>
        <w:jc w:val="both"/>
      </w:pPr>
      <w:r>
        <w:rPr>
          <w:sz w:val="20"/>
        </w:rPr>
        <w:t xml:space="preserve">Учитывая начавшиеся в 2022 году изменения внешней среды, обусловившие необходимость переориентации экспортных поставок на новые рынки, перспективными являются страновые рынки СНГ (Беларусь, Армения, Киргизия, Азербайджан, Таджикистан, Туркмения, Казахстан, Молдова), Юго-Восточной Азии (Вьетнам, Таиланд, Мьянма, Индонезия, Филиппины, Малайзия), Африки (Эфиопия, ЮАР, Судан, Ангола, Зимбабве), Латинской Америки (Куба, Венесуэла, Уругвай, Колумбия, Мексика).</w:t>
      </w:r>
    </w:p>
    <w:p>
      <w:pPr>
        <w:pStyle w:val="0"/>
        <w:jc w:val="both"/>
      </w:pPr>
      <w:r>
        <w:rPr>
          <w:sz w:val="20"/>
        </w:rPr>
        <w:t xml:space="preserve">(абзац введен </w:t>
      </w:r>
      <w:hyperlink w:history="0" r:id="rId135"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Законом</w:t>
        </w:r>
      </w:hyperlink>
      <w:r>
        <w:rPr>
          <w:sz w:val="20"/>
        </w:rPr>
        <w:t xml:space="preserve"> Курской области от 06.10.2023 N 73-ЗКО)</w:t>
      </w:r>
    </w:p>
    <w:p>
      <w:pPr>
        <w:pStyle w:val="0"/>
        <w:ind w:firstLine="540"/>
        <w:jc w:val="both"/>
      </w:pPr>
      <w:r>
        <w:rPr>
          <w:sz w:val="20"/>
        </w:rPr>
      </w:r>
    </w:p>
    <w:p>
      <w:pPr>
        <w:pStyle w:val="2"/>
        <w:outlineLvl w:val="4"/>
        <w:ind w:firstLine="540"/>
        <w:jc w:val="both"/>
      </w:pPr>
      <w:r>
        <w:rPr>
          <w:sz w:val="20"/>
        </w:rPr>
        <w:t xml:space="preserve">Страновые рынки в соответствии с практикой экспорта регионов ЦФО</w:t>
      </w:r>
    </w:p>
    <w:p>
      <w:pPr>
        <w:pStyle w:val="0"/>
        <w:ind w:firstLine="540"/>
        <w:jc w:val="both"/>
      </w:pPr>
      <w:r>
        <w:rPr>
          <w:sz w:val="20"/>
        </w:rPr>
      </w:r>
    </w:p>
    <w:p>
      <w:pPr>
        <w:pStyle w:val="0"/>
        <w:ind w:firstLine="540"/>
        <w:jc w:val="both"/>
      </w:pPr>
      <w:r>
        <w:rPr>
          <w:sz w:val="20"/>
        </w:rPr>
        <w:t xml:space="preserve">На основании проведенного анализа экспортной деятельности Курской области и других регионов ЦФО были выделены три лидирующие товарные категории из числа продукции верхних переделов, характеризующейся высокой добавленной стоимостью: "Продовольственные товары и сельскохозяйственные товары (кроме текстильного)", "Продукция химической промышленности, каучук", "Машины, оборудование и транспортные средства".</w:t>
      </w:r>
    </w:p>
    <w:p>
      <w:pPr>
        <w:pStyle w:val="0"/>
        <w:spacing w:before="200" w:line-rule="auto"/>
        <w:ind w:firstLine="540"/>
        <w:jc w:val="both"/>
      </w:pPr>
      <w:r>
        <w:rPr>
          <w:sz w:val="20"/>
        </w:rPr>
        <w:t xml:space="preserve">В категории товаров "Продовольственные товары и сельскохозяйственное сырье (кроме текстильного)" выделяются следующие товарные группы: шоколадные изделия, кроме шоколада; сладкое сухое печенье, вафли, прочие мучные изделия, аналоги маргарина, жидкий маргарин.</w:t>
      </w:r>
    </w:p>
    <w:p>
      <w:pPr>
        <w:pStyle w:val="0"/>
        <w:spacing w:before="200" w:line-rule="auto"/>
        <w:ind w:firstLine="540"/>
        <w:jc w:val="both"/>
      </w:pPr>
      <w:r>
        <w:rPr>
          <w:sz w:val="20"/>
        </w:rPr>
        <w:t xml:space="preserve">Курская область экспортирует шоколадные изделия, кроме шоколада, в 26 стран мира. Для наращивания объема экспорта шоколадных изделий, кроме шоколада, регион может выйти на рынки Саудовской Аравии, ОАЭ, являющиеся ключевыми для Московской области.</w:t>
      </w:r>
    </w:p>
    <w:p>
      <w:pPr>
        <w:pStyle w:val="0"/>
        <w:jc w:val="both"/>
      </w:pPr>
      <w:r>
        <w:rPr>
          <w:sz w:val="20"/>
        </w:rPr>
        <w:t xml:space="preserve">(в ред. </w:t>
      </w:r>
      <w:hyperlink w:history="0" r:id="rId136"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Экспорт сладкого сухого печенья из Курской области осуществляется в 20 стран на общую сумму 11,7 млн. долл. США. При широком перечне стран-импортеров Курская область имеет низко диверсифицированный портфель. Расширение поставок возможно на рынках Беларуси, Китая, которые являются основными для основных конкурентов Курской области в ЦФО по экспорту сладкого сухого печенья - Московской и Белгородской областей.</w:t>
      </w:r>
    </w:p>
    <w:p>
      <w:pPr>
        <w:pStyle w:val="0"/>
        <w:jc w:val="both"/>
      </w:pPr>
      <w:r>
        <w:rPr>
          <w:sz w:val="20"/>
        </w:rPr>
        <w:t xml:space="preserve">(в ред. </w:t>
      </w:r>
      <w:hyperlink w:history="0" r:id="rId137"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Экспорт вафель Курской области в 2018 году составил 7,5 млн. долл. США, что делает регион лидером в ЦФО и одним из основных экспортеров вафель в Российской Федерации. Экспортный портфель включает 21 страну, что равняется количеству экспортных стран-партнеров Белгородской области для данной товарной группы и существенно больше, чем портфель Владимирской области (10 стран). Анализ географической структуры экспорта данных регионов показывает возможность расширения экспорта вафель в Беларусь и выхода на новые рынки (в первую очередь, рынок Испании).</w:t>
      </w:r>
    </w:p>
    <w:p>
      <w:pPr>
        <w:pStyle w:val="0"/>
        <w:spacing w:before="200" w:line-rule="auto"/>
        <w:ind w:firstLine="540"/>
        <w:jc w:val="both"/>
      </w:pPr>
      <w:r>
        <w:rPr>
          <w:sz w:val="20"/>
        </w:rPr>
        <w:t xml:space="preserve">При экспорте прочих мучных изделий на сумму 2,5 млн. долл. США Курская область уступает лидерам ЦФО - Московской, Владимирской и Воронежской областям. Расширение объемов экспорта связано, прежде всего, с увеличением поставок в ключевые страны-импортеры - Казахстан и Беларусь.</w:t>
      </w:r>
    </w:p>
    <w:p>
      <w:pPr>
        <w:pStyle w:val="0"/>
        <w:spacing w:before="200" w:line-rule="auto"/>
        <w:ind w:firstLine="540"/>
        <w:jc w:val="both"/>
      </w:pPr>
      <w:r>
        <w:rPr>
          <w:sz w:val="20"/>
        </w:rPr>
        <w:t xml:space="preserve">По итогам анализа за 2016 - 2018 годы основным импортером Курской области по товарной группе "аналоги маргарина, жидкий маргарин" является Украина (99,9%). По сравнению с регионами-лидерами ЦФО экспортный портфель Курской области сильно концентрирован (например, Белгородская область экспортирует данный товар в 19 стран). Лидерами по объему экспорта являются Белгородская, Смоленская и Воронежская области, которые поставляют свою продукцию в Казахстан, Беларусь, Узбекистан, Таджикистан. На долю данных стран в российском экспорте аналогов маргарина, жидкого маргарина приходится 71% в денежном выражении или 106,13 млн. долл. США.</w:t>
      </w:r>
    </w:p>
    <w:p>
      <w:pPr>
        <w:pStyle w:val="0"/>
        <w:jc w:val="both"/>
      </w:pPr>
      <w:r>
        <w:rPr>
          <w:sz w:val="20"/>
        </w:rPr>
        <w:t xml:space="preserve">(в ред. </w:t>
      </w:r>
      <w:hyperlink w:history="0" r:id="rId138"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В категории товаров "Продукция химической промышленности, каучук" выделяются следующие основные товарные группы: конвейерные ленты, армированные текстилем; безводные краски и лаки на основе прочих полимеров; прочие резиновые изделия.</w:t>
      </w:r>
    </w:p>
    <w:p>
      <w:pPr>
        <w:pStyle w:val="0"/>
        <w:spacing w:before="200" w:line-rule="auto"/>
        <w:ind w:firstLine="540"/>
        <w:jc w:val="both"/>
      </w:pPr>
      <w:r>
        <w:rPr>
          <w:sz w:val="20"/>
        </w:rPr>
        <w:t xml:space="preserve">Курская область является лидером в Российской Федерации по экспорту конвейерных лент, армированных текстилем, с объемом экспортных поставок 15 млн. долл. США. Для развития экспорта данной товарной группы наиболее привлекательными по итогам анализа за 2016 - 2018 годы являлись рынки США, Канады, Германии, Мексики, Нидерландов, Франции, которые в 2017 году импортировали продукции на 502 млн. долл. США.</w:t>
      </w:r>
    </w:p>
    <w:p>
      <w:pPr>
        <w:pStyle w:val="0"/>
        <w:jc w:val="both"/>
      </w:pPr>
      <w:r>
        <w:rPr>
          <w:sz w:val="20"/>
        </w:rPr>
        <w:t xml:space="preserve">(в ред. </w:t>
      </w:r>
      <w:hyperlink w:history="0" r:id="rId139"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На долю экспорта Курской области безводных красок и лаков на основе прочих полимеров приходится 6,2% общего экспорта Российской Федерации по данной товарной группе. Поставки осуществлялись в 2 страны - Украину и Узбекистан. При этом доля Украины составляла 99,88%. У других регионов Центрального федерального округа диверсификация экспортного портфеля по данному товару более высокая - у Московской области основным импортером являлась Германия (24,6% экспорта), у Ярославской и Белгородской областей - Беларусь (39,3 и 35,4% экспорта соответственно). Для Курской области возможен выход на рынки Казахстана, Беларуси, Киргизии, Индии, Монголии, Армении, Молдовы, Таджикистана.</w:t>
      </w:r>
    </w:p>
    <w:p>
      <w:pPr>
        <w:pStyle w:val="0"/>
        <w:jc w:val="both"/>
      </w:pPr>
      <w:r>
        <w:rPr>
          <w:sz w:val="20"/>
        </w:rPr>
        <w:t xml:space="preserve">(в ред. </w:t>
      </w:r>
      <w:hyperlink w:history="0" r:id="rId140"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По экспортным поставкам прочих резиновых изделий на долю Курской области приходится 4,6% экспорта Российской Федерации. Регион экспортирует продукцию в 16 стран, что меньше, чем у Московской (41 страна) и Ярославской (25 стран) областей. Стратегически целесообразно развивать существующие рынки - Казахстан (доля страны в экспорте Курской области 4,4% при средней доле в экспорте Российской Федерации 24,2%), а также выходить новые рынки сбыта - Индия (с долей экспорта в Российской Федерации 8%) и Китай (с долей экспорта в Российской Федерации 4,8%).</w:t>
      </w:r>
    </w:p>
    <w:p>
      <w:pPr>
        <w:pStyle w:val="0"/>
        <w:jc w:val="both"/>
      </w:pPr>
      <w:r>
        <w:rPr>
          <w:sz w:val="20"/>
        </w:rPr>
        <w:t xml:space="preserve">(в ред. </w:t>
      </w:r>
      <w:hyperlink w:history="0" r:id="rId141"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В категории товаров "Машины, оборудование и транспортные средства" выделяются следующие товарные группы: легковые автомобили с бензиновым двигателем 1500 - 3000 куб. см, свинцовые аккумуляторы для запуска двигателей, легковые автомобили с дизельным двигателем от 2500 куб. см, автоматические выключатели на напряжение до 1000 В, кассовые аппараты, низковольтные электрораспределительные устройства в сборках, прочие низковольтные переключатели.</w:t>
      </w:r>
    </w:p>
    <w:p>
      <w:pPr>
        <w:pStyle w:val="0"/>
        <w:spacing w:before="200" w:line-rule="auto"/>
        <w:ind w:firstLine="540"/>
        <w:jc w:val="both"/>
      </w:pPr>
      <w:r>
        <w:rPr>
          <w:sz w:val="20"/>
        </w:rPr>
        <w:t xml:space="preserve">Курская область является одним из основных экспортеров свинцовых аккумуляторов для запуска двигателей в России. Для расширения объемов экспорта возможно увеличение поставок в Таджикистан, а также выход на рынки дружественных стран.</w:t>
      </w:r>
    </w:p>
    <w:p>
      <w:pPr>
        <w:pStyle w:val="0"/>
        <w:jc w:val="both"/>
      </w:pPr>
      <w:r>
        <w:rPr>
          <w:sz w:val="20"/>
        </w:rPr>
        <w:t xml:space="preserve">(в ред. </w:t>
      </w:r>
      <w:hyperlink w:history="0" r:id="rId142"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По объему экспорта легковых автомобилей от 2500 куб. см Курская область является вторым регионом в Центральном федеральном округе. В 2016 - 2018 годы основными рынками сбыта данной продукции являлись Германия, Китай и США. Потенциальными рынками сбыта с большими объемами закупок являются Белоруссия и Казахстан.</w:t>
      </w:r>
    </w:p>
    <w:p>
      <w:pPr>
        <w:pStyle w:val="0"/>
        <w:jc w:val="both"/>
      </w:pPr>
      <w:r>
        <w:rPr>
          <w:sz w:val="20"/>
        </w:rPr>
        <w:t xml:space="preserve">(в ред. </w:t>
      </w:r>
      <w:hyperlink w:history="0" r:id="rId143"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Курская область является лидером в ЦФО и одним из лидеров по экспорту автоматических выключателей на напряжение до 1000 В в России (с долей 18% в экспорте Российской Федерации). Регион поставляет данную продукцию в 9 стран, при этом количество стран-импортеров Московской и Калужской областей составляет 26 и 6, соответственно. Расширение экспортных поставок Курской области возможно за счет увеличения доли экспорта на существующих рынках - Казахстан (ведущий импортер автоматических выключателей на напряжение до 1000 В), Азербайджан и Армения, а также путем выхода на новые рынки - Индия и Китай.</w:t>
      </w:r>
    </w:p>
    <w:p>
      <w:pPr>
        <w:pStyle w:val="0"/>
        <w:jc w:val="both"/>
      </w:pPr>
      <w:r>
        <w:rPr>
          <w:sz w:val="20"/>
        </w:rPr>
        <w:t xml:space="preserve">(в ред. </w:t>
      </w:r>
      <w:hyperlink w:history="0" r:id="rId144"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По экспорту кассовых аппаратов Курская область является лидером среди регионов ЦФО при доле в экспорте Российской Федерации 15,9%. Учитывая, что доля Казахстана в экспорте Курской области по данному товару равна 10,7% при доле страны в экспорте Российской Федерации 22,2%, возможно увеличение экспортных поставок в Казахстан.</w:t>
      </w:r>
    </w:p>
    <w:p>
      <w:pPr>
        <w:pStyle w:val="0"/>
        <w:spacing w:before="200" w:line-rule="auto"/>
        <w:ind w:firstLine="540"/>
        <w:jc w:val="both"/>
      </w:pPr>
      <w:r>
        <w:rPr>
          <w:sz w:val="20"/>
        </w:rPr>
        <w:t xml:space="preserve">По итогам анализа за 2017 год Курская область экспортировала низковольтные электрораспределительные устройства в сборках в 6 стран, при этом доля Украины составляла 76,3%. Экспорт лидера Центрального федерального округа - Московской области по данной товарной группе более диверсифицирован - продукция поставлялась в 42 страны с наибольшей долей Беларуси 46,6%. В объеме экспорта Курской области доля Беларуси достигала 2,84%. Возможен рост экспорта за счет рынков Узбекистана, Китая, Индии, Монголии, Армении.</w:t>
      </w:r>
    </w:p>
    <w:p>
      <w:pPr>
        <w:pStyle w:val="0"/>
        <w:jc w:val="both"/>
      </w:pPr>
      <w:r>
        <w:rPr>
          <w:sz w:val="20"/>
        </w:rPr>
        <w:t xml:space="preserve">(в ред. </w:t>
      </w:r>
      <w:hyperlink w:history="0" r:id="rId145"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Экспорт прочих низковольтных переключателей в 2017 году составлял 1,67 млн. долл. США (4,28% суммарного экспорта Российской Федерации) при поставках в 8 стран. Экспорт Курской области в сравнении с лидерами Центрального федерального округа был высоко концентрирован, в то время как география экспорта Рязанской области насчитывала 24 страны (Гонконг и Китай - наиболее крупные импортеры), Московская область поставляла продукцию в 43 страны (наибольшая доля приходится на Казахстан и Белоруссию). Для Курской области возможен выход на рынки стран Китая, Индии, а также Гонконга как основного импортера прочих низковольтных переключателей из Российской Федерации.</w:t>
      </w:r>
    </w:p>
    <w:p>
      <w:pPr>
        <w:pStyle w:val="0"/>
        <w:jc w:val="both"/>
      </w:pPr>
      <w:r>
        <w:rPr>
          <w:sz w:val="20"/>
        </w:rPr>
        <w:t xml:space="preserve">(в ред. </w:t>
      </w:r>
      <w:hyperlink w:history="0" r:id="rId146"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ind w:firstLine="540"/>
        <w:jc w:val="both"/>
      </w:pPr>
      <w:r>
        <w:rPr>
          <w:sz w:val="20"/>
        </w:rPr>
      </w:r>
    </w:p>
    <w:p>
      <w:pPr>
        <w:pStyle w:val="0"/>
        <w:ind w:firstLine="540"/>
        <w:jc w:val="both"/>
      </w:pPr>
      <w:r>
        <w:rPr>
          <w:sz w:val="20"/>
        </w:rPr>
        <w:t xml:space="preserve">Абзацы 26 - 27 утратили силу. - </w:t>
      </w:r>
      <w:hyperlink w:history="0" r:id="rId147"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w:t>
        </w:r>
      </w:hyperlink>
      <w:r>
        <w:rPr>
          <w:sz w:val="20"/>
        </w:rPr>
        <w:t xml:space="preserve"> Курской области от 06.10.2023 N 73-ЗКО.</w:t>
      </w:r>
    </w:p>
    <w:p>
      <w:pPr>
        <w:pStyle w:val="0"/>
        <w:jc w:val="both"/>
      </w:pPr>
      <w:r>
        <w:rPr>
          <w:sz w:val="20"/>
        </w:rPr>
      </w:r>
    </w:p>
    <w:p>
      <w:pPr>
        <w:pStyle w:val="0"/>
        <w:outlineLvl w:val="5"/>
        <w:jc w:val="right"/>
      </w:pPr>
      <w:r>
        <w:rPr>
          <w:sz w:val="20"/>
        </w:rPr>
        <w:t xml:space="preserve">Таблица N 15</w:t>
      </w:r>
    </w:p>
    <w:p>
      <w:pPr>
        <w:pStyle w:val="0"/>
        <w:jc w:val="center"/>
      </w:pPr>
      <w:r>
        <w:rPr>
          <w:sz w:val="20"/>
        </w:rPr>
      </w:r>
    </w:p>
    <w:p>
      <w:pPr>
        <w:pStyle w:val="2"/>
        <w:jc w:val="center"/>
      </w:pPr>
      <w:r>
        <w:rPr>
          <w:sz w:val="20"/>
        </w:rPr>
        <w:t xml:space="preserve">Ренкинг РЭЦ привлекательности зарубежных страновых рынков</w:t>
      </w:r>
    </w:p>
    <w:p>
      <w:pPr>
        <w:pStyle w:val="0"/>
        <w:jc w:val="center"/>
      </w:pPr>
      <w:r>
        <w:rPr>
          <w:sz w:val="20"/>
        </w:rPr>
      </w:r>
    </w:p>
    <w:p>
      <w:pPr>
        <w:pStyle w:val="0"/>
        <w:ind w:firstLine="540"/>
        <w:jc w:val="both"/>
      </w:pPr>
      <w:r>
        <w:rPr>
          <w:sz w:val="20"/>
        </w:rPr>
        <w:t xml:space="preserve">Утратила силу. - </w:t>
      </w:r>
      <w:hyperlink w:history="0" r:id="rId148"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w:t>
        </w:r>
      </w:hyperlink>
      <w:r>
        <w:rPr>
          <w:sz w:val="20"/>
        </w:rPr>
        <w:t xml:space="preserve"> Курской области от 06.10.2023 N 73-ЗКО.</w:t>
      </w:r>
    </w:p>
    <w:p>
      <w:pPr>
        <w:pStyle w:val="0"/>
        <w:ind w:firstLine="540"/>
        <w:jc w:val="both"/>
      </w:pPr>
      <w:r>
        <w:rPr>
          <w:sz w:val="20"/>
        </w:rPr>
      </w:r>
    </w:p>
    <w:p>
      <w:pPr>
        <w:pStyle w:val="2"/>
        <w:outlineLvl w:val="5"/>
        <w:jc w:val="center"/>
      </w:pPr>
      <w:r>
        <w:rPr>
          <w:sz w:val="20"/>
        </w:rPr>
        <w:t xml:space="preserve">Страны, в которых целесообразно</w:t>
      </w:r>
    </w:p>
    <w:p>
      <w:pPr>
        <w:pStyle w:val="2"/>
        <w:jc w:val="center"/>
      </w:pPr>
      <w:r>
        <w:rPr>
          <w:sz w:val="20"/>
        </w:rPr>
        <w:t xml:space="preserve">обеспечить присутствие Курской области</w:t>
      </w:r>
    </w:p>
    <w:p>
      <w:pPr>
        <w:pStyle w:val="0"/>
        <w:jc w:val="both"/>
      </w:pPr>
      <w:r>
        <w:rPr>
          <w:sz w:val="20"/>
        </w:rPr>
        <w:t xml:space="preserve">(абзац введен </w:t>
      </w:r>
      <w:hyperlink w:history="0" r:id="rId149"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Законом</w:t>
        </w:r>
      </w:hyperlink>
      <w:r>
        <w:rPr>
          <w:sz w:val="20"/>
        </w:rPr>
        <w:t xml:space="preserve"> Курской области от 06.10.2023 N 73-ЗКО)</w:t>
      </w:r>
    </w:p>
    <w:p>
      <w:pPr>
        <w:pStyle w:val="0"/>
        <w:jc w:val="center"/>
      </w:pPr>
      <w:r>
        <w:rPr>
          <w:sz w:val="20"/>
        </w:rPr>
      </w:r>
    </w:p>
    <w:p>
      <w:pPr>
        <w:pStyle w:val="0"/>
        <w:ind w:firstLine="540"/>
        <w:jc w:val="both"/>
      </w:pPr>
      <w:r>
        <w:rPr>
          <w:sz w:val="20"/>
        </w:rPr>
        <w:t xml:space="preserve">Исходя из приведенного анализа, в перспективе целесообразно обеспечить присутствие Курской области в следующих странах: Республика Беларусь, Республика Казахстан, Китай, Узбекистан, Республика Молдова, Индия.</w:t>
      </w:r>
    </w:p>
    <w:p>
      <w:pPr>
        <w:pStyle w:val="0"/>
        <w:jc w:val="both"/>
      </w:pPr>
      <w:r>
        <w:rPr>
          <w:sz w:val="20"/>
        </w:rPr>
        <w:t xml:space="preserve">(абзац введен </w:t>
      </w:r>
      <w:hyperlink w:history="0" r:id="rId150"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Законом</w:t>
        </w:r>
      </w:hyperlink>
      <w:r>
        <w:rPr>
          <w:sz w:val="20"/>
        </w:rPr>
        <w:t xml:space="preserve"> Курской области от 06.10.2023 N 73-ЗКО)</w:t>
      </w:r>
    </w:p>
    <w:p>
      <w:pPr>
        <w:pStyle w:val="0"/>
        <w:ind w:firstLine="540"/>
        <w:jc w:val="both"/>
      </w:pPr>
      <w:r>
        <w:rPr>
          <w:sz w:val="20"/>
        </w:rPr>
      </w:r>
    </w:p>
    <w:p>
      <w:pPr>
        <w:pStyle w:val="2"/>
        <w:outlineLvl w:val="2"/>
        <w:jc w:val="center"/>
      </w:pPr>
      <w:r>
        <w:rPr>
          <w:sz w:val="20"/>
        </w:rPr>
        <w:t xml:space="preserve">3. Барьеры и ограничения для развития экспорта</w:t>
      </w:r>
    </w:p>
    <w:p>
      <w:pPr>
        <w:pStyle w:val="0"/>
        <w:ind w:firstLine="540"/>
        <w:jc w:val="both"/>
      </w:pPr>
      <w:r>
        <w:rPr>
          <w:sz w:val="20"/>
        </w:rPr>
      </w:r>
    </w:p>
    <w:p>
      <w:pPr>
        <w:pStyle w:val="2"/>
        <w:outlineLvl w:val="3"/>
        <w:ind w:firstLine="540"/>
        <w:jc w:val="both"/>
      </w:pPr>
      <w:r>
        <w:rPr>
          <w:sz w:val="20"/>
        </w:rPr>
        <w:t xml:space="preserve">3.1. Механизмы выявления и снижения барьеров для внешней торговли Курской области</w:t>
      </w:r>
    </w:p>
    <w:p>
      <w:pPr>
        <w:pStyle w:val="0"/>
        <w:ind w:firstLine="540"/>
        <w:jc w:val="both"/>
      </w:pPr>
      <w:r>
        <w:rPr>
          <w:sz w:val="20"/>
        </w:rPr>
      </w:r>
    </w:p>
    <w:p>
      <w:pPr>
        <w:pStyle w:val="0"/>
        <w:ind w:firstLine="540"/>
        <w:jc w:val="both"/>
      </w:pPr>
      <w:r>
        <w:rPr>
          <w:sz w:val="20"/>
        </w:rPr>
        <w:t xml:space="preserve">В ходе внешнеторговой деятельности предприятия Курской области, планирующие или осуществляющие поставки продукции за рубеж, сталкиваются с барьерами, которые препятствуют ведению экспортной деятельности. Все барьеры можно разделить на внутренние, которые связаны с детальностью предприятий на территории Российской Федерации и не зависят напрямую от действий зарубежных стран, и внешние, которые, как правило, устанавливаются зарубежными странами и направлены на ограничение выхода иностранных производителей на свой рынок.</w:t>
      </w:r>
    </w:p>
    <w:p>
      <w:pPr>
        <w:pStyle w:val="0"/>
        <w:spacing w:before="200" w:line-rule="auto"/>
        <w:ind w:firstLine="540"/>
        <w:jc w:val="both"/>
      </w:pPr>
      <w:r>
        <w:rPr>
          <w:sz w:val="20"/>
        </w:rPr>
        <w:t xml:space="preserve">К числу внутренних барьеров, как правило, относятся следующие основные группы ограничений:</w:t>
      </w:r>
    </w:p>
    <w:p>
      <w:pPr>
        <w:pStyle w:val="0"/>
        <w:spacing w:before="200" w:line-rule="auto"/>
        <w:ind w:firstLine="540"/>
        <w:jc w:val="both"/>
      </w:pPr>
      <w:r>
        <w:rPr>
          <w:sz w:val="20"/>
        </w:rPr>
        <w:t xml:space="preserve">1) препятствия, затрудняющие инициацию экспортной деятельности, - нехватка финансирования для выхода на иностранные рынки, высокая стоимость капитала, недостаток информации о зарубежных рынках, слабые связи с потенциальными потребителями за рубежом. Такие барьеры являются фундаментальными препятствиями, ограничивающими потенциал роста числа предприятий-экспортеров, в основном в сфере малого и среднего бизнеса;</w:t>
      </w:r>
    </w:p>
    <w:p>
      <w:pPr>
        <w:pStyle w:val="0"/>
        <w:spacing w:before="200" w:line-rule="auto"/>
        <w:ind w:firstLine="540"/>
        <w:jc w:val="both"/>
      </w:pPr>
      <w:r>
        <w:rPr>
          <w:sz w:val="20"/>
        </w:rPr>
        <w:t xml:space="preserve">2) информационные барьеры - недостаток доступных сведений о ценовой, потребительской и конкурентной конъюнктурах на иностранных рынках. Низкая осведомленность о положении дел на зарубежных рынках также затрудняет выбор оптимальных партнеров, что может привести к падению эффективности экспортной торговли;</w:t>
      </w:r>
    </w:p>
    <w:p>
      <w:pPr>
        <w:pStyle w:val="0"/>
        <w:spacing w:before="200" w:line-rule="auto"/>
        <w:ind w:firstLine="540"/>
        <w:jc w:val="both"/>
      </w:pPr>
      <w:r>
        <w:rPr>
          <w:sz w:val="20"/>
        </w:rPr>
        <w:t xml:space="preserve">3) макроэкономические ограничения - недостаточное развитие транспортно-логистической и энергетической инфраструктуры, нехватка квалифицированных специалистов. Подобные препятствия способны существенно затруднить экспортную деятельность, из-за чего предприятия Курской области могут проигрывать конкурентную борьбу альтернативным поставщикам;</w:t>
      </w:r>
    </w:p>
    <w:p>
      <w:pPr>
        <w:pStyle w:val="0"/>
        <w:spacing w:before="200" w:line-rule="auto"/>
        <w:ind w:firstLine="540"/>
        <w:jc w:val="both"/>
      </w:pPr>
      <w:r>
        <w:rPr>
          <w:sz w:val="20"/>
        </w:rPr>
        <w:t xml:space="preserve">4) административные барьеры - неэффективная организация взаимодействия бизнеса и государственных структур по вопросам экспорта. Такие препятствия могут привести к потере отдельных конкурентных преимуществ региональных производителей по сравнению с российскими и зарубежными компаниями, или стать причиной отказа от поставок продукции за рубеж.</w:t>
      </w:r>
    </w:p>
    <w:p>
      <w:pPr>
        <w:pStyle w:val="0"/>
        <w:spacing w:before="200" w:line-rule="auto"/>
        <w:ind w:firstLine="540"/>
        <w:jc w:val="both"/>
      </w:pPr>
      <w:r>
        <w:rPr>
          <w:sz w:val="20"/>
        </w:rPr>
        <w:t xml:space="preserve">Внутренние барьеры для экспортной деятельности - первые препятствия, с которыми сталкиваются предприятия и организации при построении международных торговых связей, поэтому выявление и устранение таких барьеров является ключевой задачей при реализации стратегии развития экспорта Курской области.</w:t>
      </w:r>
    </w:p>
    <w:p>
      <w:pPr>
        <w:pStyle w:val="0"/>
        <w:spacing w:before="200" w:line-rule="auto"/>
        <w:ind w:firstLine="540"/>
        <w:jc w:val="both"/>
      </w:pPr>
      <w:r>
        <w:rPr>
          <w:sz w:val="20"/>
        </w:rPr>
        <w:t xml:space="preserve">Предприятия-экспортеры Курской области также могут столкнуться с препятствиями на внешних рынках, ограничивающими ведение торговли или осложняющими конкуренцию. Внешние барьеры можно разделить на следующие основные группы:</w:t>
      </w:r>
    </w:p>
    <w:p>
      <w:pPr>
        <w:pStyle w:val="0"/>
        <w:spacing w:before="200" w:line-rule="auto"/>
        <w:ind w:firstLine="540"/>
        <w:jc w:val="both"/>
      </w:pPr>
      <w:r>
        <w:rPr>
          <w:sz w:val="20"/>
        </w:rPr>
        <w:t xml:space="preserve">1) меры контроля над ценами - меры, применяемые страной для поддержания внутренних цен на определенные товары при более низких импортных ценах, установления внутренних цен на определенные товары или увеличения налоговых поступлений. Согласно статистике Российского экспортного центра, на эту группу приходится 24,6% всех препятствий, с которыми могут столкнуться российские экспортеры. Примерами таких барьеров являются установка минимальных цен для импортируемых товаров, сезонные пошлины на поставки сельскохозяйственной продукции из-за рубежа и акцизные сборы;</w:t>
      </w:r>
    </w:p>
    <w:p>
      <w:pPr>
        <w:pStyle w:val="0"/>
        <w:spacing w:before="200" w:line-rule="auto"/>
        <w:ind w:firstLine="540"/>
        <w:jc w:val="both"/>
      </w:pPr>
      <w:r>
        <w:rPr>
          <w:sz w:val="20"/>
        </w:rPr>
        <w:t xml:space="preserve">2) меры количественного контроля - меры, направленные на ограничение объема поставок товаров в страну из-за рубежа. Статистика Российского экспортного центра говорит о том, что на эту группу приходится 22,8% всех препятствий при поставках российской продукции за рубеж. К ограничениям такого рода, среди прочего, относятся неавтоматическое лицензирование импортной продукции, квоты на объем импорта и тарифные квоты на импорт;</w:t>
      </w:r>
    </w:p>
    <w:p>
      <w:pPr>
        <w:pStyle w:val="0"/>
        <w:spacing w:before="200" w:line-rule="auto"/>
        <w:ind w:firstLine="540"/>
        <w:jc w:val="both"/>
      </w:pPr>
      <w:r>
        <w:rPr>
          <w:sz w:val="20"/>
        </w:rPr>
        <w:t xml:space="preserve">3) технические барьеры в торговле - меры, касающиеся технических требований к товарам и процедур оценки соответствия импортной продукции техническим требованиям и нормам. Согласно статистике Российского экспортного центра, на эту группу приходится 19,9% всех препятствий, с которыми могут столкнуться российские экспортеры. Примерами таких барьеров являются установка особого порядка регистрации продукции и требования к упаковке, качеству или эксплуатационным характеристикам продукции;</w:t>
      </w:r>
    </w:p>
    <w:p>
      <w:pPr>
        <w:pStyle w:val="0"/>
        <w:spacing w:before="200" w:line-rule="auto"/>
        <w:ind w:firstLine="540"/>
        <w:jc w:val="both"/>
      </w:pPr>
      <w:r>
        <w:rPr>
          <w:sz w:val="20"/>
        </w:rPr>
        <w:t xml:space="preserve">4) меры санитарного контроля - ограничения, применяемые к импортным товарам для защиты жизни или здоровья граждан от вредных веществ в пище, болезней и вредителей. Согласно статистике Российского экспортного центра, на эту группу приходится 18% всех препятствий, выявленных при экспорте российской продукции. К ограничениям такого рода, среди прочего, относятся запрет на импорт из конкретной страны, требования о регистрации импортеров или дополнительной обработке продукции;</w:t>
      </w:r>
    </w:p>
    <w:p>
      <w:pPr>
        <w:pStyle w:val="0"/>
        <w:spacing w:before="200" w:line-rule="auto"/>
        <w:ind w:firstLine="540"/>
        <w:jc w:val="both"/>
      </w:pPr>
      <w:r>
        <w:rPr>
          <w:sz w:val="20"/>
        </w:rPr>
        <w:t xml:space="preserve">5) меры торговой защиты - меры, применяемые для нейтрализации определенного негативного воздействия импорта на рынок импортирующей страны, в т.ч. меры по противодействию недобросовестной внешнеторговой практике. Согласно статистике Российского экспортного центра, на эту группу приходится 9,6% всех препятствий. Примерами таких барьеров являются антидемпинговые и компенсационные пошлины на импортные товары (последние применяются нейтрализации воздействия субсидий других стран);</w:t>
      </w:r>
    </w:p>
    <w:p>
      <w:pPr>
        <w:pStyle w:val="0"/>
        <w:spacing w:before="200" w:line-rule="auto"/>
        <w:ind w:firstLine="540"/>
        <w:jc w:val="both"/>
      </w:pPr>
      <w:r>
        <w:rPr>
          <w:sz w:val="20"/>
        </w:rPr>
        <w:t xml:space="preserve">6) другие специфические меры, ограничивающие внешнюю торговлю. Примерами таких ограничений являются обязательная предотгрузочная инспекция импортной продукции (Нигерия), наличие эксклюзивного права на импорт у конкретных предприятий (Япония) и обязательное требование о привлечении национального транспортного перевозчика (Иран).</w:t>
      </w:r>
    </w:p>
    <w:p>
      <w:pPr>
        <w:pStyle w:val="0"/>
        <w:spacing w:before="200" w:line-rule="auto"/>
        <w:ind w:firstLine="540"/>
        <w:jc w:val="both"/>
      </w:pPr>
      <w:r>
        <w:rPr>
          <w:sz w:val="20"/>
        </w:rPr>
        <w:t xml:space="preserve">Риск возникновения подобных препятствий повышается в условиях напряженной политической ситуации, что делает необходимым создание механизмов выявления и снижения экспортных барьеров как внутри России, так и на иностранных рынках. В качестве механизмов выявления и снижения экспортных барьеров на уровне региона могут применяться:</w:t>
      </w:r>
    </w:p>
    <w:p>
      <w:pPr>
        <w:pStyle w:val="0"/>
        <w:spacing w:before="200" w:line-rule="auto"/>
        <w:ind w:firstLine="540"/>
        <w:jc w:val="both"/>
      </w:pPr>
      <w:r>
        <w:rPr>
          <w:sz w:val="20"/>
        </w:rPr>
        <w:t xml:space="preserve">1) формирование и актуализация Реестра барьеров внешней торговли Курской области;</w:t>
      </w:r>
    </w:p>
    <w:p>
      <w:pPr>
        <w:pStyle w:val="0"/>
        <w:spacing w:before="200" w:line-rule="auto"/>
        <w:ind w:firstLine="540"/>
        <w:jc w:val="both"/>
      </w:pPr>
      <w:r>
        <w:rPr>
          <w:sz w:val="20"/>
        </w:rPr>
        <w:t xml:space="preserve">2) система обратной связи с бизнесом, планирующим или осуществляющим экспортную деятельность.</w:t>
      </w:r>
    </w:p>
    <w:p>
      <w:pPr>
        <w:pStyle w:val="0"/>
        <w:spacing w:before="200" w:line-rule="auto"/>
        <w:ind w:firstLine="540"/>
        <w:jc w:val="both"/>
      </w:pPr>
      <w:r>
        <w:rPr>
          <w:sz w:val="20"/>
        </w:rPr>
        <w:t xml:space="preserve">Реестр барьеров внешней торговли Курской области будет охватывать как внутренние, так и внешние препятствия, сгруппированные по странам и товарным рынкам. Наличие упорядоченного списка препятствий при осуществлении внешнеторговой деятельности позволит поддерживать целостное и актуальное представление о проблемах экспортеров и разрабатывать эффективные решения для снижения барьеров. В качестве основы при создании реестра будут использоваться существующие аналоги: "Навигатор по барьерам и требованиям рынков" Российского экспортного центра, в рамках которого описано более 700 препятствий для экспортной торговли в 254 странах и территориальных образованиях; "Белая книга" препятствий Евразийского экономического союза (ЕАЭС), описывающая экспортные барьеры, которые действуют на территории стран - членов ЕАЭС. Перечень внутренних барьеров будет формироваться на основании интервью с представителями предприятий-экспортеров Курской области или любых других форм получения обратной связи.</w:t>
      </w:r>
    </w:p>
    <w:p>
      <w:pPr>
        <w:pStyle w:val="0"/>
        <w:spacing w:before="200" w:line-rule="auto"/>
        <w:ind w:firstLine="540"/>
        <w:jc w:val="both"/>
      </w:pPr>
      <w:r>
        <w:rPr>
          <w:sz w:val="20"/>
        </w:rPr>
        <w:t xml:space="preserve">Регулярная актуализация Реестра барьеров внешней торговли Курской области будет осуществляться посредством нескольких информационных каналов. Одним из возможных путей актуализации является анализ и учет изменений, вносимых в "Навигатор по барьерам и требованиям рынков" РЭЦ и "Белую книгу" ЕАЭС. Также для этих целей будут организовываться регулярные встречи участников инфраструктуры поддержки экспорта с представителями бизнеса для получения информации о сложившейся ситуации во внешнеторговой деятельности.</w:t>
      </w:r>
    </w:p>
    <w:p>
      <w:pPr>
        <w:pStyle w:val="0"/>
        <w:spacing w:before="200" w:line-rule="auto"/>
        <w:ind w:firstLine="540"/>
        <w:jc w:val="both"/>
      </w:pPr>
      <w:r>
        <w:rPr>
          <w:sz w:val="20"/>
        </w:rPr>
        <w:t xml:space="preserve">Система обратной связи с предприятиями, планирующими или осуществляющими экспортную деятельность, включает в себя инструменты как получения актуальной информации от экспортеров о выявленных ограничениях при непосредственном общении (бизнес-завтраки, конференции, семинары), так и распространения информации о действующих барьерах (размещение Реестра барьеров внешней торговли Курской области в открытом доступе на сайте Губернатора и Правительства Курской области, сайте Центра поддержки экспорта в сети Интернет, публикация материалов о ситуации во внешней торговле в региональных СМИ). Важнейшим элементом данного механизма является реагирование участников инфраструктуры поддержки экспорта на появление новых барьеров, что включает в себя проведение специальных информационных или образовательных мероприятий, внесение требуемых изменений в региональное законодательство, своевременная передача информации о выявленных препятствиях для экспорта в федеральные органы исполнительной власти, ответственные за устранение барьеров в сфере внешней торговли.</w:t>
      </w:r>
    </w:p>
    <w:p>
      <w:pPr>
        <w:pStyle w:val="0"/>
        <w:jc w:val="both"/>
      </w:pPr>
      <w:r>
        <w:rPr>
          <w:sz w:val="20"/>
        </w:rPr>
        <w:t xml:space="preserve">(в ред. </w:t>
      </w:r>
      <w:hyperlink w:history="0" r:id="rId151"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ind w:firstLine="540"/>
        <w:jc w:val="both"/>
      </w:pPr>
      <w:r>
        <w:rPr>
          <w:sz w:val="20"/>
        </w:rPr>
      </w:r>
    </w:p>
    <w:p>
      <w:pPr>
        <w:pStyle w:val="2"/>
        <w:outlineLvl w:val="3"/>
        <w:ind w:firstLine="540"/>
        <w:jc w:val="both"/>
      </w:pPr>
      <w:r>
        <w:rPr>
          <w:sz w:val="20"/>
        </w:rPr>
        <w:t xml:space="preserve">3.2. Ограничения в связи с географическим положением региона</w:t>
      </w:r>
    </w:p>
    <w:p>
      <w:pPr>
        <w:pStyle w:val="0"/>
        <w:jc w:val="both"/>
      </w:pPr>
      <w:r>
        <w:rPr>
          <w:sz w:val="20"/>
        </w:rPr>
      </w:r>
    </w:p>
    <w:p>
      <w:pPr>
        <w:pStyle w:val="0"/>
        <w:ind w:firstLine="540"/>
        <w:jc w:val="both"/>
      </w:pPr>
      <w:r>
        <w:rPr>
          <w:sz w:val="20"/>
        </w:rPr>
        <w:t xml:space="preserve">Основные ограничения во внешнеэкономической деятельности Курской области, обусловленные ее географическим положением, связаны, прежде всего, с общей границей с Украиной. Несмотря на то, что Украина является одним из ведущих импортеров продукции Курской области, поддержание достигнутого уровня экспорта и его расширение представляют собой ключевой вызов для региона. До недавнего времени наблюдалось снижение объема экспорта Курской области на Украину. В 2016 году экспортные поставки региона снизились по сравнению с 2014 годом на 27%, составив 51,3 млн. долл. США. Однако, в 2017 году Курская область резко нарастила экспорт, вернувшись на уровень 2014 года, а в 2018 году еще увеличила экспортные поставки на 12% до 80 млн. долл. США.</w:t>
      </w:r>
    </w:p>
    <w:p>
      <w:pPr>
        <w:pStyle w:val="0"/>
        <w:spacing w:before="200" w:line-rule="auto"/>
        <w:ind w:firstLine="540"/>
        <w:jc w:val="both"/>
      </w:pPr>
      <w:r>
        <w:rPr>
          <w:sz w:val="20"/>
        </w:rPr>
        <w:t xml:space="preserve">В связи с ухудшением отношений между Россией и Украиной ограничены товарные потоки между двумя странами. Курская область практически потеряла один из крупнейших рынков сбыта с наработанными связями и перспективами расширения. Свертывание приграничного сотрудничества Курской области со стороны России и Сумской области со стороны Украины уже привело к выпадению существенной части доходов из общего объема экспортных поступлений региона. В сложившейся ситуации высоки риски замещения украинскими потребителями продукции курских производителей продукцией из других стран. Это, прежде всего, уже отразилось на предприятиях промышленности Курской области, в первую очередь нефтехимии, поскольку доля промышленных товаров в общем объеме регионального экспорта на Украину составляла 70%.</w:t>
      </w:r>
    </w:p>
    <w:p>
      <w:pPr>
        <w:pStyle w:val="0"/>
        <w:jc w:val="both"/>
      </w:pPr>
      <w:r>
        <w:rPr>
          <w:sz w:val="20"/>
        </w:rPr>
        <w:t xml:space="preserve">(в ред. </w:t>
      </w:r>
      <w:hyperlink w:history="0" r:id="rId152"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В случае стабилизации и возможного улучшения ситуации в российско-украинских отношениях предприятия Курской области смогут реализовать преимущества приграничного положения региона, нарастив экспорт за счет короткого транспортного плеча и сложившихся экономических связей. При этом можно ожидать высоких темпов роста экспорта (например, объем поставок свинца увеличился за период 2016 - 2018 гг. в 5 раз). Кроме этого, учитывая относительно высокую степень диверсификации экономики Курской области, имеющееся номенклатура экспортируемой на Украину продукции может быть расширена (в 2016 году в экспортном портфеле товаров насчитывалось 286 товарных позиций (с детализацией до 10 знака ТН ВЭД), в 2018 году их число возросло до 300).</w:t>
      </w:r>
    </w:p>
    <w:p>
      <w:pPr>
        <w:pStyle w:val="0"/>
        <w:jc w:val="both"/>
      </w:pPr>
      <w:r>
        <w:rPr>
          <w:sz w:val="20"/>
        </w:rPr>
      </w:r>
    </w:p>
    <w:p>
      <w:pPr>
        <w:pStyle w:val="2"/>
        <w:outlineLvl w:val="2"/>
        <w:jc w:val="center"/>
      </w:pPr>
      <w:r>
        <w:rPr>
          <w:sz w:val="20"/>
        </w:rPr>
        <w:t xml:space="preserve">4. Цели и задачи Курской области по развитию экспорта</w:t>
      </w:r>
    </w:p>
    <w:p>
      <w:pPr>
        <w:pStyle w:val="0"/>
        <w:jc w:val="center"/>
      </w:pPr>
      <w:r>
        <w:rPr>
          <w:sz w:val="20"/>
        </w:rPr>
        <w:t xml:space="preserve">(в ред. </w:t>
      </w:r>
      <w:hyperlink w:history="0" r:id="rId153"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w:t>
      </w:r>
    </w:p>
    <w:p>
      <w:pPr>
        <w:pStyle w:val="0"/>
        <w:jc w:val="center"/>
      </w:pPr>
      <w:r>
        <w:rPr>
          <w:sz w:val="20"/>
        </w:rPr>
        <w:t xml:space="preserve">от 06.10.2023 N 73-ЗКО)</w:t>
      </w:r>
    </w:p>
    <w:p>
      <w:pPr>
        <w:pStyle w:val="0"/>
      </w:pPr>
      <w:r>
        <w:rPr>
          <w:sz w:val="20"/>
        </w:rPr>
      </w:r>
    </w:p>
    <w:p>
      <w:pPr>
        <w:pStyle w:val="0"/>
        <w:ind w:firstLine="540"/>
        <w:jc w:val="both"/>
      </w:pPr>
      <w:r>
        <w:rPr>
          <w:sz w:val="20"/>
        </w:rPr>
        <w:t xml:space="preserve">Приоритетами в развитии экспортной деятельности Курской области на период до 2030 года являются:</w:t>
      </w:r>
    </w:p>
    <w:p>
      <w:pPr>
        <w:pStyle w:val="0"/>
        <w:spacing w:before="200" w:line-rule="auto"/>
        <w:ind w:firstLine="540"/>
        <w:jc w:val="both"/>
      </w:pPr>
      <w:r>
        <w:rPr>
          <w:sz w:val="20"/>
        </w:rPr>
        <w:t xml:space="preserve">1) развитие имеющейся специализации региона и использование преимуществ, проявленных как на российском, так и на мировом рынках. Успешность Курской области на внешних рынках связана с развитием предприятиями региона уникальных компетенций, которые составляют основу их конкурентных преимуществ. Выявленная отраслевая и географическая специализация региона определяет зоны, в отношении которых можно говорить о конкурентоспособности Курской области. Укрепление и дальнейшее развитие конкурентных позиций в данных зонах будет способствовать расширению экспортных поставок продукции региона;</w:t>
      </w:r>
    </w:p>
    <w:p>
      <w:pPr>
        <w:pStyle w:val="0"/>
        <w:spacing w:before="200" w:line-rule="auto"/>
        <w:ind w:firstLine="540"/>
        <w:jc w:val="both"/>
      </w:pPr>
      <w:r>
        <w:rPr>
          <w:sz w:val="20"/>
        </w:rPr>
        <w:t xml:space="preserve">2) диверсификация экспортной корзины как в разрезе товарных групп, так и по страновым рынкам. Экономика Курской области высоко диверсифицирована относительно других регионов Центрального федерального округа и Российской Федерации, что не нашло своего отражения в структуре экспорта. Регион обладает неиспользуемыми возможностями для наращивания экспортных объемов за счет изменений структуры экспорта в товарном разрезе и в разрезе географических рынков. Кроме этого, диверсификация экспорта позволит снизить негативное воздействие факторов мировой рыночной конъюнктуры на внешнеторговый оборот Курской области;</w:t>
      </w:r>
    </w:p>
    <w:p>
      <w:pPr>
        <w:pStyle w:val="0"/>
        <w:spacing w:before="200" w:line-rule="auto"/>
        <w:ind w:firstLine="540"/>
        <w:jc w:val="both"/>
      </w:pPr>
      <w:r>
        <w:rPr>
          <w:sz w:val="20"/>
        </w:rPr>
        <w:t xml:space="preserve">3) развитие промышленного экспорта и экспорта продукции АПК посредством обеспечения комфортных условий бизнесу;</w:t>
      </w:r>
    </w:p>
    <w:p>
      <w:pPr>
        <w:pStyle w:val="0"/>
        <w:spacing w:before="200" w:line-rule="auto"/>
        <w:ind w:firstLine="540"/>
        <w:jc w:val="both"/>
      </w:pPr>
      <w:r>
        <w:rPr>
          <w:sz w:val="20"/>
        </w:rPr>
        <w:t xml:space="preserve">4) вовлечение субъектов малого и среднего предпринимательства в экспортную деятельность посредством усиления региональных мер поддержки в условиях усиливающегося санкционного давления, что позволит снизить издержки по экспорту продукции и повысить ее конкурентоспособность, освоить новые рынки сбыта в дружественных странах;</w:t>
      </w:r>
    </w:p>
    <w:p>
      <w:pPr>
        <w:pStyle w:val="0"/>
        <w:spacing w:before="200" w:line-rule="auto"/>
        <w:ind w:firstLine="540"/>
        <w:jc w:val="both"/>
      </w:pPr>
      <w:r>
        <w:rPr>
          <w:sz w:val="20"/>
        </w:rPr>
        <w:t xml:space="preserve">5) укрепление зарубежных экономических связей на региональном уровне с дружественными странами. В условиях негативного фона в отношении российского бизнеса со стороны недружественных зарубежных стран ключевым для расширения экспорта Курской области становится установление партнерских отношений с дружественными странами и регионами, в том числе с теми странами, предприятия которых имеют деловые связи с курскими компаниями. Опираясь на устоявшиеся связи бизнеса в этих регионах и активно продвигая на этих территориях свои интересы, Курская область может расширять перечень экспортируемой продукции в масштабах соответствующих стран.</w:t>
      </w:r>
    </w:p>
    <w:p>
      <w:pPr>
        <w:pStyle w:val="0"/>
        <w:spacing w:before="200" w:line-rule="auto"/>
        <w:ind w:firstLine="540"/>
        <w:jc w:val="both"/>
      </w:pPr>
      <w:r>
        <w:rPr>
          <w:sz w:val="20"/>
        </w:rPr>
        <w:t xml:space="preserve">Основные направления развития экспорта Курской области учитывают стратегические ориентиры, определенные в рамках основного направления стратегического развития "Международная кооперация и экспорт", и точки прорывного роста, обозначенные Президентом Российской Федерации, и включают в себя:</w:t>
      </w:r>
    </w:p>
    <w:p>
      <w:pPr>
        <w:pStyle w:val="0"/>
        <w:spacing w:before="200" w:line-rule="auto"/>
        <w:ind w:firstLine="540"/>
        <w:jc w:val="both"/>
      </w:pPr>
      <w:r>
        <w:rPr>
          <w:sz w:val="20"/>
        </w:rPr>
        <w:t xml:space="preserve">1) расширение несырьевого неэнергетического экспорта;</w:t>
      </w:r>
    </w:p>
    <w:p>
      <w:pPr>
        <w:pStyle w:val="0"/>
        <w:spacing w:before="200" w:line-rule="auto"/>
        <w:ind w:firstLine="540"/>
        <w:jc w:val="both"/>
      </w:pPr>
      <w:r>
        <w:rPr>
          <w:sz w:val="20"/>
        </w:rPr>
        <w:t xml:space="preserve">2) вовлечение малых и средних предприятий в экспортную деятельность;</w:t>
      </w:r>
    </w:p>
    <w:p>
      <w:pPr>
        <w:pStyle w:val="0"/>
        <w:spacing w:before="200" w:line-rule="auto"/>
        <w:ind w:firstLine="540"/>
        <w:jc w:val="both"/>
      </w:pPr>
      <w:r>
        <w:rPr>
          <w:sz w:val="20"/>
        </w:rPr>
        <w:t xml:space="preserve">3) повышение эффективности системы поддержки экспорта.</w:t>
      </w:r>
    </w:p>
    <w:p>
      <w:pPr>
        <w:pStyle w:val="0"/>
        <w:spacing w:before="200" w:line-rule="auto"/>
        <w:ind w:firstLine="540"/>
        <w:jc w:val="both"/>
      </w:pPr>
      <w:r>
        <w:rPr>
          <w:sz w:val="20"/>
        </w:rPr>
        <w:t xml:space="preserve">В период до 2024 года Курская область является участником национального проекта "Международная кооперация и экспорт", реализуя региональные проекты - "Развитие экспорта продукции АПК Курской области" и "Системные меры развития международной кооперации и экспорта". Кроме этого, на территории Курской области реализуется региональный проект "Развитие экспорта медицинских услуг в Курской области" как составляющая национального проекта "Здравоохранение". Данные проекты направлены на достижение национальных целей, определенных в </w:t>
      </w:r>
      <w:hyperlink w:history="0" r:id="rId154"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Указе</w:t>
        </w:r>
      </w:hyperlink>
      <w:r>
        <w:rPr>
          <w:sz w:val="20"/>
        </w:rPr>
        <w:t xml:space="preserve"> Президента Российской Федерации от 21 июля 2020 года N 474 "О национальных целях развития Российской Федерации на период до 2030 года".</w:t>
      </w:r>
    </w:p>
    <w:p>
      <w:pPr>
        <w:pStyle w:val="0"/>
        <w:spacing w:before="200" w:line-rule="auto"/>
        <w:ind w:firstLine="540"/>
        <w:jc w:val="both"/>
      </w:pPr>
      <w:r>
        <w:rPr>
          <w:sz w:val="20"/>
        </w:rPr>
        <w:t xml:space="preserve">В целях ускорения динамики прироста объемов экспорта определяются следующие отрасли и секторы, которые станут приоритетными точками роста экономики Курской области:</w:t>
      </w:r>
    </w:p>
    <w:p>
      <w:pPr>
        <w:pStyle w:val="0"/>
        <w:spacing w:before="200" w:line-rule="auto"/>
        <w:ind w:firstLine="540"/>
        <w:jc w:val="both"/>
      </w:pPr>
      <w:r>
        <w:rPr>
          <w:sz w:val="20"/>
        </w:rPr>
        <w:t xml:space="preserve">1) агропромышленный сектор;</w:t>
      </w:r>
    </w:p>
    <w:p>
      <w:pPr>
        <w:pStyle w:val="0"/>
        <w:spacing w:before="200" w:line-rule="auto"/>
        <w:ind w:firstLine="540"/>
        <w:jc w:val="both"/>
      </w:pPr>
      <w:r>
        <w:rPr>
          <w:sz w:val="20"/>
        </w:rPr>
        <w:t xml:space="preserve">2) химическая промышленность;</w:t>
      </w:r>
    </w:p>
    <w:p>
      <w:pPr>
        <w:pStyle w:val="0"/>
        <w:spacing w:before="200" w:line-rule="auto"/>
        <w:ind w:firstLine="540"/>
        <w:jc w:val="both"/>
      </w:pPr>
      <w:r>
        <w:rPr>
          <w:sz w:val="20"/>
        </w:rPr>
        <w:t xml:space="preserve">3) фармацевтическое производство;</w:t>
      </w:r>
    </w:p>
    <w:p>
      <w:pPr>
        <w:pStyle w:val="0"/>
        <w:spacing w:before="200" w:line-rule="auto"/>
        <w:ind w:firstLine="540"/>
        <w:jc w:val="both"/>
      </w:pPr>
      <w:r>
        <w:rPr>
          <w:sz w:val="20"/>
        </w:rPr>
        <w:t xml:space="preserve">4) производство запасных частей для автомобилей.</w:t>
      </w:r>
    </w:p>
    <w:p>
      <w:pPr>
        <w:pStyle w:val="0"/>
        <w:spacing w:before="200" w:line-rule="auto"/>
        <w:ind w:firstLine="540"/>
        <w:jc w:val="both"/>
      </w:pPr>
      <w:r>
        <w:rPr>
          <w:sz w:val="20"/>
        </w:rPr>
        <w:t xml:space="preserve">Развитие экспортной деятельности Курской области в период до 2030 года осуществляется в соответствии с целевыми показателями, определенными Советом при Президенте Российской Федерации по стратегическому развитию и приоритетным проектам, а также указанными в паспортах национальных проектов, и будет направлено на достижение следующих целей:</w:t>
      </w:r>
    </w:p>
    <w:p>
      <w:pPr>
        <w:pStyle w:val="0"/>
        <w:spacing w:before="200" w:line-rule="auto"/>
        <w:ind w:firstLine="540"/>
        <w:jc w:val="both"/>
      </w:pPr>
      <w:r>
        <w:rPr>
          <w:sz w:val="20"/>
        </w:rPr>
        <w:t xml:space="preserve">1) рост объема несырьевого неэнергетического экспорта к 2030 году по сравнению с 2020 годом на 70%;</w:t>
      </w:r>
    </w:p>
    <w:p>
      <w:pPr>
        <w:pStyle w:val="0"/>
        <w:spacing w:before="200" w:line-rule="auto"/>
        <w:ind w:firstLine="540"/>
        <w:jc w:val="both"/>
      </w:pPr>
      <w:r>
        <w:rPr>
          <w:sz w:val="20"/>
        </w:rPr>
        <w:t xml:space="preserve">2) увеличение экспорта продукции агропромышленного комплекса на 70% к 2030 году;</w:t>
      </w:r>
    </w:p>
    <w:p>
      <w:pPr>
        <w:pStyle w:val="0"/>
        <w:spacing w:before="200" w:line-rule="auto"/>
        <w:ind w:firstLine="540"/>
        <w:jc w:val="both"/>
      </w:pPr>
      <w:r>
        <w:rPr>
          <w:sz w:val="20"/>
        </w:rPr>
        <w:t xml:space="preserve">3) увеличение количества предприятий-экспортеров из числа малого и среднего предпринимательства к 2030 году в 1,6 раза по сравнению с 2020 годом;</w:t>
      </w:r>
    </w:p>
    <w:p>
      <w:pPr>
        <w:pStyle w:val="0"/>
        <w:spacing w:before="200" w:line-rule="auto"/>
        <w:ind w:firstLine="540"/>
        <w:jc w:val="both"/>
      </w:pPr>
      <w:r>
        <w:rPr>
          <w:sz w:val="20"/>
        </w:rPr>
        <w:t xml:space="preserve">4) поддержание опережающих темпов роста экспорта в приоритетных отраслях экономики (производство агропромышленной продукции, по сравнению со среднероссийским уровнем).</w:t>
      </w:r>
    </w:p>
    <w:p>
      <w:pPr>
        <w:pStyle w:val="0"/>
        <w:spacing w:before="200" w:line-rule="auto"/>
        <w:ind w:firstLine="540"/>
        <w:jc w:val="both"/>
      </w:pPr>
      <w:r>
        <w:rPr>
          <w:sz w:val="20"/>
        </w:rPr>
        <w:t xml:space="preserve">Задачи, решение которых необходимо для достижения целей развития экспорта Курской области на период до 2030 года, включают в себя:</w:t>
      </w:r>
    </w:p>
    <w:p>
      <w:pPr>
        <w:pStyle w:val="0"/>
        <w:spacing w:before="200" w:line-rule="auto"/>
        <w:ind w:firstLine="540"/>
        <w:jc w:val="both"/>
      </w:pPr>
      <w:r>
        <w:rPr>
          <w:sz w:val="20"/>
        </w:rPr>
        <w:t xml:space="preserve">1) реализацию Региональной программы развития экспорта Курской области до 2030 года, утвержденной Губернатором Курской области от 19 декабря 2022 года (далее - Программа), включающей в себя три региональных проекта: "Развитие несырьевого неэнергетического экспорта промышленной продукции Курской области", "Развитие несырьевого неэнергетического экспорта продукции агропромышленного комплекса Курской области", "Развитие экспортного потенциала малого и среднего предпринимательства и увеличение объема несырьевого неэнергетического экспорта субъектов малого и среднего предпринимательства за счет услуг Центра поддержки экспорта".</w:t>
      </w:r>
    </w:p>
    <w:p>
      <w:pPr>
        <w:pStyle w:val="0"/>
        <w:spacing w:before="200" w:line-rule="auto"/>
        <w:ind w:firstLine="540"/>
        <w:jc w:val="both"/>
      </w:pPr>
      <w:r>
        <w:rPr>
          <w:sz w:val="20"/>
        </w:rPr>
        <w:t xml:space="preserve">Программой предусмотрены мероприятия и контрольные точки с указанием ответственных за исполнение и сроков, направленные на решение задач и результатов проектов для достижения целевых показателей.</w:t>
      </w:r>
    </w:p>
    <w:p>
      <w:pPr>
        <w:pStyle w:val="0"/>
        <w:spacing w:before="200" w:line-rule="auto"/>
        <w:ind w:firstLine="540"/>
        <w:jc w:val="both"/>
      </w:pPr>
      <w:r>
        <w:rPr>
          <w:sz w:val="20"/>
        </w:rPr>
        <w:t xml:space="preserve">Программа связана с государственными программами Курской области "</w:t>
      </w:r>
      <w:hyperlink w:history="0" r:id="rId155" w:tooltip="Постановление Администрации Курской области от 24.10.2013 N 774-па (ред. от 18.05.2023) &quot;Об утверждении государственной программы Курской области &quot;Развитие экономики и внешних связей Курской области&quot; (вместе с &quot;Перечнем утративших силу постановлений Администрации Курской области&quot;) {КонсультантПлюс}">
        <w:r>
          <w:rPr>
            <w:sz w:val="20"/>
            <w:color w:val="0000ff"/>
          </w:rPr>
          <w:t xml:space="preserve">Развитие экономики</w:t>
        </w:r>
      </w:hyperlink>
      <w:r>
        <w:rPr>
          <w:sz w:val="20"/>
        </w:rPr>
        <w:t xml:space="preserve"> и внешних связей Курской области", "</w:t>
      </w:r>
      <w:hyperlink w:history="0" r:id="rId156" w:tooltip="Постановление Администрации Курской области от 18.10.2013 N 744-па (ред. от 29.03.2023) &quot;Об утверждении государственной программы Курской области &quot;Развитие сельского хозяйства и регулирование рынков сельскохозяйственной продукции, сырья и продовольствия в Курской области&quot; (вместе с &quot;Перечнем нормативных правовых актов Администрации Курской области, признанных утратившими силу&quot;) {КонсультантПлюс}">
        <w:r>
          <w:rPr>
            <w:sz w:val="20"/>
            <w:color w:val="0000ff"/>
          </w:rPr>
          <w:t xml:space="preserve">Развитие сельского хозяйства</w:t>
        </w:r>
      </w:hyperlink>
      <w:r>
        <w:rPr>
          <w:sz w:val="20"/>
        </w:rPr>
        <w:t xml:space="preserve"> и регулирование рынков сельскохозяйственной продукции, сырья и продовольствия в Курской области", "</w:t>
      </w:r>
      <w:hyperlink w:history="0" r:id="rId157" w:tooltip="Постановление Администрации Курской области от 24.10.2013 N 778-па (ред. от 07.06.2023) &quot;Об утверждении государственной программы Курской области &quot;Развитие промышленности в Курской области и повышение ее конкурентоспособности&quot; {КонсультантПлюс}">
        <w:r>
          <w:rPr>
            <w:sz w:val="20"/>
            <w:color w:val="0000ff"/>
          </w:rPr>
          <w:t xml:space="preserve">Развитие промышленности</w:t>
        </w:r>
      </w:hyperlink>
      <w:r>
        <w:rPr>
          <w:sz w:val="20"/>
        </w:rPr>
        <w:t xml:space="preserve"> в Курской области и повышение ее конкурентоспособности";</w:t>
      </w:r>
    </w:p>
    <w:p>
      <w:pPr>
        <w:pStyle w:val="0"/>
        <w:spacing w:before="200" w:line-rule="auto"/>
        <w:ind w:firstLine="540"/>
        <w:jc w:val="both"/>
      </w:pPr>
      <w:r>
        <w:rPr>
          <w:sz w:val="20"/>
        </w:rPr>
        <w:t xml:space="preserve">2) развитие компетенций действующих экспортеров для повышения их конкурентоспособности на зарубежных рынках. Перечень целевых стран-импортеров будет формироваться на основании результатов анализа географии экспорта Курской области, рекомендаций АО "Российский экспортный центр" (далее - РЭЦ) и ревизии существующей структуры экспорта региона и Российской Федерации в разрезе отдельных товарных групп для выделения страновых рынков с наивысшей средней стоимостью импортируемых товаров. По каждой стране будут сформированы ключевые требования к импортируемой продукции (по товарным группам), выявлены имеющиеся разрывы с уровнем компетенций предприятий Курской области и определены мероприятия по ликвидации выявленных разрывов. Данные мероприятия лягут в основу плана по расширению межрегионального сотрудничества Курской области с зарубежными странами и будут учитываться при предоставлении финансовой и организационно-коммуникационной поддержки предприятиям-экспортерам и проведении образовательных мероприятий участниками системы поддержки экспорта;</w:t>
      </w:r>
    </w:p>
    <w:p>
      <w:pPr>
        <w:pStyle w:val="0"/>
        <w:spacing w:before="200" w:line-rule="auto"/>
        <w:ind w:firstLine="540"/>
        <w:jc w:val="both"/>
      </w:pPr>
      <w:r>
        <w:rPr>
          <w:sz w:val="20"/>
        </w:rPr>
        <w:t xml:space="preserve">3) создание кластеров для ускоренного развития экспортного потенциала Курской области в следующих отраслях:</w:t>
      </w:r>
    </w:p>
    <w:p>
      <w:pPr>
        <w:pStyle w:val="0"/>
        <w:spacing w:before="200" w:line-rule="auto"/>
        <w:ind w:firstLine="540"/>
        <w:jc w:val="both"/>
      </w:pPr>
      <w:r>
        <w:rPr>
          <w:sz w:val="20"/>
        </w:rPr>
        <w:t xml:space="preserve">химия (на базе ООО "Курскхимволокно");</w:t>
      </w:r>
    </w:p>
    <w:p>
      <w:pPr>
        <w:pStyle w:val="0"/>
        <w:spacing w:before="200" w:line-rule="auto"/>
        <w:ind w:firstLine="540"/>
        <w:jc w:val="both"/>
      </w:pPr>
      <w:r>
        <w:rPr>
          <w:sz w:val="20"/>
        </w:rPr>
        <w:t xml:space="preserve">фармацевтическое производство (на базе ОАО "Фармстандарт-Лексредства");</w:t>
      </w:r>
    </w:p>
    <w:p>
      <w:pPr>
        <w:pStyle w:val="0"/>
        <w:spacing w:before="200" w:line-rule="auto"/>
        <w:ind w:firstLine="540"/>
        <w:jc w:val="both"/>
      </w:pPr>
      <w:r>
        <w:rPr>
          <w:sz w:val="20"/>
        </w:rPr>
        <w:t xml:space="preserve">животноводство (на базе ООО "Мираторг-Курск");</w:t>
      </w:r>
    </w:p>
    <w:p>
      <w:pPr>
        <w:pStyle w:val="0"/>
        <w:spacing w:before="200" w:line-rule="auto"/>
        <w:ind w:firstLine="540"/>
        <w:jc w:val="both"/>
      </w:pPr>
      <w:r>
        <w:rPr>
          <w:sz w:val="20"/>
        </w:rPr>
        <w:t xml:space="preserve">машиностроение (на базе АО "Курский электроаппаратный завод");</w:t>
      </w:r>
    </w:p>
    <w:p>
      <w:pPr>
        <w:pStyle w:val="0"/>
        <w:spacing w:before="200" w:line-rule="auto"/>
        <w:ind w:firstLine="540"/>
        <w:jc w:val="both"/>
      </w:pPr>
      <w:r>
        <w:rPr>
          <w:sz w:val="20"/>
        </w:rPr>
        <w:t xml:space="preserve">4) формирование пакета инвестиционных проектов, способствующих реализации основных направлений развития экспорта Курской области. В отношении проектов, вошедших в пакет, со стороны Правительства Курской области будет проводиться постоянный мониторинг хода реализации и оказываться поддержка, в том числе продвижение на федеральном уровне;</w:t>
      </w:r>
    </w:p>
    <w:p>
      <w:pPr>
        <w:pStyle w:val="0"/>
        <w:spacing w:before="200" w:line-rule="auto"/>
        <w:ind w:firstLine="540"/>
        <w:jc w:val="both"/>
      </w:pPr>
      <w:r>
        <w:rPr>
          <w:sz w:val="20"/>
        </w:rPr>
        <w:t xml:space="preserve">5) создание условий для сокращения стоимостных и временных затрат предприятий-экспортеров на сертификацию продукции. Необходимо подготовить информацию о требованиях зарубежных рынков в части сертификации ввозимых товаров максимально прозрачной и удобной к применению бизнесом. Совместно с органами сертификации возможна разработка стандартов процесса сертификации продукции, оптимизированных по срокам и стоимости с учетом обеспечения требуемых параметров качества и безопасности продукции;</w:t>
      </w:r>
    </w:p>
    <w:p>
      <w:pPr>
        <w:pStyle w:val="0"/>
        <w:spacing w:before="200" w:line-rule="auto"/>
        <w:ind w:firstLine="540"/>
        <w:jc w:val="both"/>
      </w:pPr>
      <w:r>
        <w:rPr>
          <w:sz w:val="20"/>
        </w:rPr>
        <w:t xml:space="preserve">6) создание региональной инфраструктуры хранения и транспортировки продукции агропромышленного комплекса для обеспечения потребностей малых и средних производителей в складских и транспортных мощностях и минимизации расходов предприятий-экспортеров при поставке продукции на зарубежные рынки. При планировании размещения объектов инфраструктуры и их мощности будут учитываться прогнозные показатели развития производства и экспорта продовольственных товаров;</w:t>
      </w:r>
    </w:p>
    <w:p>
      <w:pPr>
        <w:pStyle w:val="0"/>
        <w:spacing w:before="200" w:line-rule="auto"/>
        <w:ind w:firstLine="540"/>
        <w:jc w:val="both"/>
      </w:pPr>
      <w:r>
        <w:rPr>
          <w:sz w:val="20"/>
        </w:rPr>
        <w:t xml:space="preserve">7) организация межрегионального центра содействия продвижению продукции Курской области и прилегающих регионов (Воронежская, Белгородская, Брянская, Орловская и Липецкая области) на рынки "дружественных" стран. В условиях ограниченного финансирования инфраструктуры поддержки экспорта совместная организация деловых миссий, проведения выставок и конференций, обмена информацией, использования услуг и инфраструктуры РЭЦ повысит эффективность предоставляемых экспортерам услуг. Центр будет организован как сетевой проект, объединит центры поддержки экспорта, действующие в регионах, и его функционирование не потребует дополнительного финансирования;</w:t>
      </w:r>
    </w:p>
    <w:p>
      <w:pPr>
        <w:pStyle w:val="0"/>
        <w:spacing w:before="200" w:line-rule="auto"/>
        <w:ind w:firstLine="540"/>
        <w:jc w:val="both"/>
      </w:pPr>
      <w:r>
        <w:rPr>
          <w:sz w:val="20"/>
        </w:rPr>
        <w:t xml:space="preserve">8) создание инновационно-образовательного медицинского центра на базе Федерального государственного бюджетного образовательного учреждения высшего образования "Курский государственный медицинский университет" Министерства здравоохранения Российской Федерации (далее - КГМУ) и медицинских учреждений Курска. Одной из форм создания данного центра может быть кластер, в рамках которого будут развиваться новые бизнесы и исследовательские проекты. Помимо сотрудничества с иностранными образовательными учреждениями, КГМУ будет активно участвовать в совместных проектах с зарубежными исследовательскими центрами и лабораториями, а также создаст на своей площадке условия для развития малых предприятий в инновационном сегменте.</w:t>
      </w:r>
    </w:p>
    <w:p>
      <w:pPr>
        <w:pStyle w:val="0"/>
        <w:ind w:firstLine="540"/>
        <w:jc w:val="both"/>
      </w:pPr>
      <w:r>
        <w:rPr>
          <w:sz w:val="20"/>
        </w:rPr>
      </w:r>
    </w:p>
    <w:p>
      <w:pPr>
        <w:pStyle w:val="2"/>
        <w:outlineLvl w:val="2"/>
        <w:jc w:val="center"/>
      </w:pPr>
      <w:r>
        <w:rPr>
          <w:sz w:val="20"/>
        </w:rPr>
        <w:t xml:space="preserve">5. Прогноз экспортных показателей региона на период</w:t>
      </w:r>
    </w:p>
    <w:p>
      <w:pPr>
        <w:pStyle w:val="2"/>
        <w:jc w:val="center"/>
      </w:pPr>
      <w:r>
        <w:rPr>
          <w:sz w:val="20"/>
        </w:rPr>
        <w:t xml:space="preserve">до 2030 года</w:t>
      </w:r>
    </w:p>
    <w:p>
      <w:pPr>
        <w:pStyle w:val="0"/>
        <w:ind w:firstLine="540"/>
        <w:jc w:val="both"/>
      </w:pPr>
      <w:r>
        <w:rPr>
          <w:sz w:val="20"/>
        </w:rPr>
      </w:r>
    </w:p>
    <w:p>
      <w:pPr>
        <w:pStyle w:val="0"/>
        <w:ind w:firstLine="540"/>
        <w:jc w:val="both"/>
      </w:pPr>
      <w:r>
        <w:rPr>
          <w:sz w:val="20"/>
        </w:rPr>
        <w:t xml:space="preserve">В долгосрочной перспективе развитие внешней торговли Курской области будет определяться следующими основными факторами:</w:t>
      </w:r>
    </w:p>
    <w:p>
      <w:pPr>
        <w:pStyle w:val="0"/>
        <w:spacing w:before="200" w:line-rule="auto"/>
        <w:ind w:firstLine="540"/>
        <w:jc w:val="both"/>
      </w:pPr>
      <w:r>
        <w:rPr>
          <w:sz w:val="20"/>
        </w:rPr>
        <w:t xml:space="preserve">1) адаптацией к замедлению роста российской и мировой экономик;</w:t>
      </w:r>
    </w:p>
    <w:p>
      <w:pPr>
        <w:pStyle w:val="0"/>
        <w:spacing w:before="200" w:line-rule="auto"/>
        <w:ind w:firstLine="540"/>
        <w:jc w:val="both"/>
      </w:pPr>
      <w:r>
        <w:rPr>
          <w:sz w:val="20"/>
        </w:rPr>
        <w:t xml:space="preserve">2) состоянием инвестиционного климата Курской области;</w:t>
      </w:r>
    </w:p>
    <w:p>
      <w:pPr>
        <w:pStyle w:val="0"/>
        <w:spacing w:before="200" w:line-rule="auto"/>
        <w:ind w:firstLine="540"/>
        <w:jc w:val="both"/>
      </w:pPr>
      <w:r>
        <w:rPr>
          <w:sz w:val="20"/>
        </w:rPr>
        <w:t xml:space="preserve">3) полнотой реализации торговых и конкурентных преимуществ предприятий Курской области;</w:t>
      </w:r>
    </w:p>
    <w:p>
      <w:pPr>
        <w:pStyle w:val="0"/>
        <w:spacing w:before="200" w:line-rule="auto"/>
        <w:ind w:firstLine="540"/>
        <w:jc w:val="both"/>
      </w:pPr>
      <w:r>
        <w:rPr>
          <w:sz w:val="20"/>
        </w:rPr>
        <w:t xml:space="preserve">4) сохранением сложившихся внешнеторговых связей Курской области;</w:t>
      </w:r>
    </w:p>
    <w:p>
      <w:pPr>
        <w:pStyle w:val="0"/>
        <w:spacing w:before="200" w:line-rule="auto"/>
        <w:ind w:firstLine="540"/>
        <w:jc w:val="both"/>
      </w:pPr>
      <w:r>
        <w:rPr>
          <w:sz w:val="20"/>
        </w:rPr>
        <w:t xml:space="preserve">5) кризисом системы международного регулирования.</w:t>
      </w:r>
    </w:p>
    <w:p>
      <w:pPr>
        <w:pStyle w:val="0"/>
        <w:jc w:val="both"/>
      </w:pPr>
      <w:r>
        <w:rPr>
          <w:sz w:val="20"/>
        </w:rPr>
        <w:t xml:space="preserve">(пп. 5 введен </w:t>
      </w:r>
      <w:hyperlink w:history="0" r:id="rId158"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Законом</w:t>
        </w:r>
      </w:hyperlink>
      <w:r>
        <w:rPr>
          <w:sz w:val="20"/>
        </w:rPr>
        <w:t xml:space="preserve"> Курской области от 06.10.2023 N 73-ЗКО)</w:t>
      </w:r>
    </w:p>
    <w:p>
      <w:pPr>
        <w:pStyle w:val="0"/>
        <w:spacing w:before="200" w:line-rule="auto"/>
        <w:ind w:firstLine="540"/>
        <w:jc w:val="both"/>
      </w:pPr>
      <w:r>
        <w:rPr>
          <w:sz w:val="20"/>
        </w:rPr>
        <w:t xml:space="preserve">В зависимости от степени реализации этих факторов выделяются три сценария развития внешней торговли Курской области в долгосрочной перспективе - оптимистический, базовый и пессимистический.</w:t>
      </w:r>
    </w:p>
    <w:p>
      <w:pPr>
        <w:pStyle w:val="0"/>
        <w:ind w:firstLine="540"/>
        <w:jc w:val="both"/>
      </w:pPr>
      <w:r>
        <w:rPr>
          <w:sz w:val="20"/>
        </w:rPr>
      </w:r>
    </w:p>
    <w:p>
      <w:pPr>
        <w:pStyle w:val="2"/>
        <w:outlineLvl w:val="3"/>
        <w:ind w:firstLine="540"/>
        <w:jc w:val="both"/>
      </w:pPr>
      <w:r>
        <w:rPr>
          <w:sz w:val="20"/>
        </w:rPr>
        <w:t xml:space="preserve">5.1. "Сценарии развития экспорта Курской области до 2030 года"</w:t>
      </w:r>
    </w:p>
    <w:p>
      <w:pPr>
        <w:pStyle w:val="0"/>
        <w:ind w:firstLine="540"/>
        <w:jc w:val="both"/>
      </w:pPr>
      <w:r>
        <w:rPr>
          <w:sz w:val="20"/>
        </w:rPr>
        <w:t xml:space="preserve">(в ред. </w:t>
      </w:r>
      <w:hyperlink w:history="0" r:id="rId159"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ind w:firstLine="540"/>
        <w:jc w:val="both"/>
      </w:pPr>
      <w:r>
        <w:rPr>
          <w:sz w:val="20"/>
        </w:rPr>
      </w:r>
    </w:p>
    <w:p>
      <w:pPr>
        <w:pStyle w:val="0"/>
        <w:ind w:firstLine="540"/>
        <w:jc w:val="both"/>
      </w:pPr>
      <w:r>
        <w:rPr>
          <w:sz w:val="20"/>
        </w:rPr>
        <w:t xml:space="preserve">Оптимистический сценарий</w:t>
      </w:r>
    </w:p>
    <w:p>
      <w:pPr>
        <w:pStyle w:val="0"/>
        <w:spacing w:before="200" w:line-rule="auto"/>
        <w:ind w:firstLine="540"/>
        <w:jc w:val="both"/>
      </w:pPr>
      <w:r>
        <w:rPr>
          <w:sz w:val="20"/>
        </w:rPr>
        <w:t xml:space="preserve">Оптимистический сценарий характеризуется интенсивным развитием экспорта как сырьевых, так и несырьевых товаров до 2030 года. Объем несырьевого неэнергетического экспорта вырастет в 1,5 раза к 2024 году, после чего интенсивный рост продолжится до 2030 года. Темпы роста несырьевого неэнергетического экспорта на 2024 - 2030 годы прогнозируются на уровне 11% и 3,1% в год соответственно.</w:t>
      </w:r>
    </w:p>
    <w:p>
      <w:pPr>
        <w:pStyle w:val="0"/>
        <w:spacing w:before="200" w:line-rule="auto"/>
        <w:ind w:firstLine="540"/>
        <w:jc w:val="both"/>
      </w:pPr>
      <w:r>
        <w:rPr>
          <w:sz w:val="20"/>
        </w:rPr>
        <w:t xml:space="preserve">В случае реализации оптимистического сценария совокупный объем экспорта Курской области в 2030 году составит 1408 млн. долларов США, что в 1,7 раза превосходит уровень 2020 года. Средний темп ежегодного прироста экспорта за период 2020 - 2030 годов составит 5,0%. Объем несырьевого неэнергетического экспорта Курской области к 2030 году достигнет уровня 732 млн. долларов США, что эквивалентно 52% совокупного экспорта и превосходит соответствующий показатель 2020 года в 2,0 раза.</w:t>
      </w:r>
    </w:p>
    <w:p>
      <w:pPr>
        <w:pStyle w:val="0"/>
        <w:ind w:firstLine="540"/>
        <w:jc w:val="both"/>
      </w:pPr>
      <w:r>
        <w:rPr>
          <w:sz w:val="20"/>
        </w:rPr>
      </w:r>
    </w:p>
    <w:p>
      <w:pPr>
        <w:pStyle w:val="0"/>
        <w:ind w:firstLine="540"/>
        <w:jc w:val="both"/>
      </w:pPr>
      <w:r>
        <w:rPr>
          <w:sz w:val="20"/>
        </w:rPr>
        <w:t xml:space="preserve">Базовый сценарий</w:t>
      </w:r>
    </w:p>
    <w:p>
      <w:pPr>
        <w:pStyle w:val="0"/>
        <w:spacing w:before="200" w:line-rule="auto"/>
        <w:ind w:firstLine="540"/>
        <w:jc w:val="both"/>
      </w:pPr>
      <w:r>
        <w:rPr>
          <w:sz w:val="20"/>
        </w:rPr>
        <w:t xml:space="preserve">Базовый сценарий характеризуется стабильным развитием экспорта сырьевых и несырьевых товаров до 2030 года. Процент роста объема несырьевого неэнергетического экспорта региона к 2030 году по сравнению с 2020 годом соответствует темпу роста данного показателя, обозначенному в </w:t>
      </w:r>
      <w:hyperlink w:history="0" r:id="rId160"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Указе</w:t>
        </w:r>
      </w:hyperlink>
      <w:r>
        <w:rPr>
          <w:sz w:val="20"/>
        </w:rPr>
        <w:t xml:space="preserve"> Президента Российской Федерации от 21 июля 2020 года N 474 "О национальных целях развития Российской Федерации на период до 2030 года". Объем несырьевого неэнергетического экспорта вырастет в 1,5 раза к 2024 году, после чего его рост продолжится до 2030 года. Поддержание экспортных связей с действующими партнерами в сегменте сырьевых товаров обеспечивает сохранение темпов роста сырьевого экспорта на уровне 3,0 - 2,2% в год.</w:t>
      </w:r>
    </w:p>
    <w:p>
      <w:pPr>
        <w:pStyle w:val="0"/>
        <w:spacing w:before="200" w:line-rule="auto"/>
        <w:ind w:firstLine="540"/>
        <w:jc w:val="both"/>
      </w:pPr>
      <w:r>
        <w:rPr>
          <w:sz w:val="20"/>
        </w:rPr>
        <w:t xml:space="preserve">В случае реализации базового сценария совокупный объем экспорта Курской области в 2030 году составит 1228 млн. долларов США, что в 1,5 раза превосходит уровень 2020 года. Средний темп ежегодного прироста экспорта за период 2020 - 2030 годов составит 3,9%. Объем несырьевого неэнергетического экспорта Курской области в 2024 году превысит 550 млн. долларов США, а к 2030 году достигнет уровня 639 млн. долларов США, что эквивалентно 52% совокупного экспорта и превосходит соответствующий показатель 2020 года в 1,7 раза.</w:t>
      </w:r>
    </w:p>
    <w:p>
      <w:pPr>
        <w:pStyle w:val="0"/>
        <w:ind w:firstLine="540"/>
        <w:jc w:val="both"/>
      </w:pPr>
      <w:r>
        <w:rPr>
          <w:sz w:val="20"/>
        </w:rPr>
      </w:r>
    </w:p>
    <w:p>
      <w:pPr>
        <w:pStyle w:val="0"/>
        <w:ind w:firstLine="540"/>
        <w:jc w:val="both"/>
      </w:pPr>
      <w:r>
        <w:rPr>
          <w:sz w:val="20"/>
        </w:rPr>
        <w:t xml:space="preserve">Пессимистический сценарий</w:t>
      </w:r>
    </w:p>
    <w:p>
      <w:pPr>
        <w:pStyle w:val="0"/>
        <w:spacing w:before="200" w:line-rule="auto"/>
        <w:ind w:firstLine="540"/>
        <w:jc w:val="both"/>
      </w:pPr>
      <w:r>
        <w:rPr>
          <w:sz w:val="20"/>
        </w:rPr>
        <w:t xml:space="preserve">Пессимистический сценарий характеризуется устойчивым развитием экспорта несырьевых товаров, по которым наиболее выгодна специализация. Специализация по этим товарным группам будет достигнута к 2030 году. Развитие экспорта в сегменте сырьевых товаров соответствует инновационному сценарию прогноза долгосрочного социально-экономического развития Российской Федерации до 2030 года Министерства экономического развития Российской Федерации.</w:t>
      </w:r>
    </w:p>
    <w:p>
      <w:pPr>
        <w:pStyle w:val="0"/>
        <w:spacing w:before="200" w:line-rule="auto"/>
        <w:ind w:firstLine="540"/>
        <w:jc w:val="both"/>
      </w:pPr>
      <w:r>
        <w:rPr>
          <w:sz w:val="20"/>
        </w:rPr>
        <w:t xml:space="preserve">В случае реализации пессимистического сценария совокупный объем экспорта Курской области к 2030 году составит 1056 млн. долларов США, что превосходит уровень 2020 года на 27%. Средний темп ежегодного прироста экспорта за период 2020 - 2030 годов составит 2,4%. Объем несырьевого неэнергетического экспорта Курской области к 2030 году достигнет 505 млн. долларов США, что эквивалентно 48% совокупного экспорта и превосходит соответствующий показатель 2020 года на 35%.</w:t>
      </w:r>
    </w:p>
    <w:p>
      <w:pPr>
        <w:pStyle w:val="0"/>
        <w:spacing w:before="200" w:line-rule="auto"/>
        <w:ind w:firstLine="540"/>
        <w:jc w:val="both"/>
      </w:pPr>
      <w:r>
        <w:rPr>
          <w:sz w:val="20"/>
        </w:rPr>
        <w:t xml:space="preserve">Основные показатели прогноза экспортных показателей Курской области на 2024 - 2030 годы приведены в таблице N 16.</w:t>
      </w:r>
    </w:p>
    <w:p>
      <w:pPr>
        <w:pStyle w:val="0"/>
        <w:ind w:firstLine="540"/>
        <w:jc w:val="both"/>
      </w:pPr>
      <w:r>
        <w:rPr>
          <w:sz w:val="20"/>
        </w:rPr>
      </w:r>
    </w:p>
    <w:p>
      <w:pPr>
        <w:pStyle w:val="0"/>
        <w:jc w:val="right"/>
      </w:pPr>
      <w:r>
        <w:rPr>
          <w:sz w:val="20"/>
        </w:rPr>
        <w:t xml:space="preserve">Таблица N 16</w:t>
      </w:r>
    </w:p>
    <w:p>
      <w:pPr>
        <w:pStyle w:val="0"/>
        <w:ind w:left="540"/>
        <w:jc w:val="both"/>
      </w:pPr>
      <w:r>
        <w:rPr>
          <w:sz w:val="20"/>
        </w:rPr>
      </w:r>
    </w:p>
    <w:p>
      <w:pPr>
        <w:pStyle w:val="0"/>
        <w:jc w:val="center"/>
      </w:pPr>
      <w:r>
        <w:rPr>
          <w:sz w:val="20"/>
        </w:rPr>
        <w:t xml:space="preserve">Прогноз основных экспортных показателей Курской области</w:t>
      </w:r>
    </w:p>
    <w:p>
      <w:pPr>
        <w:pStyle w:val="0"/>
        <w:jc w:val="center"/>
      </w:pPr>
      <w:r>
        <w:rPr>
          <w:sz w:val="20"/>
        </w:rPr>
        <w:t xml:space="preserve">на 2024 - 2030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36"/>
        <w:gridCol w:w="2268"/>
        <w:gridCol w:w="1634"/>
        <w:gridCol w:w="1627"/>
      </w:tblGrid>
      <w:tr>
        <w:tc>
          <w:tcPr>
            <w:tcW w:w="3536" w:type="dxa"/>
          </w:tcPr>
          <w:p>
            <w:pPr>
              <w:pStyle w:val="0"/>
              <w:jc w:val="center"/>
            </w:pPr>
            <w:r>
              <w:rPr>
                <w:sz w:val="20"/>
              </w:rPr>
              <w:t xml:space="preserve">Показатель</w:t>
            </w:r>
          </w:p>
        </w:tc>
        <w:tc>
          <w:tcPr>
            <w:tcW w:w="2268" w:type="dxa"/>
          </w:tcPr>
          <w:p>
            <w:pPr>
              <w:pStyle w:val="0"/>
              <w:jc w:val="center"/>
            </w:pPr>
            <w:r>
              <w:rPr>
                <w:sz w:val="20"/>
              </w:rPr>
              <w:t xml:space="preserve">Сценарий</w:t>
            </w:r>
          </w:p>
        </w:tc>
        <w:tc>
          <w:tcPr>
            <w:tcW w:w="1634" w:type="dxa"/>
          </w:tcPr>
          <w:p>
            <w:pPr>
              <w:pStyle w:val="0"/>
              <w:jc w:val="center"/>
            </w:pPr>
            <w:r>
              <w:rPr>
                <w:sz w:val="20"/>
              </w:rPr>
              <w:t xml:space="preserve">2020 - 2024 годы</w:t>
            </w:r>
          </w:p>
        </w:tc>
        <w:tc>
          <w:tcPr>
            <w:tcW w:w="1627" w:type="dxa"/>
          </w:tcPr>
          <w:p>
            <w:pPr>
              <w:pStyle w:val="0"/>
              <w:jc w:val="center"/>
            </w:pPr>
            <w:r>
              <w:rPr>
                <w:sz w:val="20"/>
              </w:rPr>
              <w:t xml:space="preserve">2024 - 2030 годы</w:t>
            </w:r>
          </w:p>
        </w:tc>
      </w:tr>
      <w:tr>
        <w:tc>
          <w:tcPr>
            <w:tcW w:w="3536" w:type="dxa"/>
            <w:vMerge w:val="restart"/>
          </w:tcPr>
          <w:p>
            <w:pPr>
              <w:pStyle w:val="0"/>
            </w:pPr>
            <w:r>
              <w:rPr>
                <w:sz w:val="20"/>
              </w:rPr>
              <w:t xml:space="preserve">Ежегодный темп прироста сырьевого экспорта, %</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4,9%</w:t>
            </w:r>
          </w:p>
        </w:tc>
        <w:tc>
          <w:tcPr>
            <w:tcW w:w="1627" w:type="dxa"/>
          </w:tcPr>
          <w:p>
            <w:pPr>
              <w:pStyle w:val="0"/>
              <w:jc w:val="center"/>
            </w:pPr>
            <w:r>
              <w:rPr>
                <w:sz w:val="20"/>
              </w:rPr>
              <w:t xml:space="preserve">3,3%</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3,0%</w:t>
            </w:r>
          </w:p>
        </w:tc>
        <w:tc>
          <w:tcPr>
            <w:tcW w:w="1627" w:type="dxa"/>
          </w:tcPr>
          <w:p>
            <w:pPr>
              <w:pStyle w:val="0"/>
              <w:jc w:val="center"/>
            </w:pPr>
            <w:r>
              <w:rPr>
                <w:sz w:val="20"/>
              </w:rPr>
              <w:t xml:space="preserve">2,2%</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2,0%</w:t>
            </w:r>
          </w:p>
        </w:tc>
        <w:tc>
          <w:tcPr>
            <w:tcW w:w="1627" w:type="dxa"/>
          </w:tcPr>
          <w:p>
            <w:pPr>
              <w:pStyle w:val="0"/>
              <w:jc w:val="center"/>
            </w:pPr>
            <w:r>
              <w:rPr>
                <w:sz w:val="20"/>
              </w:rPr>
              <w:t xml:space="preserve">1,7%</w:t>
            </w:r>
          </w:p>
        </w:tc>
      </w:tr>
      <w:tr>
        <w:tc>
          <w:tcPr>
            <w:tcW w:w="3536" w:type="dxa"/>
            <w:vMerge w:val="restart"/>
          </w:tcPr>
          <w:p>
            <w:pPr>
              <w:pStyle w:val="0"/>
            </w:pPr>
            <w:r>
              <w:rPr>
                <w:sz w:val="20"/>
              </w:rPr>
              <w:t xml:space="preserve">Ежегодный темп прироста несырьевого неэнергетического экспорта, %</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11%</w:t>
            </w:r>
          </w:p>
        </w:tc>
        <w:tc>
          <w:tcPr>
            <w:tcW w:w="1627" w:type="dxa"/>
          </w:tcPr>
          <w:p>
            <w:pPr>
              <w:pStyle w:val="0"/>
              <w:jc w:val="center"/>
            </w:pPr>
            <w:r>
              <w:rPr>
                <w:sz w:val="20"/>
              </w:rPr>
              <w:t xml:space="preserve">3,1%</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10%</w:t>
            </w:r>
          </w:p>
        </w:tc>
        <w:tc>
          <w:tcPr>
            <w:tcW w:w="1627" w:type="dxa"/>
          </w:tcPr>
          <w:p>
            <w:pPr>
              <w:pStyle w:val="0"/>
              <w:jc w:val="center"/>
            </w:pPr>
            <w:r>
              <w:rPr>
                <w:sz w:val="20"/>
              </w:rPr>
              <w:t xml:space="preserve">2,6%</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6,9%</w:t>
            </w:r>
          </w:p>
        </w:tc>
        <w:tc>
          <w:tcPr>
            <w:tcW w:w="1627" w:type="dxa"/>
          </w:tcPr>
          <w:p>
            <w:pPr>
              <w:pStyle w:val="0"/>
              <w:jc w:val="center"/>
            </w:pPr>
            <w:r>
              <w:rPr>
                <w:sz w:val="20"/>
              </w:rPr>
              <w:t xml:space="preserve">0,5%</w:t>
            </w:r>
          </w:p>
        </w:tc>
      </w:tr>
      <w:tr>
        <w:tc>
          <w:tcPr>
            <w:tcW w:w="3536" w:type="dxa"/>
            <w:vMerge w:val="restart"/>
          </w:tcPr>
          <w:p>
            <w:pPr>
              <w:pStyle w:val="0"/>
            </w:pPr>
            <w:r>
              <w:rPr>
                <w:sz w:val="20"/>
              </w:rPr>
              <w:t xml:space="preserve">Ежегодный темп прироста несырьевого неэнергетического экспорта субъектов малого и среднего предпринимательства Курской области, %</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6,8%</w:t>
            </w:r>
          </w:p>
        </w:tc>
        <w:tc>
          <w:tcPr>
            <w:tcW w:w="1627" w:type="dxa"/>
          </w:tcPr>
          <w:p>
            <w:pPr>
              <w:pStyle w:val="0"/>
              <w:jc w:val="center"/>
            </w:pPr>
            <w:r>
              <w:rPr>
                <w:sz w:val="20"/>
              </w:rPr>
              <w:t xml:space="preserve">4,3%</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5,1%</w:t>
            </w:r>
          </w:p>
        </w:tc>
        <w:tc>
          <w:tcPr>
            <w:tcW w:w="1627" w:type="dxa"/>
          </w:tcPr>
          <w:p>
            <w:pPr>
              <w:pStyle w:val="0"/>
              <w:jc w:val="center"/>
            </w:pPr>
            <w:r>
              <w:rPr>
                <w:sz w:val="20"/>
              </w:rPr>
              <w:t xml:space="preserve">2,4%</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1,4%</w:t>
            </w:r>
          </w:p>
        </w:tc>
        <w:tc>
          <w:tcPr>
            <w:tcW w:w="1627" w:type="dxa"/>
          </w:tcPr>
          <w:p>
            <w:pPr>
              <w:pStyle w:val="0"/>
              <w:jc w:val="center"/>
            </w:pPr>
            <w:r>
              <w:rPr>
                <w:sz w:val="20"/>
              </w:rPr>
              <w:t xml:space="preserve">1,2%</w:t>
            </w:r>
          </w:p>
        </w:tc>
      </w:tr>
      <w:tr>
        <w:tc>
          <w:tcPr>
            <w:tcW w:w="3536" w:type="dxa"/>
            <w:vMerge w:val="restart"/>
          </w:tcPr>
          <w:p>
            <w:pPr>
              <w:pStyle w:val="0"/>
            </w:pPr>
            <w:r>
              <w:rPr>
                <w:sz w:val="20"/>
              </w:rPr>
              <w:t xml:space="preserve">Ежегодный темп прироста экспорта услуг, %</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11%</w:t>
            </w:r>
          </w:p>
        </w:tc>
        <w:tc>
          <w:tcPr>
            <w:tcW w:w="1627" w:type="dxa"/>
          </w:tcPr>
          <w:p>
            <w:pPr>
              <w:pStyle w:val="0"/>
              <w:jc w:val="center"/>
            </w:pPr>
            <w:r>
              <w:rPr>
                <w:sz w:val="20"/>
              </w:rPr>
              <w:t xml:space="preserve">3,1%</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9%</w:t>
            </w:r>
          </w:p>
        </w:tc>
        <w:tc>
          <w:tcPr>
            <w:tcW w:w="1627" w:type="dxa"/>
          </w:tcPr>
          <w:p>
            <w:pPr>
              <w:pStyle w:val="0"/>
              <w:jc w:val="center"/>
            </w:pPr>
            <w:r>
              <w:rPr>
                <w:sz w:val="20"/>
              </w:rPr>
              <w:t xml:space="preserve">2,5%</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6,9%</w:t>
            </w:r>
          </w:p>
        </w:tc>
        <w:tc>
          <w:tcPr>
            <w:tcW w:w="1627" w:type="dxa"/>
          </w:tcPr>
          <w:p>
            <w:pPr>
              <w:pStyle w:val="0"/>
              <w:jc w:val="center"/>
            </w:pPr>
            <w:r>
              <w:rPr>
                <w:sz w:val="20"/>
              </w:rPr>
              <w:t xml:space="preserve">0,5%</w:t>
            </w:r>
          </w:p>
        </w:tc>
      </w:tr>
      <w:tr>
        <w:tc>
          <w:tcPr>
            <w:tcW w:w="3536" w:type="dxa"/>
            <w:vMerge w:val="restart"/>
          </w:tcPr>
          <w:p>
            <w:pPr>
              <w:pStyle w:val="0"/>
            </w:pPr>
            <w:r>
              <w:rPr>
                <w:sz w:val="20"/>
              </w:rPr>
              <w:t xml:space="preserve">Объем экспорта Курской области за год на конец периода, млн. долларов США</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1126</w:t>
            </w:r>
          </w:p>
        </w:tc>
        <w:tc>
          <w:tcPr>
            <w:tcW w:w="1627" w:type="dxa"/>
          </w:tcPr>
          <w:p>
            <w:pPr>
              <w:pStyle w:val="0"/>
              <w:jc w:val="center"/>
            </w:pPr>
            <w:r>
              <w:rPr>
                <w:sz w:val="20"/>
              </w:rPr>
              <w:t xml:space="preserve">1408</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1068</w:t>
            </w:r>
          </w:p>
        </w:tc>
        <w:tc>
          <w:tcPr>
            <w:tcW w:w="1627" w:type="dxa"/>
          </w:tcPr>
          <w:p>
            <w:pPr>
              <w:pStyle w:val="0"/>
              <w:jc w:val="center"/>
            </w:pPr>
            <w:r>
              <w:rPr>
                <w:sz w:val="20"/>
              </w:rPr>
              <w:t xml:space="preserve">1228</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987</w:t>
            </w:r>
          </w:p>
        </w:tc>
        <w:tc>
          <w:tcPr>
            <w:tcW w:w="1627" w:type="dxa"/>
          </w:tcPr>
          <w:p>
            <w:pPr>
              <w:pStyle w:val="0"/>
              <w:jc w:val="center"/>
            </w:pPr>
            <w:r>
              <w:rPr>
                <w:sz w:val="20"/>
              </w:rPr>
              <w:t xml:space="preserve">1056</w:t>
            </w:r>
          </w:p>
        </w:tc>
      </w:tr>
      <w:tr>
        <w:tc>
          <w:tcPr>
            <w:tcW w:w="3536" w:type="dxa"/>
            <w:vMerge w:val="restart"/>
          </w:tcPr>
          <w:p>
            <w:pPr>
              <w:pStyle w:val="0"/>
            </w:pPr>
            <w:r>
              <w:rPr>
                <w:sz w:val="20"/>
              </w:rPr>
              <w:t xml:space="preserve">Объем сырьевого экспорта Курской области за год на конец периода, млн. долларов США</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556</w:t>
            </w:r>
          </w:p>
        </w:tc>
        <w:tc>
          <w:tcPr>
            <w:tcW w:w="1627" w:type="dxa"/>
          </w:tcPr>
          <w:p>
            <w:pPr>
              <w:pStyle w:val="0"/>
              <w:jc w:val="center"/>
            </w:pPr>
            <w:r>
              <w:rPr>
                <w:sz w:val="20"/>
              </w:rPr>
              <w:t xml:space="preserve">676</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517</w:t>
            </w:r>
          </w:p>
        </w:tc>
        <w:tc>
          <w:tcPr>
            <w:tcW w:w="1627" w:type="dxa"/>
          </w:tcPr>
          <w:p>
            <w:pPr>
              <w:pStyle w:val="0"/>
              <w:jc w:val="center"/>
            </w:pPr>
            <w:r>
              <w:rPr>
                <w:sz w:val="20"/>
              </w:rPr>
              <w:t xml:space="preserve">589</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497</w:t>
            </w:r>
          </w:p>
        </w:tc>
        <w:tc>
          <w:tcPr>
            <w:tcW w:w="1627" w:type="dxa"/>
          </w:tcPr>
          <w:p>
            <w:pPr>
              <w:pStyle w:val="0"/>
              <w:jc w:val="center"/>
            </w:pPr>
            <w:r>
              <w:rPr>
                <w:sz w:val="20"/>
              </w:rPr>
              <w:t xml:space="preserve">551</w:t>
            </w:r>
          </w:p>
        </w:tc>
      </w:tr>
      <w:tr>
        <w:tc>
          <w:tcPr>
            <w:tcW w:w="3536" w:type="dxa"/>
            <w:vMerge w:val="restart"/>
          </w:tcPr>
          <w:p>
            <w:pPr>
              <w:pStyle w:val="0"/>
            </w:pPr>
            <w:r>
              <w:rPr>
                <w:sz w:val="20"/>
              </w:rPr>
              <w:t xml:space="preserve">Объем несырьевого неэнергетического экспорта Курской области за год на конец периода, млн. долларов США</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570</w:t>
            </w:r>
          </w:p>
        </w:tc>
        <w:tc>
          <w:tcPr>
            <w:tcW w:w="1627" w:type="dxa"/>
          </w:tcPr>
          <w:p>
            <w:pPr>
              <w:pStyle w:val="0"/>
              <w:jc w:val="center"/>
            </w:pPr>
            <w:r>
              <w:rPr>
                <w:sz w:val="20"/>
              </w:rPr>
              <w:t xml:space="preserve">732</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551</w:t>
            </w:r>
          </w:p>
        </w:tc>
        <w:tc>
          <w:tcPr>
            <w:tcW w:w="1627" w:type="dxa"/>
          </w:tcPr>
          <w:p>
            <w:pPr>
              <w:pStyle w:val="0"/>
              <w:jc w:val="center"/>
            </w:pPr>
            <w:r>
              <w:rPr>
                <w:sz w:val="20"/>
              </w:rPr>
              <w:t xml:space="preserve">639</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490</w:t>
            </w:r>
          </w:p>
        </w:tc>
        <w:tc>
          <w:tcPr>
            <w:tcW w:w="1627" w:type="dxa"/>
          </w:tcPr>
          <w:p>
            <w:pPr>
              <w:pStyle w:val="0"/>
              <w:jc w:val="center"/>
            </w:pPr>
            <w:r>
              <w:rPr>
                <w:sz w:val="20"/>
              </w:rPr>
              <w:t xml:space="preserve">505</w:t>
            </w:r>
          </w:p>
        </w:tc>
      </w:tr>
      <w:tr>
        <w:tc>
          <w:tcPr>
            <w:tcW w:w="3536" w:type="dxa"/>
            <w:vMerge w:val="restart"/>
          </w:tcPr>
          <w:p>
            <w:pPr>
              <w:pStyle w:val="0"/>
            </w:pPr>
            <w:r>
              <w:rPr>
                <w:sz w:val="20"/>
              </w:rPr>
              <w:t xml:space="preserve">Объем несырьевого неэнергетического экспорта субъектов малого и среднего предпринимательства Курской области за год на конец периода, млн. долларов США</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176</w:t>
            </w:r>
          </w:p>
        </w:tc>
        <w:tc>
          <w:tcPr>
            <w:tcW w:w="1627" w:type="dxa"/>
          </w:tcPr>
          <w:p>
            <w:pPr>
              <w:pStyle w:val="0"/>
              <w:jc w:val="center"/>
            </w:pPr>
            <w:r>
              <w:rPr>
                <w:sz w:val="20"/>
              </w:rPr>
              <w:t xml:space="preserve">220</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165</w:t>
            </w:r>
          </w:p>
        </w:tc>
        <w:tc>
          <w:tcPr>
            <w:tcW w:w="1627" w:type="dxa"/>
          </w:tcPr>
          <w:p>
            <w:pPr>
              <w:pStyle w:val="0"/>
              <w:jc w:val="center"/>
            </w:pPr>
            <w:r>
              <w:rPr>
                <w:sz w:val="20"/>
              </w:rPr>
              <w:t xml:space="preserve">190</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143</w:t>
            </w:r>
          </w:p>
        </w:tc>
        <w:tc>
          <w:tcPr>
            <w:tcW w:w="1627" w:type="dxa"/>
          </w:tcPr>
          <w:p>
            <w:pPr>
              <w:pStyle w:val="0"/>
              <w:jc w:val="center"/>
            </w:pPr>
            <w:r>
              <w:rPr>
                <w:sz w:val="20"/>
              </w:rPr>
              <w:t xml:space="preserve">154</w:t>
            </w:r>
          </w:p>
        </w:tc>
      </w:tr>
      <w:tr>
        <w:tc>
          <w:tcPr>
            <w:tcW w:w="3536" w:type="dxa"/>
            <w:vMerge w:val="restart"/>
          </w:tcPr>
          <w:p>
            <w:pPr>
              <w:pStyle w:val="0"/>
            </w:pPr>
            <w:r>
              <w:rPr>
                <w:sz w:val="20"/>
              </w:rPr>
              <w:t xml:space="preserve">Доля несырьевого неэнергетического экспорта субъектов малого и среднего предпринимательства Курской области в общем объеме несырьевого неэнергетического экспорта, %</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31%</w:t>
            </w:r>
          </w:p>
        </w:tc>
        <w:tc>
          <w:tcPr>
            <w:tcW w:w="1627" w:type="dxa"/>
          </w:tcPr>
          <w:p>
            <w:pPr>
              <w:pStyle w:val="0"/>
              <w:jc w:val="center"/>
            </w:pPr>
            <w:r>
              <w:rPr>
                <w:sz w:val="20"/>
              </w:rPr>
              <w:t xml:space="preserve">32%</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30%</w:t>
            </w:r>
          </w:p>
        </w:tc>
        <w:tc>
          <w:tcPr>
            <w:tcW w:w="1627" w:type="dxa"/>
          </w:tcPr>
          <w:p>
            <w:pPr>
              <w:pStyle w:val="0"/>
              <w:jc w:val="center"/>
            </w:pPr>
            <w:r>
              <w:rPr>
                <w:sz w:val="20"/>
              </w:rPr>
              <w:t xml:space="preserve">30%</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29%</w:t>
            </w:r>
          </w:p>
        </w:tc>
        <w:tc>
          <w:tcPr>
            <w:tcW w:w="1627" w:type="dxa"/>
          </w:tcPr>
          <w:p>
            <w:pPr>
              <w:pStyle w:val="0"/>
              <w:jc w:val="center"/>
            </w:pPr>
            <w:r>
              <w:rPr>
                <w:sz w:val="20"/>
              </w:rPr>
              <w:t xml:space="preserve">30%</w:t>
            </w:r>
          </w:p>
        </w:tc>
      </w:tr>
      <w:tr>
        <w:tc>
          <w:tcPr>
            <w:tcW w:w="3536" w:type="dxa"/>
            <w:vMerge w:val="restart"/>
          </w:tcPr>
          <w:p>
            <w:pPr>
              <w:pStyle w:val="0"/>
            </w:pPr>
            <w:r>
              <w:rPr>
                <w:sz w:val="20"/>
              </w:rPr>
              <w:t xml:space="preserve">Доля несырьевого неэнергетического экспорта Курской области в валовом региональном продукте региона на конец периода, %</w:t>
            </w:r>
          </w:p>
        </w:tc>
        <w:tc>
          <w:tcPr>
            <w:tcW w:w="2268" w:type="dxa"/>
          </w:tcPr>
          <w:p>
            <w:pPr>
              <w:pStyle w:val="0"/>
            </w:pPr>
            <w:r>
              <w:rPr>
                <w:sz w:val="20"/>
              </w:rPr>
              <w:t xml:space="preserve">Базовый</w:t>
            </w:r>
          </w:p>
        </w:tc>
        <w:tc>
          <w:tcPr>
            <w:tcW w:w="1634" w:type="dxa"/>
          </w:tcPr>
          <w:p>
            <w:pPr>
              <w:pStyle w:val="0"/>
              <w:jc w:val="center"/>
            </w:pPr>
            <w:r>
              <w:rPr>
                <w:sz w:val="20"/>
              </w:rPr>
              <w:t xml:space="preserve">3,8%</w:t>
            </w:r>
          </w:p>
        </w:tc>
        <w:tc>
          <w:tcPr>
            <w:tcW w:w="1627" w:type="dxa"/>
          </w:tcPr>
          <w:p>
            <w:pPr>
              <w:pStyle w:val="0"/>
              <w:jc w:val="center"/>
            </w:pPr>
            <w:r>
              <w:rPr>
                <w:sz w:val="20"/>
              </w:rPr>
              <w:t xml:space="preserve">3,6%</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3,5%</w:t>
            </w:r>
          </w:p>
        </w:tc>
        <w:tc>
          <w:tcPr>
            <w:tcW w:w="1627" w:type="dxa"/>
          </w:tcPr>
          <w:p>
            <w:pPr>
              <w:pStyle w:val="0"/>
              <w:jc w:val="center"/>
            </w:pPr>
            <w:r>
              <w:rPr>
                <w:sz w:val="20"/>
              </w:rPr>
              <w:t xml:space="preserve">2,5%</w:t>
            </w:r>
          </w:p>
        </w:tc>
      </w:tr>
      <w:tr>
        <w:tc>
          <w:tcPr>
            <w:tcW w:w="3536" w:type="dxa"/>
            <w:vMerge w:val="restart"/>
          </w:tcPr>
          <w:p>
            <w:pPr>
              <w:pStyle w:val="0"/>
            </w:pPr>
            <w:r>
              <w:rPr>
                <w:sz w:val="20"/>
              </w:rPr>
              <w:t xml:space="preserve">Объем экспорта услуг Курской области за год на конец периода, млн. долларов США</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59</w:t>
            </w:r>
          </w:p>
        </w:tc>
        <w:tc>
          <w:tcPr>
            <w:tcW w:w="1627" w:type="dxa"/>
          </w:tcPr>
          <w:p>
            <w:pPr>
              <w:pStyle w:val="0"/>
              <w:jc w:val="center"/>
            </w:pPr>
            <w:r>
              <w:rPr>
                <w:sz w:val="20"/>
              </w:rPr>
              <w:t xml:space="preserve">71</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55</w:t>
            </w:r>
          </w:p>
        </w:tc>
        <w:tc>
          <w:tcPr>
            <w:tcW w:w="1627" w:type="dxa"/>
          </w:tcPr>
          <w:p>
            <w:pPr>
              <w:pStyle w:val="0"/>
              <w:jc w:val="center"/>
            </w:pPr>
            <w:r>
              <w:rPr>
                <w:sz w:val="20"/>
              </w:rPr>
              <w:t xml:space="preserve">64</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51</w:t>
            </w:r>
          </w:p>
        </w:tc>
        <w:tc>
          <w:tcPr>
            <w:tcW w:w="1627" w:type="dxa"/>
          </w:tcPr>
          <w:p>
            <w:pPr>
              <w:pStyle w:val="0"/>
              <w:jc w:val="center"/>
            </w:pPr>
            <w:r>
              <w:rPr>
                <w:sz w:val="20"/>
              </w:rPr>
              <w:t xml:space="preserve">53</w:t>
            </w:r>
          </w:p>
        </w:tc>
      </w:tr>
      <w:tr>
        <w:tc>
          <w:tcPr>
            <w:tcW w:w="3536" w:type="dxa"/>
            <w:vMerge w:val="restart"/>
          </w:tcPr>
          <w:p>
            <w:pPr>
              <w:pStyle w:val="0"/>
            </w:pPr>
            <w:r>
              <w:rPr>
                <w:sz w:val="20"/>
              </w:rPr>
              <w:t xml:space="preserve">Количество малых и средних компаний-экспортеров Курской области, ед.</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239</w:t>
            </w:r>
          </w:p>
        </w:tc>
        <w:tc>
          <w:tcPr>
            <w:tcW w:w="1627" w:type="dxa"/>
          </w:tcPr>
          <w:p>
            <w:pPr>
              <w:pStyle w:val="0"/>
              <w:jc w:val="center"/>
            </w:pPr>
            <w:r>
              <w:rPr>
                <w:sz w:val="20"/>
              </w:rPr>
              <w:t xml:space="preserve">331</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230</w:t>
            </w:r>
          </w:p>
        </w:tc>
        <w:tc>
          <w:tcPr>
            <w:tcW w:w="1627" w:type="dxa"/>
          </w:tcPr>
          <w:p>
            <w:pPr>
              <w:pStyle w:val="0"/>
              <w:jc w:val="center"/>
            </w:pPr>
            <w:r>
              <w:rPr>
                <w:sz w:val="20"/>
              </w:rPr>
              <w:t xml:space="preserve">300</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205</w:t>
            </w:r>
          </w:p>
        </w:tc>
        <w:tc>
          <w:tcPr>
            <w:tcW w:w="1627" w:type="dxa"/>
          </w:tcPr>
          <w:p>
            <w:pPr>
              <w:pStyle w:val="0"/>
              <w:jc w:val="center"/>
            </w:pPr>
            <w:r>
              <w:rPr>
                <w:sz w:val="20"/>
              </w:rPr>
              <w:t xml:space="preserve">225</w:t>
            </w:r>
          </w:p>
        </w:tc>
      </w:tr>
      <w:tr>
        <w:tc>
          <w:tcPr>
            <w:tcW w:w="3536" w:type="dxa"/>
            <w:vMerge w:val="restart"/>
          </w:tcPr>
          <w:p>
            <w:pPr>
              <w:pStyle w:val="0"/>
            </w:pPr>
            <w:r>
              <w:rPr>
                <w:sz w:val="20"/>
              </w:rPr>
              <w:t xml:space="preserve">Ежегодный прирост количества малых и средних компаний-экспортеров, %</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5,6%</w:t>
            </w:r>
          </w:p>
        </w:tc>
        <w:tc>
          <w:tcPr>
            <w:tcW w:w="1627" w:type="dxa"/>
          </w:tcPr>
          <w:p>
            <w:pPr>
              <w:pStyle w:val="0"/>
              <w:jc w:val="center"/>
            </w:pPr>
            <w:r>
              <w:rPr>
                <w:sz w:val="20"/>
              </w:rPr>
              <w:t xml:space="preserve">5,6%</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4,6%</w:t>
            </w:r>
          </w:p>
        </w:tc>
        <w:tc>
          <w:tcPr>
            <w:tcW w:w="1627" w:type="dxa"/>
          </w:tcPr>
          <w:p>
            <w:pPr>
              <w:pStyle w:val="0"/>
              <w:jc w:val="center"/>
            </w:pPr>
            <w:r>
              <w:rPr>
                <w:sz w:val="20"/>
              </w:rPr>
              <w:t xml:space="preserve">4,6%</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1,6%</w:t>
            </w:r>
          </w:p>
        </w:tc>
        <w:tc>
          <w:tcPr>
            <w:tcW w:w="1627" w:type="dxa"/>
          </w:tcPr>
          <w:p>
            <w:pPr>
              <w:pStyle w:val="0"/>
              <w:jc w:val="center"/>
            </w:pPr>
            <w:r>
              <w:rPr>
                <w:sz w:val="20"/>
              </w:rPr>
              <w:t xml:space="preserve">1,6%</w:t>
            </w:r>
          </w:p>
        </w:tc>
      </w:tr>
      <w:tr>
        <w:tc>
          <w:tcPr>
            <w:tcW w:w="3536" w:type="dxa"/>
            <w:vMerge w:val="restart"/>
          </w:tcPr>
          <w:p>
            <w:pPr>
              <w:pStyle w:val="0"/>
            </w:pPr>
            <w:r>
              <w:rPr>
                <w:sz w:val="20"/>
              </w:rPr>
              <w:t xml:space="preserve">Число иностранных государств, закупающих продукцию Курской области, ед.</w:t>
            </w:r>
          </w:p>
        </w:tc>
        <w:tc>
          <w:tcPr>
            <w:tcW w:w="2268" w:type="dxa"/>
          </w:tcPr>
          <w:p>
            <w:pPr>
              <w:pStyle w:val="0"/>
            </w:pPr>
            <w:r>
              <w:rPr>
                <w:sz w:val="20"/>
              </w:rPr>
              <w:t xml:space="preserve">Оптимистический</w:t>
            </w:r>
          </w:p>
        </w:tc>
        <w:tc>
          <w:tcPr>
            <w:tcW w:w="1634" w:type="dxa"/>
          </w:tcPr>
          <w:p>
            <w:pPr>
              <w:pStyle w:val="0"/>
              <w:jc w:val="center"/>
            </w:pPr>
            <w:r>
              <w:rPr>
                <w:sz w:val="20"/>
              </w:rPr>
              <w:t xml:space="preserve">106</w:t>
            </w:r>
          </w:p>
        </w:tc>
        <w:tc>
          <w:tcPr>
            <w:tcW w:w="1627" w:type="dxa"/>
          </w:tcPr>
          <w:p>
            <w:pPr>
              <w:pStyle w:val="0"/>
              <w:jc w:val="center"/>
            </w:pPr>
            <w:r>
              <w:rPr>
                <w:sz w:val="20"/>
              </w:rPr>
              <w:t xml:space="preserve">112</w:t>
            </w:r>
          </w:p>
        </w:tc>
      </w:tr>
      <w:tr>
        <w:tc>
          <w:tcPr>
            <w:vMerge w:val="continue"/>
          </w:tcPr>
          <w:p/>
        </w:tc>
        <w:tc>
          <w:tcPr>
            <w:tcW w:w="2268" w:type="dxa"/>
          </w:tcPr>
          <w:p>
            <w:pPr>
              <w:pStyle w:val="0"/>
            </w:pPr>
            <w:r>
              <w:rPr>
                <w:sz w:val="20"/>
              </w:rPr>
              <w:t xml:space="preserve">Базовый</w:t>
            </w:r>
          </w:p>
        </w:tc>
        <w:tc>
          <w:tcPr>
            <w:tcW w:w="1634" w:type="dxa"/>
          </w:tcPr>
          <w:p>
            <w:pPr>
              <w:pStyle w:val="0"/>
              <w:jc w:val="center"/>
            </w:pPr>
            <w:r>
              <w:rPr>
                <w:sz w:val="20"/>
              </w:rPr>
              <w:t xml:space="preserve">102</w:t>
            </w:r>
          </w:p>
        </w:tc>
        <w:tc>
          <w:tcPr>
            <w:tcW w:w="1627" w:type="dxa"/>
          </w:tcPr>
          <w:p>
            <w:pPr>
              <w:pStyle w:val="0"/>
              <w:jc w:val="center"/>
            </w:pPr>
            <w:r>
              <w:rPr>
                <w:sz w:val="20"/>
              </w:rPr>
              <w:t xml:space="preserve">105</w:t>
            </w:r>
          </w:p>
        </w:tc>
      </w:tr>
      <w:tr>
        <w:tc>
          <w:tcPr>
            <w:vMerge w:val="continue"/>
          </w:tcPr>
          <w:p/>
        </w:tc>
        <w:tc>
          <w:tcPr>
            <w:tcW w:w="2268" w:type="dxa"/>
          </w:tcPr>
          <w:p>
            <w:pPr>
              <w:pStyle w:val="0"/>
            </w:pPr>
            <w:r>
              <w:rPr>
                <w:sz w:val="20"/>
              </w:rPr>
              <w:t xml:space="preserve">Пессимистический</w:t>
            </w:r>
          </w:p>
        </w:tc>
        <w:tc>
          <w:tcPr>
            <w:tcW w:w="1634" w:type="dxa"/>
          </w:tcPr>
          <w:p>
            <w:pPr>
              <w:pStyle w:val="0"/>
              <w:jc w:val="center"/>
            </w:pPr>
            <w:r>
              <w:rPr>
                <w:sz w:val="20"/>
              </w:rPr>
              <w:t xml:space="preserve">90</w:t>
            </w:r>
          </w:p>
        </w:tc>
        <w:tc>
          <w:tcPr>
            <w:tcW w:w="1627" w:type="dxa"/>
          </w:tcPr>
          <w:p>
            <w:pPr>
              <w:pStyle w:val="0"/>
              <w:jc w:val="center"/>
            </w:pPr>
            <w:r>
              <w:rPr>
                <w:sz w:val="20"/>
              </w:rPr>
              <w:t xml:space="preserve">91</w:t>
            </w:r>
          </w:p>
        </w:tc>
      </w:tr>
    </w:tbl>
    <w:p>
      <w:pPr>
        <w:pStyle w:val="0"/>
        <w:jc w:val="both"/>
      </w:pPr>
      <w:r>
        <w:rPr>
          <w:sz w:val="20"/>
        </w:rPr>
      </w:r>
    </w:p>
    <w:p>
      <w:pPr>
        <w:pStyle w:val="0"/>
        <w:ind w:firstLine="540"/>
        <w:jc w:val="both"/>
      </w:pPr>
      <w:r>
        <w:rPr>
          <w:sz w:val="20"/>
        </w:rPr>
        <w:t xml:space="preserve">Источник: Данные таможенной статистики внешней торговли Федеральной таможенной службы России, http://stat.customs.ru; "Прогноз долгосрочного социально-экономического развития Российской Федерации на период до 2030 года" (разработан Минэкономразвития России); отчет по экспорту, подготовленный аналитической системой АО "Российский экспортный центр".</w:t>
      </w:r>
    </w:p>
    <w:p>
      <w:pPr>
        <w:pStyle w:val="0"/>
        <w:ind w:firstLine="540"/>
        <w:jc w:val="both"/>
      </w:pPr>
      <w:r>
        <w:rPr>
          <w:sz w:val="20"/>
        </w:rPr>
      </w:r>
    </w:p>
    <w:p>
      <w:pPr>
        <w:pStyle w:val="2"/>
        <w:outlineLvl w:val="3"/>
        <w:ind w:firstLine="540"/>
        <w:jc w:val="both"/>
      </w:pPr>
      <w:r>
        <w:rPr>
          <w:sz w:val="20"/>
        </w:rPr>
        <w:t xml:space="preserve">5.2. Перспективы и направления реализации государственной политики приграничного сотрудничества</w:t>
      </w:r>
    </w:p>
    <w:p>
      <w:pPr>
        <w:pStyle w:val="0"/>
        <w:ind w:firstLine="540"/>
        <w:jc w:val="both"/>
      </w:pPr>
      <w:r>
        <w:rPr>
          <w:sz w:val="20"/>
        </w:rPr>
      </w:r>
    </w:p>
    <w:p>
      <w:pPr>
        <w:pStyle w:val="0"/>
        <w:ind w:firstLine="540"/>
        <w:jc w:val="both"/>
      </w:pPr>
      <w:r>
        <w:rPr>
          <w:sz w:val="20"/>
        </w:rPr>
        <w:t xml:space="preserve">Курская область на западе граничит с Сумской областью Украины, что определяет специфику приграничного положения региона. Сотрудничество между двумя областями развивалось в 2000-е годы, однако практически прекратилось после 2013 года. Учитывая сложившиеся отношения России и Украины, отсутствуют основания для возобновления в ближайшие годы широкого взаимодействия Курской и Сумской областей в экономической сфере.</w:t>
      </w:r>
    </w:p>
    <w:p>
      <w:pPr>
        <w:pStyle w:val="0"/>
        <w:spacing w:before="200" w:line-rule="auto"/>
        <w:ind w:firstLine="540"/>
        <w:jc w:val="both"/>
      </w:pPr>
      <w:r>
        <w:rPr>
          <w:sz w:val="20"/>
        </w:rPr>
        <w:t xml:space="preserve">Курская область является членом еврорегиона "Ярославна", созданного в апреле 2007 года и входящего в Ассоциацию европейских приграничных регионов. В рамках деятельности данного еврорегиона реализовывались экологические, культурные, образовательные, научно-исследовательские и другие инициативы. В 2011 году в Курске прошли Генеральная ассамблея и ежегодная конференция стран - участников Ассоциации. В первые пять лет существования еврорегиона "Ярославна" наблюдался рост товарооборота между Курской и Сумской областями, который достигал 46 млн. долл. США. Руководством АЕПР Еврорегион "Ярославна" был признан самым эффективным еврорегионом с российско-украинским участием. В сентябре 2017 года Еврорегион прекратил свое существование по инициативе сумской стороны ввиду политической ситуации, сложившейся на Украине.</w:t>
      </w:r>
    </w:p>
    <w:p>
      <w:pPr>
        <w:pStyle w:val="0"/>
        <w:ind w:firstLine="540"/>
        <w:jc w:val="both"/>
      </w:pPr>
      <w:r>
        <w:rPr>
          <w:sz w:val="20"/>
        </w:rPr>
      </w:r>
    </w:p>
    <w:p>
      <w:pPr>
        <w:pStyle w:val="2"/>
        <w:outlineLvl w:val="2"/>
        <w:jc w:val="center"/>
      </w:pPr>
      <w:r>
        <w:rPr>
          <w:sz w:val="20"/>
        </w:rPr>
        <w:t xml:space="preserve">6. Деятельность органов исполнительной власти Курской</w:t>
      </w:r>
    </w:p>
    <w:p>
      <w:pPr>
        <w:pStyle w:val="2"/>
        <w:jc w:val="center"/>
      </w:pPr>
      <w:r>
        <w:rPr>
          <w:sz w:val="20"/>
        </w:rPr>
        <w:t xml:space="preserve">области по развитию экспорта</w:t>
      </w:r>
    </w:p>
    <w:p>
      <w:pPr>
        <w:pStyle w:val="0"/>
      </w:pPr>
      <w:r>
        <w:rPr>
          <w:sz w:val="20"/>
        </w:rPr>
      </w:r>
    </w:p>
    <w:p>
      <w:pPr>
        <w:pStyle w:val="0"/>
        <w:ind w:firstLine="540"/>
        <w:jc w:val="both"/>
      </w:pPr>
      <w:r>
        <w:rPr>
          <w:sz w:val="20"/>
        </w:rPr>
        <w:t xml:space="preserve">В целях реализации положений стратегии развития экспорта Курской области на период до 2030 года деятельность органов исполнительной власти региона будет разворачиваться по следующим направлениям:</w:t>
      </w:r>
    </w:p>
    <w:p>
      <w:pPr>
        <w:pStyle w:val="0"/>
        <w:spacing w:before="200" w:line-rule="auto"/>
        <w:ind w:firstLine="540"/>
        <w:jc w:val="both"/>
      </w:pPr>
      <w:r>
        <w:rPr>
          <w:sz w:val="20"/>
        </w:rPr>
        <w:t xml:space="preserve">1) выработка региональной политики в сфере поддержи экспорта;</w:t>
      </w:r>
    </w:p>
    <w:p>
      <w:pPr>
        <w:pStyle w:val="0"/>
        <w:spacing w:before="200" w:line-rule="auto"/>
        <w:ind w:firstLine="540"/>
        <w:jc w:val="both"/>
      </w:pPr>
      <w:r>
        <w:rPr>
          <w:sz w:val="20"/>
        </w:rPr>
        <w:t xml:space="preserve">2) создание эффективных механизмов финансовой, организационной и консультационной поддержки компаний-экспортеров Курской области и компаний, экспортная деятельность которых способствует достижению стратегических задач региона;</w:t>
      </w:r>
    </w:p>
    <w:p>
      <w:pPr>
        <w:pStyle w:val="0"/>
        <w:spacing w:before="200" w:line-rule="auto"/>
        <w:ind w:firstLine="540"/>
        <w:jc w:val="both"/>
      </w:pPr>
      <w:r>
        <w:rPr>
          <w:sz w:val="20"/>
        </w:rPr>
        <w:t xml:space="preserve">3) расширение степени вовлеченности инфраструктуры поддержки экспорта Курской области в деятельность РЭЦ;</w:t>
      </w:r>
    </w:p>
    <w:p>
      <w:pPr>
        <w:pStyle w:val="0"/>
        <w:spacing w:before="200" w:line-rule="auto"/>
        <w:ind w:firstLine="540"/>
        <w:jc w:val="both"/>
      </w:pPr>
      <w:r>
        <w:rPr>
          <w:sz w:val="20"/>
        </w:rPr>
        <w:t xml:space="preserve">4) реализация на постоянной основе комплекса мероприятий по продвижению экспортируемой продукции и услуг компаний Курской области, тем самым обеспечивая реализацию положительного экономического эффекта для предприятий и региона в целом;</w:t>
      </w:r>
    </w:p>
    <w:p>
      <w:pPr>
        <w:pStyle w:val="0"/>
        <w:spacing w:before="200" w:line-rule="auto"/>
        <w:ind w:firstLine="540"/>
        <w:jc w:val="both"/>
      </w:pPr>
      <w:r>
        <w:rPr>
          <w:sz w:val="20"/>
        </w:rPr>
        <w:t xml:space="preserve">5) повышение прозрачности деятельности участников инфраструктуры поддержки экспорта Курской области и доступности информации о действующих инструментах поддержки экспорта;</w:t>
      </w:r>
    </w:p>
    <w:p>
      <w:pPr>
        <w:pStyle w:val="0"/>
        <w:spacing w:before="200" w:line-rule="auto"/>
        <w:ind w:firstLine="540"/>
        <w:jc w:val="both"/>
      </w:pPr>
      <w:r>
        <w:rPr>
          <w:sz w:val="20"/>
        </w:rPr>
        <w:t xml:space="preserve">6) внедрение инструментов Регионального экспортного стандарта 2.0 на территории Курской области.</w:t>
      </w:r>
    </w:p>
    <w:p>
      <w:pPr>
        <w:pStyle w:val="0"/>
        <w:jc w:val="both"/>
      </w:pPr>
      <w:r>
        <w:rPr>
          <w:sz w:val="20"/>
        </w:rPr>
        <w:t xml:space="preserve">(пп. 6 введен </w:t>
      </w:r>
      <w:hyperlink w:history="0" r:id="rId161"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Законом</w:t>
        </w:r>
      </w:hyperlink>
      <w:r>
        <w:rPr>
          <w:sz w:val="20"/>
        </w:rPr>
        <w:t xml:space="preserve"> Курской области от 06.10.2023 N 73-ЗКО)</w:t>
      </w:r>
    </w:p>
    <w:p>
      <w:pPr>
        <w:pStyle w:val="0"/>
        <w:spacing w:before="200" w:line-rule="auto"/>
        <w:ind w:firstLine="540"/>
        <w:jc w:val="both"/>
      </w:pPr>
      <w:r>
        <w:rPr>
          <w:sz w:val="20"/>
        </w:rPr>
        <w:t xml:space="preserve">Стратегическое сотрудничество органов исполнительной власти Курской области с экспортерами основывается на следующих принципах:</w:t>
      </w:r>
    </w:p>
    <w:p>
      <w:pPr>
        <w:pStyle w:val="0"/>
        <w:spacing w:before="200" w:line-rule="auto"/>
        <w:ind w:firstLine="540"/>
        <w:jc w:val="both"/>
      </w:pPr>
      <w:r>
        <w:rPr>
          <w:sz w:val="20"/>
        </w:rPr>
        <w:t xml:space="preserve">1) открытости и доступности информации;</w:t>
      </w:r>
    </w:p>
    <w:p>
      <w:pPr>
        <w:pStyle w:val="0"/>
        <w:spacing w:before="200" w:line-rule="auto"/>
        <w:ind w:firstLine="540"/>
        <w:jc w:val="both"/>
      </w:pPr>
      <w:r>
        <w:rPr>
          <w:sz w:val="20"/>
        </w:rPr>
        <w:t xml:space="preserve">2) последовательности реализации мер региональной политики в сфере поддержи экспорта;</w:t>
      </w:r>
    </w:p>
    <w:p>
      <w:pPr>
        <w:pStyle w:val="0"/>
        <w:spacing w:before="200" w:line-rule="auto"/>
        <w:ind w:firstLine="540"/>
        <w:jc w:val="both"/>
      </w:pPr>
      <w:r>
        <w:rPr>
          <w:sz w:val="20"/>
        </w:rPr>
        <w:t xml:space="preserve">3) доступности и адресности поддержки предприятий-экспортеров;</w:t>
      </w:r>
    </w:p>
    <w:p>
      <w:pPr>
        <w:pStyle w:val="0"/>
        <w:spacing w:before="200" w:line-rule="auto"/>
        <w:ind w:firstLine="540"/>
        <w:jc w:val="both"/>
      </w:pPr>
      <w:r>
        <w:rPr>
          <w:sz w:val="20"/>
        </w:rPr>
        <w:t xml:space="preserve">4) вовлеченности представителей бизнеса в разработку региональной политики в сфере поддержи экспорта и инструментов ее реализации.</w:t>
      </w:r>
    </w:p>
    <w:p>
      <w:pPr>
        <w:pStyle w:val="0"/>
        <w:spacing w:before="200" w:line-rule="auto"/>
        <w:ind w:firstLine="540"/>
        <w:jc w:val="both"/>
      </w:pPr>
      <w:r>
        <w:rPr>
          <w:sz w:val="20"/>
        </w:rPr>
        <w:t xml:space="preserve">В целях повышения эффективности взаимодействия органов исполнительной власти Курской области и экспортеров могут использоваться различные форматы:</w:t>
      </w:r>
    </w:p>
    <w:p>
      <w:pPr>
        <w:pStyle w:val="0"/>
        <w:spacing w:before="200" w:line-rule="auto"/>
        <w:ind w:firstLine="540"/>
        <w:jc w:val="both"/>
      </w:pPr>
      <w:r>
        <w:rPr>
          <w:sz w:val="20"/>
        </w:rPr>
        <w:t xml:space="preserve">1) совместная работа представителей исполнительной власти и бизнеса в рамках определенной тематики или в целях решения актуальных проблем (рабочие группы, комиссии и др.);</w:t>
      </w:r>
    </w:p>
    <w:p>
      <w:pPr>
        <w:pStyle w:val="0"/>
        <w:spacing w:before="200" w:line-rule="auto"/>
        <w:ind w:firstLine="540"/>
        <w:jc w:val="both"/>
      </w:pPr>
      <w:r>
        <w:rPr>
          <w:sz w:val="20"/>
        </w:rPr>
        <w:t xml:space="preserve">2) обсуждение позиций с целью выработки единого понимания обсуждавшийся проблематики ("круглые столы", деловые завтраки и др.);</w:t>
      </w:r>
    </w:p>
    <w:p>
      <w:pPr>
        <w:pStyle w:val="0"/>
        <w:spacing w:before="200" w:line-rule="auto"/>
        <w:ind w:firstLine="540"/>
        <w:jc w:val="both"/>
      </w:pPr>
      <w:r>
        <w:rPr>
          <w:sz w:val="20"/>
        </w:rPr>
        <w:t xml:space="preserve">3) проведение публичных мероприятий для информирования экспортеров о деятельности органов исполнительной власти (семинары, конференции и др.);</w:t>
      </w:r>
    </w:p>
    <w:p>
      <w:pPr>
        <w:pStyle w:val="0"/>
        <w:spacing w:before="200" w:line-rule="auto"/>
        <w:ind w:firstLine="540"/>
        <w:jc w:val="both"/>
      </w:pPr>
      <w:r>
        <w:rPr>
          <w:sz w:val="20"/>
        </w:rPr>
        <w:t xml:space="preserve">4) информирование и получение обратной связи через информационные ресурсы (Инвестиционный портал Курской области, сайты участников инфраструктуры поддержки экспорта и др.).</w:t>
      </w:r>
    </w:p>
    <w:p>
      <w:pPr>
        <w:pStyle w:val="0"/>
        <w:jc w:val="both"/>
      </w:pPr>
      <w:r>
        <w:rPr>
          <w:sz w:val="20"/>
        </w:rPr>
        <w:t xml:space="preserve">(в ред. </w:t>
      </w:r>
      <w:hyperlink w:history="0" r:id="rId162"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Развитие экспортной деятельности в регионе предполагает задействование Правительством Курской области ряда механизмов, рекомендованных РЭЦ, способствующих достижению прогнозных показателей экспорта и включающих в себя следующие составляющие:</w:t>
      </w:r>
    </w:p>
    <w:p>
      <w:pPr>
        <w:pStyle w:val="0"/>
        <w:jc w:val="both"/>
      </w:pPr>
      <w:r>
        <w:rPr>
          <w:sz w:val="20"/>
        </w:rPr>
        <w:t xml:space="preserve">(в ред. </w:t>
      </w:r>
      <w:hyperlink w:history="0" r:id="rId163"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Организационное обеспечение.</w:t>
      </w:r>
    </w:p>
    <w:p>
      <w:pPr>
        <w:pStyle w:val="0"/>
        <w:spacing w:before="200" w:line-rule="auto"/>
        <w:ind w:firstLine="540"/>
        <w:jc w:val="both"/>
      </w:pPr>
      <w:r>
        <w:rPr>
          <w:sz w:val="20"/>
        </w:rPr>
        <w:t xml:space="preserve">Экспортный совет при Губернаторе Курской области в статусе экспертного совещательного координационного органа.</w:t>
      </w:r>
    </w:p>
    <w:p>
      <w:pPr>
        <w:pStyle w:val="0"/>
        <w:jc w:val="both"/>
      </w:pPr>
      <w:r>
        <w:rPr>
          <w:sz w:val="20"/>
        </w:rPr>
        <w:t xml:space="preserve">(в ред. </w:t>
      </w:r>
      <w:hyperlink w:history="0" r:id="rId164"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a. В состав Экспортного совета входят заместители Губернатора Курской области, представители исполнительных органов Курской области, общественных организаций и объединений предпринимателей (Союз предпринимателей Курской области, Ассоциация молодых предпринимателей).</w:t>
      </w:r>
    </w:p>
    <w:p>
      <w:pPr>
        <w:pStyle w:val="0"/>
        <w:jc w:val="both"/>
      </w:pPr>
      <w:r>
        <w:rPr>
          <w:sz w:val="20"/>
        </w:rPr>
        <w:t xml:space="preserve">(в ред. </w:t>
      </w:r>
      <w:hyperlink w:history="0" r:id="rId165"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b. Основные компетенции Экспортного совета включают в себя:</w:t>
      </w:r>
    </w:p>
    <w:p>
      <w:pPr>
        <w:pStyle w:val="0"/>
        <w:jc w:val="both"/>
      </w:pPr>
      <w:r>
        <w:rPr>
          <w:sz w:val="20"/>
        </w:rPr>
        <w:t xml:space="preserve">(в ред. </w:t>
      </w:r>
      <w:hyperlink w:history="0" r:id="rId166"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i. разработку предложений для включения в социально-экономическую стратегию субъекта Российской Федерации и другие документы стратегического планирования субъекта Российской Федерации;</w:t>
      </w:r>
    </w:p>
    <w:p>
      <w:pPr>
        <w:pStyle w:val="0"/>
        <w:spacing w:before="200" w:line-rule="auto"/>
        <w:ind w:firstLine="540"/>
        <w:jc w:val="both"/>
      </w:pPr>
      <w:r>
        <w:rPr>
          <w:sz w:val="20"/>
        </w:rPr>
        <w:t xml:space="preserve">ii. разработку рекомендаций по организации взаимодействия органов исполнительной власти субъекта Российской Федерации, действующих экспортеров и компаний, планирующих осуществлять экспортную деятельность, зарегистрированных на территории субъекта Российской Федерации, и организаций, участвующих в поддержке и развитии экспортной деятельности в субъекте Российской Федерации;</w:t>
      </w:r>
    </w:p>
    <w:p>
      <w:pPr>
        <w:pStyle w:val="0"/>
        <w:spacing w:before="200" w:line-rule="auto"/>
        <w:ind w:firstLine="540"/>
        <w:jc w:val="both"/>
      </w:pPr>
      <w:r>
        <w:rPr>
          <w:sz w:val="20"/>
        </w:rPr>
        <w:t xml:space="preserve">iii. выработку рекомендаций по вопросам совершенствования экспортной деятельности в приоритетных отраслях экономики субъекта Российской Федерации;</w:t>
      </w:r>
    </w:p>
    <w:p>
      <w:pPr>
        <w:pStyle w:val="0"/>
        <w:spacing w:before="200" w:line-rule="auto"/>
        <w:ind w:firstLine="540"/>
        <w:jc w:val="both"/>
      </w:pPr>
      <w:r>
        <w:rPr>
          <w:sz w:val="20"/>
        </w:rPr>
        <w:t xml:space="preserve">iv. оценку состояния и определение направлений развития экспортного потенциала субъекта Российской Федерации;</w:t>
      </w:r>
    </w:p>
    <w:p>
      <w:pPr>
        <w:pStyle w:val="0"/>
        <w:spacing w:before="200" w:line-rule="auto"/>
        <w:ind w:firstLine="540"/>
        <w:jc w:val="both"/>
      </w:pPr>
      <w:r>
        <w:rPr>
          <w:sz w:val="20"/>
        </w:rPr>
        <w:t xml:space="preserve">v. разработку предложений по приоритетным направлениям осуществления экспортной деятельности субъекта Российской Федерации;</w:t>
      </w:r>
    </w:p>
    <w:p>
      <w:pPr>
        <w:pStyle w:val="0"/>
        <w:spacing w:before="200" w:line-rule="auto"/>
        <w:ind w:firstLine="540"/>
        <w:jc w:val="both"/>
      </w:pPr>
      <w:r>
        <w:rPr>
          <w:sz w:val="20"/>
        </w:rPr>
        <w:t xml:space="preserve">vi. разработку рекомендаций по мерам государственной поддержки экспорта в субъекте Российской Федерации;</w:t>
      </w:r>
    </w:p>
    <w:p>
      <w:pPr>
        <w:pStyle w:val="0"/>
        <w:spacing w:before="200" w:line-rule="auto"/>
        <w:ind w:firstLine="540"/>
        <w:jc w:val="both"/>
      </w:pPr>
      <w:r>
        <w:rPr>
          <w:sz w:val="20"/>
        </w:rPr>
        <w:t xml:space="preserve">vii. заслушивание и утверждение протоколом заседания Экспортного совета отчетов по итогам работы структурного подразделения, ответственного за координацию мер поддержки экспорта в регионе (далее - РОИВ-координатор), не реже одного раза в полгода, при этом отчет может быть внесен на рассмотрение Экспортного совета только после согласования заместителем председателя Экспортного совета от предпринимательского сообщества;</w:t>
      </w:r>
    </w:p>
    <w:p>
      <w:pPr>
        <w:pStyle w:val="0"/>
        <w:jc w:val="both"/>
      </w:pPr>
      <w:r>
        <w:rPr>
          <w:sz w:val="20"/>
        </w:rPr>
        <w:t xml:space="preserve">(в ред. </w:t>
      </w:r>
      <w:hyperlink w:history="0" r:id="rId167"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viii. заслушивание и утверждение протоколом заседания Экспортного совета отчетов по итогам работы инфраструктуры поддержки экспорта в Курской области.</w:t>
      </w:r>
    </w:p>
    <w:p>
      <w:pPr>
        <w:pStyle w:val="0"/>
        <w:jc w:val="both"/>
      </w:pPr>
      <w:r>
        <w:rPr>
          <w:sz w:val="20"/>
        </w:rPr>
        <w:t xml:space="preserve">(в ред. </w:t>
      </w:r>
      <w:hyperlink w:history="0" r:id="rId168"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Абзац утратил силу. - </w:t>
      </w:r>
      <w:hyperlink w:history="0" r:id="rId169"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w:t>
        </w:r>
      </w:hyperlink>
      <w:r>
        <w:rPr>
          <w:sz w:val="20"/>
        </w:rPr>
        <w:t xml:space="preserve"> Курской области от 06.10.2023 N 73-ЗКО.</w:t>
      </w:r>
    </w:p>
    <w:p>
      <w:pPr>
        <w:pStyle w:val="0"/>
        <w:spacing w:before="200" w:line-rule="auto"/>
        <w:ind w:firstLine="540"/>
        <w:jc w:val="both"/>
      </w:pPr>
      <w:r>
        <w:rPr>
          <w:sz w:val="20"/>
        </w:rPr>
        <w:t xml:space="preserve">Основные компетенции РОИВ-координатора включают в себя:</w:t>
      </w:r>
    </w:p>
    <w:p>
      <w:pPr>
        <w:pStyle w:val="0"/>
        <w:jc w:val="both"/>
      </w:pPr>
      <w:r>
        <w:rPr>
          <w:sz w:val="20"/>
        </w:rPr>
        <w:t xml:space="preserve">(в ред. </w:t>
      </w:r>
      <w:hyperlink w:history="0" r:id="rId170" w:tooltip="Закон Курской области от 06.10.2023 N 73-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28.09.2023) {КонсультантПлюс}">
        <w:r>
          <w:rPr>
            <w:sz w:val="20"/>
            <w:color w:val="0000ff"/>
          </w:rPr>
          <w:t xml:space="preserve">Закона</w:t>
        </w:r>
      </w:hyperlink>
      <w:r>
        <w:rPr>
          <w:sz w:val="20"/>
        </w:rPr>
        <w:t xml:space="preserve"> Курской области от 06.10.2023 N 73-ЗКО)</w:t>
      </w:r>
    </w:p>
    <w:p>
      <w:pPr>
        <w:pStyle w:val="0"/>
        <w:spacing w:before="200" w:line-rule="auto"/>
        <w:ind w:firstLine="540"/>
        <w:jc w:val="both"/>
      </w:pPr>
      <w:r>
        <w:rPr>
          <w:sz w:val="20"/>
        </w:rPr>
        <w:t xml:space="preserve">i. актуализацию Экспортной стратегии региона;</w:t>
      </w:r>
    </w:p>
    <w:p>
      <w:pPr>
        <w:pStyle w:val="0"/>
        <w:spacing w:before="200" w:line-rule="auto"/>
        <w:ind w:firstLine="540"/>
        <w:jc w:val="both"/>
      </w:pPr>
      <w:r>
        <w:rPr>
          <w:sz w:val="20"/>
        </w:rPr>
        <w:t xml:space="preserve">ii. разработку мер государственной поддержки, направленных на развитие несырьевого экспорта и информирование экспортеров о региональных и федеральных механизмах и инструментах поддержки;</w:t>
      </w:r>
    </w:p>
    <w:p>
      <w:pPr>
        <w:pStyle w:val="0"/>
        <w:spacing w:before="200" w:line-rule="auto"/>
        <w:ind w:firstLine="540"/>
        <w:jc w:val="both"/>
      </w:pPr>
      <w:r>
        <w:rPr>
          <w:sz w:val="20"/>
        </w:rPr>
        <w:t xml:space="preserve">iii. исполнение функции секретариата Экспортного совета при высшем должностном лице субъекта Российской Федерации;</w:t>
      </w:r>
    </w:p>
    <w:p>
      <w:pPr>
        <w:pStyle w:val="0"/>
        <w:spacing w:before="200" w:line-rule="auto"/>
        <w:ind w:firstLine="540"/>
        <w:jc w:val="both"/>
      </w:pPr>
      <w:r>
        <w:rPr>
          <w:sz w:val="20"/>
        </w:rPr>
        <w:t xml:space="preserve">iv. сбор и анализ предложений по участию органов исполнительной власти субъекта Российской Федерации в зарубежных мероприятиях;</w:t>
      </w:r>
    </w:p>
    <w:p>
      <w:pPr>
        <w:pStyle w:val="0"/>
        <w:spacing w:before="200" w:line-rule="auto"/>
        <w:ind w:firstLine="540"/>
        <w:jc w:val="both"/>
      </w:pPr>
      <w:r>
        <w:rPr>
          <w:sz w:val="20"/>
        </w:rPr>
        <w:t xml:space="preserve">v. формирование планов по выстраиванию международного сотрудничества с зарубежными странами, определенными экспортной стратегией субъекта Российской Федерации как приоритетные для утверждения на заседаниях Экспортного совета;</w:t>
      </w:r>
    </w:p>
    <w:p>
      <w:pPr>
        <w:pStyle w:val="0"/>
        <w:spacing w:before="200" w:line-rule="auto"/>
        <w:ind w:firstLine="540"/>
        <w:jc w:val="both"/>
      </w:pPr>
      <w:r>
        <w:rPr>
          <w:sz w:val="20"/>
        </w:rPr>
        <w:t xml:space="preserve">vi. формирование единой повестки участия органов исполнительной власти субъекта Российской Федерации в зарубежных многоотраслевых мероприятиях для утверждения на заседаниях Экспортного совета;</w:t>
      </w:r>
    </w:p>
    <w:p>
      <w:pPr>
        <w:pStyle w:val="0"/>
        <w:spacing w:before="200" w:line-rule="auto"/>
        <w:ind w:firstLine="540"/>
        <w:jc w:val="both"/>
      </w:pPr>
      <w:r>
        <w:rPr>
          <w:sz w:val="20"/>
        </w:rPr>
        <w:t xml:space="preserve">vii. формирование списка участников из числа действующих региональных экспортеров и (или) компаний, планирующих осуществлять экспортную деятельность (зарегистрированных на территории субъекта Российской Федерации), а также органов исполнительной власти субъекта Российской Федерации, ответственных за развитие экспортной деятельности, зарубежных многоотраслевых мероприятий;</w:t>
      </w:r>
    </w:p>
    <w:p>
      <w:pPr>
        <w:pStyle w:val="0"/>
        <w:spacing w:before="200" w:line-rule="auto"/>
        <w:ind w:firstLine="540"/>
        <w:jc w:val="both"/>
      </w:pPr>
      <w:r>
        <w:rPr>
          <w:sz w:val="20"/>
        </w:rPr>
        <w:t xml:space="preserve">viii. координацию работы по популяризации экспортной деятельности среди экономически активного населения и молодежи субъекта Российской Федерации;</w:t>
      </w:r>
    </w:p>
    <w:p>
      <w:pPr>
        <w:pStyle w:val="0"/>
        <w:spacing w:before="200" w:line-rule="auto"/>
        <w:ind w:firstLine="540"/>
        <w:jc w:val="both"/>
      </w:pPr>
      <w:r>
        <w:rPr>
          <w:sz w:val="20"/>
        </w:rPr>
        <w:t xml:space="preserve">ix. заполнение онлайн системы мониторинга внедрения Регионального экспортного стандарта и систематическое (не реже одного раза в квартал) обновление информации о внедрении его инструментов.</w:t>
      </w:r>
    </w:p>
    <w:p>
      <w:pPr>
        <w:pStyle w:val="0"/>
        <w:spacing w:before="200" w:line-rule="auto"/>
        <w:ind w:firstLine="540"/>
        <w:jc w:val="both"/>
      </w:pPr>
      <w:r>
        <w:rPr>
          <w:sz w:val="20"/>
        </w:rPr>
        <w:t xml:space="preserve">Обучение бизнеса.</w:t>
      </w:r>
    </w:p>
    <w:p>
      <w:pPr>
        <w:pStyle w:val="0"/>
        <w:spacing w:before="200" w:line-rule="auto"/>
        <w:ind w:firstLine="540"/>
        <w:jc w:val="both"/>
      </w:pPr>
      <w:r>
        <w:rPr>
          <w:sz w:val="20"/>
        </w:rPr>
        <w:t xml:space="preserve">1.1. Проведение для предприятий-экспортеров Курской области мероприятий в рамках реализации Образовательной программы Школы экспорта РЭЦ.</w:t>
      </w:r>
    </w:p>
    <w:p>
      <w:pPr>
        <w:pStyle w:val="0"/>
        <w:spacing w:before="200" w:line-rule="auto"/>
        <w:ind w:firstLine="540"/>
        <w:jc w:val="both"/>
      </w:pPr>
      <w:r>
        <w:rPr>
          <w:sz w:val="20"/>
        </w:rPr>
        <w:t xml:space="preserve">1.2. Организация образовательных семинаров для изучения и освоения лучших практик с представителями лидирующих предприятий-экспортеров ЦФО.</w:t>
      </w:r>
    </w:p>
    <w:p>
      <w:pPr>
        <w:pStyle w:val="0"/>
        <w:spacing w:before="200" w:line-rule="auto"/>
        <w:ind w:firstLine="540"/>
        <w:jc w:val="both"/>
      </w:pPr>
      <w:r>
        <w:rPr>
          <w:sz w:val="20"/>
        </w:rPr>
        <w:t xml:space="preserve">1.3. Проведение краткосрочных тренингов и деловых игр на базе и при участии участников инфраструктуры поддержки бизнеса.</w:t>
      </w:r>
    </w:p>
    <w:p>
      <w:pPr>
        <w:pStyle w:val="0"/>
        <w:spacing w:before="200" w:line-rule="auto"/>
        <w:ind w:firstLine="540"/>
        <w:jc w:val="both"/>
      </w:pPr>
      <w:r>
        <w:rPr>
          <w:sz w:val="20"/>
        </w:rPr>
        <w:t xml:space="preserve">Продвижение интересов предприятий-экспортеров.</w:t>
      </w:r>
    </w:p>
    <w:p>
      <w:pPr>
        <w:pStyle w:val="0"/>
        <w:spacing w:before="200" w:line-rule="auto"/>
        <w:ind w:firstLine="540"/>
        <w:jc w:val="both"/>
      </w:pPr>
      <w:r>
        <w:rPr>
          <w:sz w:val="20"/>
        </w:rPr>
        <w:t xml:space="preserve">1.1. Взаимодействие с Российским экспортным центром для обеспечения участия компаний Курской области в российских экспозициях на международных выставках, инвестиционных саммитах и др.</w:t>
      </w:r>
    </w:p>
    <w:p>
      <w:pPr>
        <w:pStyle w:val="0"/>
        <w:spacing w:before="200" w:line-rule="auto"/>
        <w:ind w:firstLine="540"/>
        <w:jc w:val="both"/>
      </w:pPr>
      <w:r>
        <w:rPr>
          <w:sz w:val="20"/>
        </w:rPr>
        <w:t xml:space="preserve">1.2. Поддержка компаний Курской области в участии в программе "Национальная технологическая инициатива".</w:t>
      </w:r>
    </w:p>
    <w:p>
      <w:pPr>
        <w:pStyle w:val="0"/>
        <w:spacing w:before="200" w:line-rule="auto"/>
        <w:ind w:firstLine="540"/>
        <w:jc w:val="both"/>
      </w:pPr>
      <w:r>
        <w:rPr>
          <w:sz w:val="20"/>
        </w:rPr>
        <w:t xml:space="preserve">1.3. Мероприятия по снижению барьеров несырьевого экспорта.</w:t>
      </w:r>
    </w:p>
    <w:p>
      <w:pPr>
        <w:pStyle w:val="0"/>
        <w:spacing w:before="200" w:line-rule="auto"/>
        <w:ind w:firstLine="540"/>
        <w:jc w:val="both"/>
      </w:pPr>
      <w:r>
        <w:rPr>
          <w:sz w:val="20"/>
        </w:rPr>
        <w:t xml:space="preserve">a. Организация возможности сообщения бизнесом информации о барьерах, с которыми сталкиваются региональные компании-экспортеры.</w:t>
      </w:r>
    </w:p>
    <w:p>
      <w:pPr>
        <w:pStyle w:val="0"/>
        <w:spacing w:before="200" w:line-rule="auto"/>
        <w:ind w:firstLine="540"/>
        <w:jc w:val="both"/>
      </w:pPr>
      <w:r>
        <w:rPr>
          <w:sz w:val="20"/>
        </w:rPr>
        <w:t xml:space="preserve">b. Сообщение о выявленных барьерах в федеральные органы и организации (РЭЦ, Министерство экономического развития Российской Федерации).</w:t>
      </w:r>
    </w:p>
    <w:p>
      <w:pPr>
        <w:pStyle w:val="0"/>
        <w:spacing w:before="200" w:line-rule="auto"/>
        <w:ind w:firstLine="540"/>
        <w:jc w:val="both"/>
      </w:pPr>
      <w:r>
        <w:rPr>
          <w:sz w:val="20"/>
        </w:rPr>
        <w:t xml:space="preserve">c. Мониторинг действий по снятию барьеров, информирование компаний-экспортеров о статусе барьеров.</w:t>
      </w:r>
    </w:p>
    <w:p>
      <w:pPr>
        <w:pStyle w:val="0"/>
        <w:spacing w:before="200" w:line-rule="auto"/>
        <w:ind w:firstLine="540"/>
        <w:jc w:val="both"/>
      </w:pPr>
      <w:r>
        <w:rPr>
          <w:sz w:val="20"/>
        </w:rPr>
        <w:t xml:space="preserve">1.4. Организация региональных бизнес-миссий и поддержка участия компаний региона в бизнес-миссиях, организуемых федеральными органами власти, в целях оказания содействия предпринимателям и компаниям региона в поиске зарубежных партнеров, проведении переговоров, и обеспечении поставок продукции компаний Курской области за рубеж.</w:t>
      </w:r>
    </w:p>
    <w:p>
      <w:pPr>
        <w:pStyle w:val="0"/>
        <w:spacing w:before="200" w:line-rule="auto"/>
        <w:ind w:firstLine="540"/>
        <w:jc w:val="both"/>
      </w:pPr>
      <w:r>
        <w:rPr>
          <w:sz w:val="20"/>
        </w:rPr>
        <w:t xml:space="preserve">Информирование бизнеса.</w:t>
      </w:r>
    </w:p>
    <w:p>
      <w:pPr>
        <w:pStyle w:val="0"/>
        <w:spacing w:before="200" w:line-rule="auto"/>
        <w:ind w:firstLine="540"/>
        <w:jc w:val="both"/>
      </w:pPr>
      <w:r>
        <w:rPr>
          <w:sz w:val="20"/>
        </w:rPr>
        <w:t xml:space="preserve">1.1. Создание, поддержка и продвижение информационного ресурса, посвященного экспортной деятельности Курской области:</w:t>
      </w:r>
    </w:p>
    <w:p>
      <w:pPr>
        <w:pStyle w:val="0"/>
        <w:spacing w:before="200" w:line-rule="auto"/>
        <w:ind w:firstLine="540"/>
        <w:jc w:val="both"/>
      </w:pPr>
      <w:r>
        <w:rPr>
          <w:sz w:val="20"/>
        </w:rPr>
        <w:t xml:space="preserve">a. Единый информационный ресурс в сети Интернет будет обеспечивать поддержку компаниям - действующим и потенциальным экспортерам - со стороны органов исполнительной власти области и иных региональных и федеральных организаций, содействующих экспортной деятельности.</w:t>
      </w:r>
    </w:p>
    <w:p>
      <w:pPr>
        <w:pStyle w:val="0"/>
        <w:spacing w:before="200" w:line-rule="auto"/>
        <w:ind w:firstLine="540"/>
        <w:jc w:val="both"/>
      </w:pPr>
      <w:r>
        <w:rPr>
          <w:sz w:val="20"/>
        </w:rPr>
        <w:t xml:space="preserve">b. Интернет-ресурс будет предоставлять компаниям-экспортерам региона и компаниям - перспективным экспортерам следующие виды информационного обеспечения:</w:t>
      </w:r>
    </w:p>
    <w:p>
      <w:pPr>
        <w:pStyle w:val="0"/>
        <w:spacing w:before="200" w:line-rule="auto"/>
        <w:ind w:firstLine="540"/>
        <w:jc w:val="both"/>
      </w:pPr>
      <w:r>
        <w:rPr>
          <w:sz w:val="20"/>
        </w:rPr>
        <w:t xml:space="preserve">i. образовательная поддержка: информационные материалы по выбору форм экспортной деятельности, поиску рынков сбыта и выбору партнеров, поиску финансовой поддержки экспортной деятельности, подготовке и сертификации продукции к экспорту из Российской Федерации и ввозу в зарубежные страны; материалы по таможенной регуляторной базе, материалы по вопросам логистики экспорта;</w:t>
      </w:r>
    </w:p>
    <w:p>
      <w:pPr>
        <w:pStyle w:val="0"/>
        <w:spacing w:before="200" w:line-rule="auto"/>
        <w:ind w:firstLine="540"/>
        <w:jc w:val="both"/>
      </w:pPr>
      <w:r>
        <w:rPr>
          <w:sz w:val="20"/>
        </w:rPr>
        <w:t xml:space="preserve">ii. консультационная поддержка: предоставление информации о торговых представительствах Российской Федерации, отраслевых российских и иностранных организациях; поддержка целевого взаимодействия потенциальных экспортеров с такими организациями; обеспечение и поддержка прямых контактов с надежными специализированными иностранными торговыми партнерами; проведение специализированных маркетинговых исследований зарубежных товарных рынков и рынков услуг; поддержка поиска и выбора финансовых инструментов поддержки экспорта; консультации по таможенному законодательству Российской Федерации и стран - торговых партнеров; консультации по техническому и сертификационному обеспечению экспорта.</w:t>
      </w:r>
    </w:p>
    <w:p>
      <w:pPr>
        <w:pStyle w:val="0"/>
        <w:spacing w:before="200" w:line-rule="auto"/>
        <w:ind w:firstLine="540"/>
        <w:jc w:val="both"/>
      </w:pPr>
      <w:r>
        <w:rPr>
          <w:sz w:val="20"/>
        </w:rPr>
        <w:t xml:space="preserve">1.2. Публикация новостей и тематических обзоров, связанных с экспортной деятельностью Курской области, в средствах массовой информации.</w:t>
      </w:r>
    </w:p>
    <w:p>
      <w:pPr>
        <w:pStyle w:val="0"/>
        <w:spacing w:before="200" w:line-rule="auto"/>
        <w:ind w:firstLine="540"/>
        <w:jc w:val="both"/>
      </w:pPr>
      <w:r>
        <w:rPr>
          <w:sz w:val="20"/>
        </w:rPr>
        <w:t xml:space="preserve">Финансовая поддержка.</w:t>
      </w:r>
    </w:p>
    <w:p>
      <w:pPr>
        <w:pStyle w:val="0"/>
        <w:spacing w:before="200" w:line-rule="auto"/>
        <w:ind w:firstLine="540"/>
        <w:jc w:val="both"/>
      </w:pPr>
      <w:r>
        <w:rPr>
          <w:sz w:val="20"/>
        </w:rPr>
        <w:t xml:space="preserve">1.1. Диверсификация источников финансирования.</w:t>
      </w:r>
    </w:p>
    <w:p>
      <w:pPr>
        <w:pStyle w:val="0"/>
        <w:spacing w:before="200" w:line-rule="auto"/>
        <w:ind w:firstLine="540"/>
        <w:jc w:val="both"/>
      </w:pPr>
      <w:r>
        <w:rPr>
          <w:sz w:val="20"/>
        </w:rPr>
        <w:t xml:space="preserve">Поддержка взаимодействия компаний-экспортеров региона с банковскими организациями, участвующими в специализированных программах по субсидированию в целях компенсации процентной ставки кредитования в рамках приоритетного проекта "Системные меры развития международной кооперации и экспорта". К таким программам относится программа, реализуемая Росэксимбанком совместно с Министерством промышленности и торговли Российской Федерации, которая позволяет предложить максимально конкурентоспособные процентные ставки и сроки кредитования (открытие долгосрочных кредитных линий) для российских производителей и зарубежных заказчиков.</w:t>
      </w:r>
    </w:p>
    <w:p>
      <w:pPr>
        <w:pStyle w:val="0"/>
        <w:spacing w:before="200" w:line-rule="auto"/>
        <w:ind w:firstLine="540"/>
        <w:jc w:val="both"/>
      </w:pPr>
      <w:r>
        <w:rPr>
          <w:sz w:val="20"/>
        </w:rPr>
        <w:t xml:space="preserve">1.2. Страховое покрытие кредитов.</w:t>
      </w:r>
    </w:p>
    <w:p>
      <w:pPr>
        <w:pStyle w:val="0"/>
        <w:spacing w:before="200" w:line-rule="auto"/>
        <w:ind w:firstLine="540"/>
        <w:jc w:val="both"/>
      </w:pPr>
      <w:r>
        <w:rPr>
          <w:sz w:val="20"/>
        </w:rPr>
        <w:t xml:space="preserve">Поддержка взаимодействия компаний региона с РЭЦ для организации обеспечения страхового покрытия кредитов, выделяемых Российским агентством по страхованию экспортных кредитов и инвестиций (ЭКСАР), входящим в группу РЭЦ, в целях приобретения продукции производителей Курской области.</w:t>
      </w:r>
    </w:p>
    <w:p>
      <w:pPr>
        <w:pStyle w:val="0"/>
        <w:spacing w:before="200" w:line-rule="auto"/>
        <w:ind w:firstLine="540"/>
        <w:jc w:val="both"/>
      </w:pPr>
      <w:r>
        <w:rPr>
          <w:sz w:val="20"/>
        </w:rPr>
        <w:t xml:space="preserve">1.3. Страховое покрытие контрактов поставок.</w:t>
      </w:r>
    </w:p>
    <w:p>
      <w:pPr>
        <w:pStyle w:val="0"/>
        <w:spacing w:before="200" w:line-rule="auto"/>
        <w:ind w:firstLine="540"/>
        <w:jc w:val="both"/>
      </w:pPr>
      <w:r>
        <w:rPr>
          <w:sz w:val="20"/>
        </w:rPr>
        <w:t xml:space="preserve">Поддержка взаимодействия компаний региона с РЭЦ при организации страхового обеспечения контрактов поставки продукции компаниями-производителями региона со стороны ЭКСАР. Страховое покрытие краткосрочной дебиторской задолженности - один из наиболее востребованных финансовых продуктов экспортного цикла. Эта услуга актуальна для предпринимателей, осуществляющих регулярные поставки однородных товаров постоянным покупателям за рубежом.</w:t>
      </w:r>
    </w:p>
    <w:p>
      <w:pPr>
        <w:pStyle w:val="0"/>
        <w:spacing w:before="200" w:line-rule="auto"/>
        <w:ind w:firstLine="540"/>
        <w:jc w:val="both"/>
      </w:pPr>
      <w:r>
        <w:rPr>
          <w:sz w:val="20"/>
        </w:rPr>
        <w:t xml:space="preserve">Налоговое стимулирование.</w:t>
      </w:r>
    </w:p>
    <w:p>
      <w:pPr>
        <w:pStyle w:val="0"/>
        <w:spacing w:before="200" w:line-rule="auto"/>
        <w:ind w:firstLine="540"/>
        <w:jc w:val="both"/>
      </w:pPr>
      <w:r>
        <w:rPr>
          <w:sz w:val="20"/>
        </w:rPr>
        <w:t xml:space="preserve">1.1. Содействие в привлечении предприятий-экспортеров к членству в создаваемых на территории Курской области технопарках и других зонах, организуемых для стимулирования социально-экономического развития, с благоприятными налоговыми условиями.</w:t>
      </w:r>
    </w:p>
    <w:p>
      <w:pPr>
        <w:pStyle w:val="0"/>
        <w:spacing w:before="200" w:line-rule="auto"/>
        <w:ind w:firstLine="540"/>
        <w:jc w:val="both"/>
      </w:pPr>
      <w:r>
        <w:rPr>
          <w:sz w:val="20"/>
        </w:rPr>
        <w:t xml:space="preserve">1.2. Введение адресных мер стимулирования для действующих и потенциальных экспортеров Курской области, представивших обоснованную программу наращивания экспорта несырьевой неэнергетической продукции.</w:t>
      </w:r>
    </w:p>
    <w:p>
      <w:pPr>
        <w:pStyle w:val="0"/>
        <w:spacing w:before="200" w:line-rule="auto"/>
        <w:ind w:firstLine="540"/>
        <w:jc w:val="both"/>
      </w:pPr>
      <w:r>
        <w:rPr>
          <w:sz w:val="20"/>
        </w:rPr>
        <w:t xml:space="preserve">Поддержка экспорта продукции АПК.</w:t>
      </w:r>
    </w:p>
    <w:p>
      <w:pPr>
        <w:pStyle w:val="0"/>
        <w:spacing w:before="200" w:line-rule="auto"/>
        <w:ind w:firstLine="540"/>
        <w:jc w:val="both"/>
      </w:pPr>
      <w:r>
        <w:rPr>
          <w:sz w:val="20"/>
        </w:rPr>
        <w:t xml:space="preserve">1.1. Содействие получению мер федеральной поддержки экспортеров для увеличения объема экспортных поставок (компенсация затрат экспортеров на перевозку продукции АПК железнодорожным транспортом и др.).</w:t>
      </w:r>
    </w:p>
    <w:p>
      <w:pPr>
        <w:pStyle w:val="0"/>
        <w:spacing w:before="200" w:line-rule="auto"/>
        <w:ind w:firstLine="540"/>
        <w:jc w:val="both"/>
      </w:pPr>
      <w:r>
        <w:rPr>
          <w:sz w:val="20"/>
        </w:rPr>
        <w:t xml:space="preserve">1.2. Внедрение мер поддержки экспортеров продукции АПК на региональном уровне (субсидии на возмещение части затрат на перевозку продукции сельскохозяйственного производства и переработки при осуществлении поставок по экспортным контрактам, субсидии на производство продукции АПК с высокой экспортной составляющей и др.).</w:t>
      </w:r>
    </w:p>
    <w:p>
      <w:pPr>
        <w:pStyle w:val="0"/>
        <w:spacing w:before="200" w:line-rule="auto"/>
        <w:ind w:firstLine="540"/>
        <w:jc w:val="both"/>
      </w:pPr>
      <w:r>
        <w:rPr>
          <w:sz w:val="20"/>
        </w:rPr>
        <w:t xml:space="preserve">1.3. Содействие реализации региональных инвестиционных проектов в сфере АПК для наращивания объемов производства продукции на экспорт, в частности продукции высокого передела.</w:t>
      </w:r>
    </w:p>
    <w:p>
      <w:pPr>
        <w:pStyle w:val="0"/>
        <w:spacing w:before="200" w:line-rule="auto"/>
        <w:ind w:firstLine="540"/>
        <w:jc w:val="both"/>
      </w:pPr>
      <w:r>
        <w:rPr>
          <w:sz w:val="20"/>
        </w:rPr>
        <w:t xml:space="preserve">1.4. Содействие доступа региональных экспортеров продукции АПК к объектам агрологистической инфраструктуры Российской Федерации.</w:t>
      </w:r>
    </w:p>
    <w:p>
      <w:pPr>
        <w:pStyle w:val="0"/>
        <w:spacing w:before="200" w:line-rule="auto"/>
        <w:ind w:firstLine="540"/>
        <w:jc w:val="both"/>
      </w:pPr>
      <w:r>
        <w:rPr>
          <w:sz w:val="20"/>
        </w:rPr>
        <w:t xml:space="preserve">1.5. Содействие решению вопросов развития агрологистической инфраструктуры в регионе, в том числе носящих межведомственный характер (господдержка, ж/д тарифы и маршруты, таможенное оформление, ветеринарное и фитосанитарное сопровождение).</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7597" w:name="P7597"/>
    <w:bookmarkEnd w:id="7597"/>
    <w:p>
      <w:pPr>
        <w:pStyle w:val="0"/>
        <w:outlineLvl w:val="3"/>
        <w:jc w:val="right"/>
      </w:pPr>
      <w:r>
        <w:rPr>
          <w:sz w:val="20"/>
        </w:rPr>
        <w:t xml:space="preserve">Приложение N 1</w:t>
      </w:r>
    </w:p>
    <w:p>
      <w:pPr>
        <w:pStyle w:val="0"/>
        <w:ind w:firstLine="540"/>
        <w:jc w:val="both"/>
      </w:pPr>
      <w:r>
        <w:rPr>
          <w:sz w:val="20"/>
        </w:rPr>
      </w:r>
    </w:p>
    <w:p>
      <w:pPr>
        <w:pStyle w:val="2"/>
        <w:jc w:val="center"/>
      </w:pPr>
      <w:r>
        <w:rPr>
          <w:sz w:val="20"/>
        </w:rPr>
        <w:t xml:space="preserve">МЕТОДИКА</w:t>
      </w:r>
    </w:p>
    <w:p>
      <w:pPr>
        <w:pStyle w:val="2"/>
        <w:jc w:val="center"/>
      </w:pPr>
      <w:r>
        <w:rPr>
          <w:sz w:val="20"/>
        </w:rPr>
        <w:t xml:space="preserve">РАСЧЕТА ИНДЕКСА ОТКРЫТОСТИ ЭКОНОМИКИ</w:t>
      </w:r>
    </w:p>
    <w:p>
      <w:pPr>
        <w:pStyle w:val="0"/>
        <w:ind w:firstLine="540"/>
        <w:jc w:val="both"/>
      </w:pPr>
      <w:r>
        <w:rPr>
          <w:sz w:val="20"/>
        </w:rPr>
      </w:r>
    </w:p>
    <w:p>
      <w:pPr>
        <w:pStyle w:val="0"/>
        <w:ind w:firstLine="540"/>
        <w:jc w:val="both"/>
      </w:pPr>
      <w:r>
        <w:rPr>
          <w:sz w:val="20"/>
        </w:rPr>
        <w:t xml:space="preserve">Индекс открытости экономики (The Trade-to-GDP ratio), также называемый "уровень торговой открытости", позволяет оценить как нацеленность локальных производителей на внешние рынки, так и зависимость локального спроса от внешних поставщиков товаров и услуг. С помощью данного индекса определяется степень "интеграции" страны или региона в мировую экономику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Источник: http://stats.oecd.org/OECDStat_Metadata/ShowMetadata.ashx?Dataset=TRADEINDMACRO&amp;Coords=%5BIND%5D.%5B1%5D&amp;ShowOnWeb=true&amp;Lang=en.</w:t>
      </w:r>
    </w:p>
    <w:p>
      <w:pPr>
        <w:pStyle w:val="0"/>
        <w:ind w:firstLine="540"/>
        <w:jc w:val="both"/>
      </w:pPr>
      <w:r>
        <w:rPr>
          <w:sz w:val="20"/>
        </w:rPr>
      </w:r>
    </w:p>
    <w:p>
      <w:pPr>
        <w:pStyle w:val="0"/>
        <w:ind w:firstLine="540"/>
        <w:jc w:val="both"/>
      </w:pPr>
      <w:r>
        <w:rPr>
          <w:sz w:val="20"/>
        </w:rPr>
        <w:t xml:space="preserve">На национальном уровне индекс открытости экономики рассчитывается как соотношение суммы экспорта и импорта (объем внешнеторгового оборота) к величине ВВП. На региональном уровне при расчете индекса открытости экономики можно выделить две составляющие - межрегиональную и внешнеэкономическую. Межрегиональная открытость экономики оценивает степень вовлеченности региональных производителей в товарооборот внутри страны и рассчитывается как отношение суммы объемов ввоза товаров в регион и вывоза товаров из региона к величине ВРП. Внешнеэкономическая открытость определяется уровнем участия региона в мировой экономике и рассчитывается как отношение внешнеторгового товарооборота региона к ВРП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Садыртдинов Р.Р. Анализ открытости экономики Республики Татарстан и ее зависимости от межрегионального и внешнеэкономического товарообмена. - Вестник экономики, права и социологии, 2013, N 3.</w:t>
      </w:r>
    </w:p>
    <w:p>
      <w:pPr>
        <w:pStyle w:val="0"/>
        <w:ind w:firstLine="540"/>
        <w:jc w:val="both"/>
      </w:pPr>
      <w:r>
        <w:rPr>
          <w:sz w:val="20"/>
        </w:rPr>
      </w:r>
    </w:p>
    <w:p>
      <w:pPr>
        <w:pStyle w:val="0"/>
        <w:ind w:firstLine="540"/>
        <w:jc w:val="both"/>
      </w:pPr>
      <w:r>
        <w:rPr>
          <w:sz w:val="20"/>
        </w:rPr>
        <w:t xml:space="preserve">Для расчета индекса внешнеэкономической открытости экономики Курской области использовались статистические данные внешней торговли Федеральной экономической службы России, данные Росстата о размере валового регионального продукта и валового внутреннего продукта за 2016 год. Пересчет показателей, выраженных в долларах США, в рублевый эквивалент производился на основании среднего курса рубля к доллару США по данным статистики The United Nations Economic Commission for Europe (UNECE)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Источник: http://w3.unece.org/PXWeb2015/pxweb/en/STAT/STAT__10-CountryOverviews__01-Figures/ZZZ_en_CoSummary_r.px/table/tableViewLayout1/?rxid=a2b77a72-b15b-4a7a-b40c-c694f53bec18.</w:t>
      </w:r>
    </w:p>
    <w:p>
      <w:pPr>
        <w:pStyle w:val="0"/>
        <w:ind w:firstLine="540"/>
        <w:jc w:val="both"/>
      </w:pPr>
      <w:r>
        <w:rPr>
          <w:sz w:val="20"/>
        </w:rPr>
      </w:r>
    </w:p>
    <w:p>
      <w:pPr>
        <w:pStyle w:val="0"/>
        <w:ind w:firstLine="540"/>
        <w:jc w:val="both"/>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3"/>
        <w:jc w:val="right"/>
      </w:pPr>
      <w:r>
        <w:rPr>
          <w:sz w:val="20"/>
        </w:rPr>
        <w:t xml:space="preserve">Приложение N 2</w:t>
      </w:r>
    </w:p>
    <w:p>
      <w:pPr>
        <w:pStyle w:val="0"/>
        <w:ind w:firstLine="540"/>
        <w:jc w:val="both"/>
      </w:pPr>
      <w:r>
        <w:rPr>
          <w:sz w:val="20"/>
        </w:rPr>
      </w:r>
    </w:p>
    <w:bookmarkStart w:id="7620" w:name="P7620"/>
    <w:bookmarkEnd w:id="7620"/>
    <w:p>
      <w:pPr>
        <w:pStyle w:val="2"/>
        <w:jc w:val="center"/>
      </w:pPr>
      <w:r>
        <w:rPr>
          <w:sz w:val="20"/>
        </w:rPr>
        <w:t xml:space="preserve">МЕТОДИКА</w:t>
      </w:r>
    </w:p>
    <w:p>
      <w:pPr>
        <w:pStyle w:val="2"/>
        <w:jc w:val="center"/>
      </w:pPr>
      <w:r>
        <w:rPr>
          <w:sz w:val="20"/>
        </w:rPr>
        <w:t xml:space="preserve">РАСЧЕТА ИНДЕКСА ЛОКАЛИЗАЦИИ</w:t>
      </w:r>
    </w:p>
    <w:p>
      <w:pPr>
        <w:pStyle w:val="0"/>
        <w:ind w:firstLine="540"/>
        <w:jc w:val="both"/>
      </w:pPr>
      <w:r>
        <w:rPr>
          <w:sz w:val="20"/>
        </w:rPr>
      </w:r>
    </w:p>
    <w:p>
      <w:pPr>
        <w:pStyle w:val="0"/>
        <w:ind w:firstLine="540"/>
        <w:jc w:val="both"/>
      </w:pPr>
      <w:r>
        <w:rPr>
          <w:sz w:val="20"/>
        </w:rPr>
        <w:t xml:space="preserve">Индекс локализации (Location Quotient) является одним из наиболее распространенных показателей для сравнения уровня концентрации определенной отрасли в одном регионе относительно уровня концентрации этой же отрасли в другом регионе. При этом для сравнения обычно используется страновой показатель. Несмотря на то, что данный индекс может рассчитываться на основе разных переменных, таких как объем производства, добавленная стоимость и др., как правило, в расчет принимается показатель занятости. Таким образом, индекс локализации отдельной отрасли показывает соотношение доли числа занятых в данной отрасли в общем числе занятых в регионе и доли числа занятых в отрасли в общей занятости по стране.</w:t>
      </w:r>
    </w:p>
    <w:p>
      <w:pPr>
        <w:pStyle w:val="0"/>
        <w:ind w:firstLine="540"/>
        <w:jc w:val="both"/>
      </w:pPr>
      <w:r>
        <w:rPr>
          <w:sz w:val="20"/>
        </w:rPr>
      </w:r>
    </w:p>
    <w:p>
      <w:pPr>
        <w:pStyle w:val="0"/>
        <w:jc w:val="center"/>
      </w:pPr>
      <w:r>
        <w:rPr>
          <w:position w:val="-56"/>
        </w:rPr>
        <w:drawing>
          <wp:inline distT="0" distB="0" distL="0" distR="0">
            <wp:extent cx="723900" cy="838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LQ - индекс локализации,</w:t>
      </w:r>
    </w:p>
    <w:p>
      <w:pPr>
        <w:pStyle w:val="0"/>
        <w:spacing w:before="200" w:line-rule="auto"/>
        <w:ind w:firstLine="540"/>
        <w:jc w:val="both"/>
      </w:pPr>
      <w:r>
        <w:rPr>
          <w:sz w:val="20"/>
        </w:rPr>
        <w:t xml:space="preserve">E</w:t>
      </w:r>
      <w:r>
        <w:rPr>
          <w:sz w:val="20"/>
          <w:vertAlign w:val="subscript"/>
        </w:rPr>
        <w:t xml:space="preserve">tr</w:t>
      </w:r>
      <w:r>
        <w:rPr>
          <w:sz w:val="20"/>
        </w:rPr>
        <w:t xml:space="preserve"> - число занятых в отрасли t в регионе r,</w:t>
      </w:r>
    </w:p>
    <w:p>
      <w:pPr>
        <w:pStyle w:val="0"/>
        <w:spacing w:before="200" w:line-rule="auto"/>
        <w:ind w:firstLine="540"/>
        <w:jc w:val="both"/>
      </w:pPr>
      <w:r>
        <w:rPr>
          <w:sz w:val="20"/>
        </w:rPr>
        <w:t xml:space="preserve">E</w:t>
      </w:r>
      <w:r>
        <w:rPr>
          <w:sz w:val="20"/>
          <w:vertAlign w:val="subscript"/>
        </w:rPr>
        <w:t xml:space="preserve">r</w:t>
      </w:r>
      <w:r>
        <w:rPr>
          <w:sz w:val="20"/>
        </w:rPr>
        <w:t xml:space="preserve"> - число занятых в регионе r,</w:t>
      </w:r>
    </w:p>
    <w:p>
      <w:pPr>
        <w:pStyle w:val="0"/>
        <w:spacing w:before="200" w:line-rule="auto"/>
        <w:ind w:firstLine="540"/>
        <w:jc w:val="both"/>
      </w:pPr>
      <w:r>
        <w:rPr>
          <w:sz w:val="20"/>
        </w:rPr>
        <w:t xml:space="preserve">E</w:t>
      </w:r>
      <w:r>
        <w:rPr>
          <w:sz w:val="20"/>
          <w:vertAlign w:val="subscript"/>
        </w:rPr>
        <w:t xml:space="preserve">tn</w:t>
      </w:r>
      <w:r>
        <w:rPr>
          <w:sz w:val="20"/>
        </w:rPr>
        <w:t xml:space="preserve"> - число занятых в отрасли t в стране n,</w:t>
      </w:r>
    </w:p>
    <w:p>
      <w:pPr>
        <w:pStyle w:val="0"/>
        <w:spacing w:before="200" w:line-rule="auto"/>
        <w:ind w:firstLine="540"/>
        <w:jc w:val="both"/>
      </w:pPr>
      <w:r>
        <w:rPr>
          <w:sz w:val="20"/>
        </w:rPr>
        <w:t xml:space="preserve">E</w:t>
      </w:r>
      <w:r>
        <w:rPr>
          <w:sz w:val="20"/>
          <w:vertAlign w:val="subscript"/>
        </w:rPr>
        <w:t xml:space="preserve">n</w:t>
      </w:r>
      <w:r>
        <w:rPr>
          <w:sz w:val="20"/>
        </w:rPr>
        <w:t xml:space="preserve"> - число занятых в стране n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Формула приводится согласно Mustafa Dinc "Introduction to Regional Economic Development", The World Bank, Washington, USA, 2015.</w:t>
      </w:r>
    </w:p>
    <w:p>
      <w:pPr>
        <w:pStyle w:val="0"/>
        <w:ind w:firstLine="540"/>
        <w:jc w:val="both"/>
      </w:pPr>
      <w:r>
        <w:rPr>
          <w:sz w:val="20"/>
        </w:rPr>
      </w:r>
    </w:p>
    <w:p>
      <w:pPr>
        <w:pStyle w:val="0"/>
        <w:ind w:firstLine="540"/>
        <w:jc w:val="both"/>
      </w:pPr>
      <w:r>
        <w:rPr>
          <w:sz w:val="20"/>
        </w:rPr>
        <w:t xml:space="preserve">Если индекс локализации равен 1, то отрасль в регионе характеризуется такой же долей в региональной занятости, как и вся отрасль в страновой занятости. Это означает, что производство в регионе направлено преимущественно на удовлетворение локального спроса. Индекс локализации выше 1 означает, что доля занятости в отрасли по сравнению с общей занятостью выше на региональном уровне по сравнению со страновым. Это свидетельствует о том, что в регионе в данной отрасли производится достаточное количество продукции (услуг), чтобы не только удовлетворить внутренний спрос, и поставлять на экспорт (за пределы региона). Наличие экспорта (вывоза продукции за пределы региона) подтверждает конкурентоспособность этой продукции на мировом рынке (на рынке страны). Индекс локализации меньше 1 дает сигнал о том, что в рамках данной отрасли регион, скорее всего, преимущественно импортирует, поэтому необходимо рассматривать возможности для развития отрасли в этом регионе.</w:t>
      </w:r>
    </w:p>
    <w:p>
      <w:pPr>
        <w:pStyle w:val="0"/>
        <w:spacing w:before="200" w:line-rule="auto"/>
        <w:ind w:firstLine="540"/>
        <w:jc w:val="both"/>
      </w:pPr>
      <w:r>
        <w:rPr>
          <w:sz w:val="20"/>
        </w:rPr>
        <w:t xml:space="preserve">Для расчета индекса локализации использовались статистические данные Росстата &lt;18&gt; о среднегодовой численности занятых в экономике по видам экономической деятельности в Курской области и в целом по России за 2015 - 2016 гг. Перечень отраслей, в которых специализируется регион, составили виды экономической деятельности с наивысшими значениями индекса локализации, превышающими 1. Значения индексов локализации по каждому виду экономической деятельности за 2016 год сравнивались со значениями 2015 года для выявления изменений в специализации региона.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Источники: </w:t>
      </w:r>
      <w:r>
        <w:rPr>
          <w:sz w:val="20"/>
        </w:rPr>
        <w:t xml:space="preserve">http://www.gks.ru/wps/wcm/connect/rosstat_main/rosstat/ru/statistics/wages/labour_force</w:t>
      </w:r>
      <w:r>
        <w:rPr>
          <w:sz w:val="20"/>
        </w:rPr>
        <w:t xml:space="preserve">, </w:t>
      </w:r>
      <w:r>
        <w:rPr>
          <w:sz w:val="20"/>
        </w:rPr>
        <w:t xml:space="preserve">http://kurskstat.gks.ru/wps/wcm/connect/rosstat_ts/kurskstat/ru/statistics/employment</w:t>
      </w: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Стратегии социально-экономического</w:t>
      </w:r>
    </w:p>
    <w:p>
      <w:pPr>
        <w:pStyle w:val="0"/>
        <w:jc w:val="right"/>
      </w:pPr>
      <w:r>
        <w:rPr>
          <w:sz w:val="20"/>
        </w:rPr>
        <w:t xml:space="preserve">развития Курской области на период</w:t>
      </w:r>
    </w:p>
    <w:p>
      <w:pPr>
        <w:pStyle w:val="0"/>
        <w:jc w:val="right"/>
      </w:pPr>
      <w:r>
        <w:rPr>
          <w:sz w:val="20"/>
        </w:rPr>
        <w:t xml:space="preserve">до 2030 года</w:t>
      </w:r>
    </w:p>
    <w:p>
      <w:pPr>
        <w:pStyle w:val="0"/>
        <w:ind w:left="540"/>
        <w:jc w:val="both"/>
      </w:pPr>
      <w:r>
        <w:rPr>
          <w:sz w:val="20"/>
        </w:rPr>
      </w:r>
    </w:p>
    <w:bookmarkStart w:id="7650" w:name="P7650"/>
    <w:bookmarkEnd w:id="7650"/>
    <w:p>
      <w:pPr>
        <w:pStyle w:val="2"/>
        <w:jc w:val="center"/>
      </w:pPr>
      <w:r>
        <w:rPr>
          <w:sz w:val="20"/>
        </w:rPr>
        <w:t xml:space="preserve">ДОПОЛНИТЕЛЬНЫЕ МАТЕРИАЛЫ</w:t>
      </w:r>
    </w:p>
    <w:p>
      <w:pPr>
        <w:pStyle w:val="2"/>
        <w:jc w:val="center"/>
      </w:pPr>
      <w:r>
        <w:rPr>
          <w:sz w:val="20"/>
        </w:rPr>
        <w:t xml:space="preserve">К РАЗДЕЛУ "КАДРОВОЕ ОБЕСПЕЧЕНИЕ ЭКОНОМИКИ РЕГИОНА"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72"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color w:val="392c69"/>
              </w:rPr>
              <w:t xml:space="preserve"> Курской области</w:t>
            </w:r>
          </w:p>
          <w:p>
            <w:pPr>
              <w:pStyle w:val="0"/>
              <w:jc w:val="center"/>
            </w:pPr>
            <w:r>
              <w:rPr>
                <w:sz w:val="20"/>
                <w:color w:val="392c69"/>
              </w:rPr>
              <w:t xml:space="preserve">от 23.12.2022 N 169-ЗКО)</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Работа по прогнозированию кадровой потребности в трудовых ресурсах региона проводится в рамках Соглашения, заключенного между комитетом по труду и занятости населения Курской области, рядом отраслевых структур, Территориальным органом Федеральной службы государственной статистики (далее - Курскстат), Курским институтом развития образования и регламента взаимодействия в рамках системы мероприятий по прогнозированию потребностей региона в квалифицированных кадрах.</w:t>
      </w:r>
    </w:p>
    <w:p>
      <w:pPr>
        <w:pStyle w:val="0"/>
        <w:spacing w:before="200" w:line-rule="auto"/>
        <w:ind w:firstLine="540"/>
        <w:jc w:val="both"/>
      </w:pPr>
      <w:r>
        <w:rPr>
          <w:sz w:val="20"/>
        </w:rPr>
        <w:t xml:space="preserve">Исследовательскую работу выполняет Курский институт развития образования, где создана лаборатория прогнозирования кадровых потребностей, использующая в своей работе данные, предоставляемые Курскстатом, исполнительными органами Курской области, а главное - работодателями.</w:t>
      </w:r>
    </w:p>
    <w:p>
      <w:pPr>
        <w:pStyle w:val="0"/>
        <w:jc w:val="both"/>
      </w:pPr>
      <w:r>
        <w:rPr>
          <w:sz w:val="20"/>
        </w:rPr>
        <w:t xml:space="preserve">(в ред. </w:t>
      </w:r>
      <w:hyperlink w:history="0" r:id="rId173" w:tooltip="Закон Курской области от 23.12.2022 N 169-ЗКО &quot;О внесении изменений в приложение к Закону Курской области &quot;О Стратегии социально-экономического развития Курской области на период до 2030 года&quot; (принят Курской областной Думой 13.12.2022) {КонсультантПлюс}">
        <w:r>
          <w:rPr>
            <w:sz w:val="20"/>
            <w:color w:val="0000ff"/>
          </w:rPr>
          <w:t xml:space="preserve">Закона</w:t>
        </w:r>
      </w:hyperlink>
      <w:r>
        <w:rPr>
          <w:sz w:val="20"/>
        </w:rPr>
        <w:t xml:space="preserve"> Курской области от 23.12.2022 N 169-ЗКО)</w:t>
      </w:r>
    </w:p>
    <w:p>
      <w:pPr>
        <w:pStyle w:val="0"/>
        <w:spacing w:before="200" w:line-rule="auto"/>
        <w:ind w:firstLine="540"/>
        <w:jc w:val="both"/>
      </w:pPr>
      <w:r>
        <w:rPr>
          <w:sz w:val="20"/>
        </w:rPr>
        <w:t xml:space="preserve">Основными результатами прогнозирования спроса экономики на рабочую силу в Методике прогнозирования кадровых потребностей Курской области являются следующие показатели:</w:t>
      </w:r>
    </w:p>
    <w:p>
      <w:pPr>
        <w:pStyle w:val="0"/>
        <w:spacing w:before="200" w:line-rule="auto"/>
        <w:ind w:firstLine="540"/>
        <w:jc w:val="both"/>
      </w:pPr>
      <w:r>
        <w:rPr>
          <w:sz w:val="20"/>
        </w:rPr>
        <w:t xml:space="preserve">- кадровая потребность экономики - прогнозируемая потребность экономики региона в рабочей силе (в среднем за год) для обеспечения прогнозируемого объема валового регионального продукта (ВРП), скорректированная с учетом ожидаемой численности занятых в экономике;</w:t>
      </w:r>
    </w:p>
    <w:p>
      <w:pPr>
        <w:pStyle w:val="0"/>
        <w:spacing w:before="200" w:line-rule="auto"/>
        <w:ind w:firstLine="540"/>
        <w:jc w:val="both"/>
      </w:pPr>
      <w:r>
        <w:rPr>
          <w:sz w:val="20"/>
        </w:rPr>
        <w:t xml:space="preserve">- необходимая среднесписочная численность работников организаций - прогнозируемая потребность экономики региона в рабочей силе (в эквиваленте полной занятости) для обеспечения прогнозируемого объема ВРП;</w:t>
      </w:r>
    </w:p>
    <w:p>
      <w:pPr>
        <w:pStyle w:val="0"/>
        <w:spacing w:before="200" w:line-rule="auto"/>
        <w:ind w:firstLine="540"/>
        <w:jc w:val="both"/>
      </w:pPr>
      <w:r>
        <w:rPr>
          <w:sz w:val="20"/>
        </w:rPr>
        <w:t xml:space="preserve">- дополнительная кадровая потребность - ежегодная дополнительная потребность в рабочей силе для замещения свободных рабочих мест.</w:t>
      </w:r>
    </w:p>
    <w:p>
      <w:pPr>
        <w:pStyle w:val="0"/>
        <w:spacing w:before="200" w:line-rule="auto"/>
        <w:ind w:firstLine="540"/>
        <w:jc w:val="both"/>
      </w:pPr>
      <w:r>
        <w:rPr>
          <w:sz w:val="20"/>
        </w:rPr>
        <w:t xml:space="preserve">Приказом Минтруда России от 15 августа 2018 года N 527н потребность субъектов Российской Федерации и отраслей экономики в профессиональных кадрах определяется как "численность работников, занятых в экономике, необходимая для обеспечения прогнозируемых объемов производства валового регионального продукта и добавленной стоимости с учетом планируемого изменения производительности труда по видам экономической деятельности (разделам ОКВЭД 2) и занятиям (малым группам ОКЗ)". В отличие от списочной (среднесписочной) численности занятых на предприятиях и организациях всех форм собственности, этот показатель позволяет оценить численность занятых, не наблюдаемую прямыми статистическими методами. Данные в среднегодовом исчислении формируются один раз в год при составлении баланса трудовых ресурсов на основе сведений предприятий и организаций (о численности работающих по найму), материалов выборочного обследования населения по проблемам занятости (о численности лиц, занятых предпринимательской деятельностью без образования юридических лиц, фермерах), данных органов миграционной службы (о численности иностранных граждан работающих в экономике), досчетов на численность не выявленной в ходе выборочного обследования населения неформальной занятости. Таким образом, баланс трудовых ресурсов является средством оценки реального трудового потенциала региона (страны) и источником информации о его использовании.</w:t>
      </w:r>
    </w:p>
    <w:p>
      <w:pPr>
        <w:pStyle w:val="0"/>
        <w:spacing w:before="200" w:line-rule="auto"/>
        <w:ind w:firstLine="540"/>
        <w:jc w:val="both"/>
      </w:pPr>
      <w:r>
        <w:rPr>
          <w:sz w:val="20"/>
        </w:rPr>
        <w:t xml:space="preserve">По состоянию на 01.01.2019 численность населения Курской области составила 1107041 человек, из них 594471 (53,7%) - население в трудоспособном возрасте, 187111 (16,9%) - моложе трудоспособного, 325459 (29,4%) - старше трудоспособного.</w:t>
      </w:r>
    </w:p>
    <w:p>
      <w:pPr>
        <w:pStyle w:val="0"/>
        <w:spacing w:before="200" w:line-rule="auto"/>
        <w:ind w:firstLine="540"/>
        <w:jc w:val="both"/>
      </w:pPr>
      <w:r>
        <w:rPr>
          <w:sz w:val="20"/>
        </w:rPr>
        <w:t xml:space="preserve">При этом в целом численность населения региона сократилась с начала 2001 года до 1 января 2019 года на 12,6%, в том числе моложе трудоспособного возраста - на 19,0%, в трудоспособном возрасте - на 17,0%, старше трудоспособного - возросла на 3,1%. Такая ситуация свидетельствует о неблагоприятных демографических тенденциях: общем сокращении населения за счет наиболее молодых и увеличении демографической нагрузки на трудоспособное население по причине старения населения.</w:t>
      </w:r>
    </w:p>
    <w:p>
      <w:pPr>
        <w:pStyle w:val="0"/>
        <w:spacing w:before="200" w:line-rule="auto"/>
        <w:ind w:firstLine="540"/>
        <w:jc w:val="both"/>
      </w:pPr>
      <w:r>
        <w:rPr>
          <w:sz w:val="20"/>
        </w:rPr>
        <w:t xml:space="preserve">Согласно классификации Организации Объединенных Наций, население считается старым, если удельный вес возрастной группы 65 лет и старше в нем превышает 7%. По данным Курскстата, на начало 2017 года к этой возрастной категории относилось 16,1% постоянного населения Курской области. Начиная с 2000 года численность населения старше трудоспособного возраста (женщины 55 лет и старше, мужчины 60 лет и старше) в России впервые за всю ее историю стала превышать численность населения моложе трудоспособного возраста (до 15 лет включительно). В Курской области на начало 2001 года численность данной категории граждан в 1,37 раз превысила численность населения моложе трудоспособного возраста, а на начало 2019 года это соотношение составило 1,74 раза.</w:t>
      </w:r>
    </w:p>
    <w:p>
      <w:pPr>
        <w:pStyle w:val="0"/>
        <w:spacing w:before="200" w:line-rule="auto"/>
        <w:ind w:firstLine="540"/>
        <w:jc w:val="both"/>
      </w:pPr>
      <w:r>
        <w:rPr>
          <w:sz w:val="20"/>
        </w:rPr>
        <w:t xml:space="preserve">Еще одной стойкой демографической тенденцией в Курской области является усиление процессов урбанизации в регионе. Так, на 1 января 2001 года соотношение городского и сельского населения составляло 60,8% и 39,2%, а на начало 2019 года - 68,2% и 31,8%, соответственно.</w:t>
      </w:r>
    </w:p>
    <w:p>
      <w:pPr>
        <w:pStyle w:val="0"/>
        <w:spacing w:before="200" w:line-rule="auto"/>
        <w:ind w:firstLine="540"/>
        <w:jc w:val="both"/>
      </w:pPr>
      <w:r>
        <w:rPr>
          <w:sz w:val="20"/>
        </w:rPr>
        <w:t xml:space="preserve">Анализ распределения трудовых ресурсов экономики Курской области за 2019 год показывает, что существенная часть потребности экономики в кадрах возмещается за счет лиц старше трудоспособного возраста (11,5% среднегодовой численности занятых в экономике). В то же время резерв рабочей силы в трудоспособном возрасте, не занятой в экономике и учебой, составил 14,6% от среднегодовой численности занятых в экономике (таблица N 1).</w:t>
      </w:r>
    </w:p>
    <w:p>
      <w:pPr>
        <w:pStyle w:val="0"/>
        <w:spacing w:before="200" w:line-rule="auto"/>
        <w:ind w:firstLine="540"/>
        <w:jc w:val="both"/>
      </w:pPr>
      <w:r>
        <w:rPr>
          <w:sz w:val="20"/>
        </w:rPr>
        <w:t xml:space="preserve">Всего среднегодовая численность занятых в экономике составила 505,5 тыс. человек, среднегодовая численность работников организаций Курской области (без внешних совместителей и работников несписочного состава) - 321,2 тыс. человек. Таким образом, разница между номинальной и реальной численностью занятых в экономике в 2019 году достигла 57,4%.</w:t>
      </w:r>
    </w:p>
    <w:p>
      <w:pPr>
        <w:pStyle w:val="0"/>
        <w:spacing w:before="200" w:line-rule="auto"/>
        <w:ind w:firstLine="540"/>
        <w:jc w:val="both"/>
      </w:pPr>
      <w:r>
        <w:rPr>
          <w:sz w:val="20"/>
        </w:rPr>
        <w:t xml:space="preserve">Структурные и технологические сдвиги в экономике отражаются на динамике списочного состава работников: за последние 17 лет (с 2002 по 2019 гг.) величина среднесписочной численности занятых осталась достаточно стабильной (изменения в сторону увеличения или уменьшения в пределах 10 - 12%) в сферах:</w:t>
      </w:r>
    </w:p>
    <w:p>
      <w:pPr>
        <w:pStyle w:val="0"/>
        <w:spacing w:before="200" w:line-rule="auto"/>
        <w:ind w:firstLine="540"/>
        <w:jc w:val="both"/>
      </w:pPr>
      <w:r>
        <w:rPr>
          <w:sz w:val="20"/>
        </w:rPr>
        <w:t xml:space="preserve">- производства пищевых продуктов;</w:t>
      </w:r>
    </w:p>
    <w:p>
      <w:pPr>
        <w:pStyle w:val="0"/>
        <w:spacing w:before="200" w:line-rule="auto"/>
        <w:ind w:firstLine="540"/>
        <w:jc w:val="both"/>
      </w:pPr>
      <w:r>
        <w:rPr>
          <w:sz w:val="20"/>
        </w:rPr>
        <w:t xml:space="preserve">- производства и распределения электроэнергии, газа и воды;</w:t>
      </w:r>
    </w:p>
    <w:p>
      <w:pPr>
        <w:pStyle w:val="0"/>
        <w:spacing w:before="200" w:line-rule="auto"/>
        <w:ind w:firstLine="540"/>
        <w:jc w:val="both"/>
      </w:pPr>
      <w:r>
        <w:rPr>
          <w:sz w:val="20"/>
        </w:rPr>
        <w:t xml:space="preserve">- государственного управления и обеспечения военной безопасности, обязательного социального обеспечения;</w:t>
      </w:r>
    </w:p>
    <w:p>
      <w:pPr>
        <w:pStyle w:val="0"/>
        <w:spacing w:before="200" w:line-rule="auto"/>
        <w:ind w:firstLine="540"/>
        <w:jc w:val="both"/>
      </w:pPr>
      <w:r>
        <w:rPr>
          <w:sz w:val="20"/>
        </w:rPr>
        <w:t xml:space="preserve">- образования;</w:t>
      </w:r>
    </w:p>
    <w:p>
      <w:pPr>
        <w:pStyle w:val="0"/>
        <w:spacing w:before="200" w:line-rule="auto"/>
        <w:ind w:firstLine="540"/>
        <w:jc w:val="both"/>
      </w:pPr>
      <w:r>
        <w:rPr>
          <w:sz w:val="20"/>
        </w:rPr>
        <w:t xml:space="preserve">- здравоохранения;</w:t>
      </w:r>
    </w:p>
    <w:p>
      <w:pPr>
        <w:pStyle w:val="0"/>
        <w:spacing w:before="200" w:line-rule="auto"/>
        <w:ind w:firstLine="540"/>
        <w:jc w:val="both"/>
      </w:pPr>
      <w:r>
        <w:rPr>
          <w:sz w:val="20"/>
        </w:rPr>
        <w:t xml:space="preserve">- в гостиничном и ресторанном бизнесе.</w:t>
      </w:r>
    </w:p>
    <w:p>
      <w:pPr>
        <w:pStyle w:val="0"/>
        <w:ind w:firstLine="540"/>
        <w:jc w:val="both"/>
      </w:pPr>
      <w:r>
        <w:rPr>
          <w:sz w:val="20"/>
        </w:rPr>
      </w:r>
    </w:p>
    <w:p>
      <w:pPr>
        <w:pStyle w:val="0"/>
        <w:outlineLvl w:val="2"/>
        <w:jc w:val="right"/>
      </w:pPr>
      <w:r>
        <w:rPr>
          <w:sz w:val="20"/>
        </w:rPr>
        <w:t xml:space="preserve">Таблица N 1</w:t>
      </w:r>
    </w:p>
    <w:p>
      <w:pPr>
        <w:pStyle w:val="0"/>
        <w:jc w:val="center"/>
      </w:pPr>
      <w:r>
        <w:rPr>
          <w:sz w:val="20"/>
        </w:rPr>
      </w:r>
    </w:p>
    <w:p>
      <w:pPr>
        <w:pStyle w:val="2"/>
        <w:jc w:val="center"/>
      </w:pPr>
      <w:r>
        <w:rPr>
          <w:sz w:val="20"/>
        </w:rPr>
        <w:t xml:space="preserve">Численность и состав трудовых ресурсов Курской области</w:t>
      </w:r>
    </w:p>
    <w:p>
      <w:pPr>
        <w:pStyle w:val="2"/>
        <w:jc w:val="center"/>
      </w:pPr>
      <w:r>
        <w:rPr>
          <w:sz w:val="20"/>
        </w:rPr>
        <w:t xml:space="preserve">в среднем за 2019 год (по данным отчетного баланса</w:t>
      </w:r>
    </w:p>
    <w:p>
      <w:pPr>
        <w:pStyle w:val="2"/>
        <w:jc w:val="center"/>
      </w:pPr>
      <w:r>
        <w:rPr>
          <w:sz w:val="20"/>
        </w:rPr>
        <w:t xml:space="preserve">трудовых ресурсов)</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4"/>
        <w:gridCol w:w="2127"/>
      </w:tblGrid>
      <w:tr>
        <w:tc>
          <w:tcPr>
            <w:tcW w:w="6804" w:type="dxa"/>
          </w:tcPr>
          <w:p>
            <w:pPr>
              <w:pStyle w:val="0"/>
              <w:jc w:val="center"/>
            </w:pPr>
            <w:r>
              <w:rPr>
                <w:sz w:val="20"/>
              </w:rPr>
              <w:t xml:space="preserve">Категории трудовых ресурсов</w:t>
            </w:r>
          </w:p>
        </w:tc>
        <w:tc>
          <w:tcPr>
            <w:tcW w:w="2127" w:type="dxa"/>
          </w:tcPr>
          <w:p>
            <w:pPr>
              <w:pStyle w:val="0"/>
              <w:jc w:val="center"/>
            </w:pPr>
            <w:r>
              <w:rPr>
                <w:sz w:val="20"/>
              </w:rPr>
              <w:t xml:space="preserve">Количество (человек)</w:t>
            </w:r>
          </w:p>
        </w:tc>
      </w:tr>
      <w:tr>
        <w:tc>
          <w:tcPr>
            <w:tcW w:w="6804" w:type="dxa"/>
          </w:tcPr>
          <w:p>
            <w:pPr>
              <w:pStyle w:val="0"/>
              <w:ind w:firstLine="250"/>
              <w:jc w:val="both"/>
            </w:pPr>
            <w:r>
              <w:rPr>
                <w:sz w:val="20"/>
              </w:rPr>
              <w:t xml:space="preserve">Численность трудовых ресурсов - всего</w:t>
            </w:r>
          </w:p>
        </w:tc>
        <w:tc>
          <w:tcPr>
            <w:tcW w:w="2127" w:type="dxa"/>
          </w:tcPr>
          <w:p>
            <w:pPr>
              <w:pStyle w:val="0"/>
              <w:ind w:firstLine="709"/>
              <w:jc w:val="both"/>
            </w:pPr>
            <w:r>
              <w:rPr>
                <w:sz w:val="20"/>
              </w:rPr>
              <w:t xml:space="preserve">628841</w:t>
            </w:r>
          </w:p>
        </w:tc>
      </w:tr>
      <w:tr>
        <w:tc>
          <w:tcPr>
            <w:gridSpan w:val="2"/>
            <w:tcW w:w="8931" w:type="dxa"/>
          </w:tcPr>
          <w:p>
            <w:pPr>
              <w:pStyle w:val="0"/>
              <w:ind w:firstLine="250"/>
              <w:jc w:val="both"/>
            </w:pPr>
            <w:r>
              <w:rPr>
                <w:sz w:val="20"/>
              </w:rPr>
              <w:t xml:space="preserve">в том числе:</w:t>
            </w:r>
          </w:p>
        </w:tc>
      </w:tr>
      <w:tr>
        <w:tc>
          <w:tcPr>
            <w:tcW w:w="6804" w:type="dxa"/>
          </w:tcPr>
          <w:p>
            <w:pPr>
              <w:pStyle w:val="0"/>
              <w:ind w:firstLine="250"/>
              <w:jc w:val="both"/>
            </w:pPr>
            <w:r>
              <w:rPr>
                <w:sz w:val="20"/>
              </w:rPr>
              <w:t xml:space="preserve">трудоспособное население в трудоспособном возрасте</w:t>
            </w:r>
          </w:p>
        </w:tc>
        <w:tc>
          <w:tcPr>
            <w:tcW w:w="2127" w:type="dxa"/>
          </w:tcPr>
          <w:p>
            <w:pPr>
              <w:pStyle w:val="0"/>
              <w:ind w:firstLine="709"/>
              <w:jc w:val="both"/>
            </w:pPr>
            <w:r>
              <w:rPr>
                <w:sz w:val="20"/>
              </w:rPr>
              <w:t xml:space="preserve">559724</w:t>
            </w:r>
          </w:p>
        </w:tc>
      </w:tr>
      <w:tr>
        <w:tc>
          <w:tcPr>
            <w:tcW w:w="6804" w:type="dxa"/>
          </w:tcPr>
          <w:p>
            <w:pPr>
              <w:pStyle w:val="0"/>
              <w:ind w:firstLine="250"/>
              <w:jc w:val="both"/>
            </w:pPr>
            <w:r>
              <w:rPr>
                <w:sz w:val="20"/>
              </w:rPr>
              <w:t xml:space="preserve">иностранные трудовые мигранты</w:t>
            </w:r>
          </w:p>
        </w:tc>
        <w:tc>
          <w:tcPr>
            <w:tcW w:w="2127" w:type="dxa"/>
          </w:tcPr>
          <w:p>
            <w:pPr>
              <w:pStyle w:val="0"/>
              <w:ind w:firstLine="709"/>
              <w:jc w:val="both"/>
            </w:pPr>
            <w:r>
              <w:rPr>
                <w:sz w:val="20"/>
              </w:rPr>
              <w:t xml:space="preserve">9836</w:t>
            </w:r>
          </w:p>
        </w:tc>
      </w:tr>
      <w:tr>
        <w:tc>
          <w:tcPr>
            <w:tcW w:w="6804" w:type="dxa"/>
          </w:tcPr>
          <w:p>
            <w:pPr>
              <w:pStyle w:val="0"/>
              <w:ind w:firstLine="250"/>
              <w:jc w:val="both"/>
            </w:pPr>
            <w:r>
              <w:rPr>
                <w:sz w:val="20"/>
              </w:rPr>
              <w:t xml:space="preserve">лица старше трудоспособного возраста и подростки, занятые в экономике</w:t>
            </w:r>
          </w:p>
        </w:tc>
        <w:tc>
          <w:tcPr>
            <w:tcW w:w="2127" w:type="dxa"/>
          </w:tcPr>
          <w:p>
            <w:pPr>
              <w:pStyle w:val="0"/>
              <w:ind w:firstLine="709"/>
              <w:jc w:val="both"/>
            </w:pPr>
            <w:r>
              <w:rPr>
                <w:sz w:val="20"/>
              </w:rPr>
              <w:t xml:space="preserve">59281</w:t>
            </w:r>
          </w:p>
        </w:tc>
      </w:tr>
      <w:tr>
        <w:tc>
          <w:tcPr>
            <w:gridSpan w:val="2"/>
            <w:tcW w:w="8931" w:type="dxa"/>
          </w:tcPr>
          <w:p>
            <w:pPr>
              <w:pStyle w:val="0"/>
              <w:ind w:firstLine="250"/>
              <w:jc w:val="both"/>
            </w:pPr>
            <w:r>
              <w:rPr>
                <w:sz w:val="20"/>
              </w:rPr>
              <w:t xml:space="preserve">в том числе:</w:t>
            </w:r>
          </w:p>
        </w:tc>
      </w:tr>
      <w:tr>
        <w:tc>
          <w:tcPr>
            <w:tcW w:w="6804" w:type="dxa"/>
          </w:tcPr>
          <w:p>
            <w:pPr>
              <w:pStyle w:val="0"/>
              <w:ind w:firstLine="250"/>
              <w:jc w:val="both"/>
            </w:pPr>
            <w:r>
              <w:rPr>
                <w:sz w:val="20"/>
              </w:rPr>
              <w:t xml:space="preserve">лица старше трудоспособного возраста</w:t>
            </w:r>
          </w:p>
        </w:tc>
        <w:tc>
          <w:tcPr>
            <w:tcW w:w="2127" w:type="dxa"/>
          </w:tcPr>
          <w:p>
            <w:pPr>
              <w:pStyle w:val="0"/>
              <w:ind w:firstLine="709"/>
              <w:jc w:val="both"/>
            </w:pPr>
            <w:r>
              <w:rPr>
                <w:sz w:val="20"/>
              </w:rPr>
              <w:t xml:space="preserve">58288</w:t>
            </w:r>
          </w:p>
        </w:tc>
      </w:tr>
      <w:tr>
        <w:tc>
          <w:tcPr>
            <w:tcW w:w="6804" w:type="dxa"/>
          </w:tcPr>
          <w:p>
            <w:pPr>
              <w:pStyle w:val="0"/>
              <w:ind w:firstLine="250"/>
              <w:jc w:val="both"/>
            </w:pPr>
            <w:r>
              <w:rPr>
                <w:sz w:val="20"/>
              </w:rPr>
              <w:t xml:space="preserve">подростки</w:t>
            </w:r>
          </w:p>
        </w:tc>
        <w:tc>
          <w:tcPr>
            <w:tcW w:w="2127" w:type="dxa"/>
          </w:tcPr>
          <w:p>
            <w:pPr>
              <w:pStyle w:val="0"/>
              <w:ind w:firstLine="709"/>
              <w:jc w:val="both"/>
            </w:pPr>
            <w:r>
              <w:rPr>
                <w:sz w:val="20"/>
              </w:rPr>
              <w:t xml:space="preserve">993</w:t>
            </w:r>
          </w:p>
        </w:tc>
      </w:tr>
      <w:tr>
        <w:tc>
          <w:tcPr>
            <w:gridSpan w:val="2"/>
            <w:tcW w:w="8931" w:type="dxa"/>
          </w:tcPr>
          <w:p>
            <w:pPr>
              <w:pStyle w:val="0"/>
              <w:ind w:firstLine="250"/>
              <w:jc w:val="both"/>
            </w:pPr>
            <w:r>
              <w:rPr>
                <w:sz w:val="20"/>
              </w:rPr>
              <w:t xml:space="preserve">Распределение численности трудовых ресурсов:</w:t>
            </w:r>
          </w:p>
        </w:tc>
      </w:tr>
      <w:tr>
        <w:tc>
          <w:tcPr>
            <w:tcW w:w="6804" w:type="dxa"/>
          </w:tcPr>
          <w:p>
            <w:pPr>
              <w:pStyle w:val="0"/>
              <w:ind w:firstLine="250"/>
              <w:jc w:val="both"/>
            </w:pPr>
            <w:r>
              <w:rPr>
                <w:sz w:val="20"/>
              </w:rPr>
              <w:t xml:space="preserve">1. Среднегодовая численность занятых в экономике</w:t>
            </w:r>
          </w:p>
        </w:tc>
        <w:tc>
          <w:tcPr>
            <w:tcW w:w="2127" w:type="dxa"/>
          </w:tcPr>
          <w:p>
            <w:pPr>
              <w:pStyle w:val="0"/>
              <w:ind w:firstLine="709"/>
              <w:jc w:val="both"/>
            </w:pPr>
            <w:r>
              <w:rPr>
                <w:sz w:val="20"/>
              </w:rPr>
              <w:t xml:space="preserve">505461</w:t>
            </w:r>
          </w:p>
        </w:tc>
      </w:tr>
      <w:tr>
        <w:tc>
          <w:tcPr>
            <w:tcW w:w="6804" w:type="dxa"/>
          </w:tcPr>
          <w:p>
            <w:pPr>
              <w:pStyle w:val="0"/>
              <w:ind w:firstLine="250"/>
              <w:jc w:val="both"/>
            </w:pPr>
            <w:r>
              <w:rPr>
                <w:sz w:val="20"/>
              </w:rPr>
              <w:t xml:space="preserve">2. Учащиеся в трудоспособном возрасте, обучающиеся с отрывом от работы</w:t>
            </w:r>
          </w:p>
        </w:tc>
        <w:tc>
          <w:tcPr>
            <w:tcW w:w="2127" w:type="dxa"/>
          </w:tcPr>
          <w:p>
            <w:pPr>
              <w:pStyle w:val="0"/>
              <w:ind w:firstLine="709"/>
              <w:jc w:val="both"/>
            </w:pPr>
            <w:r>
              <w:rPr>
                <w:sz w:val="20"/>
              </w:rPr>
              <w:t xml:space="preserve">49456</w:t>
            </w:r>
          </w:p>
        </w:tc>
      </w:tr>
      <w:tr>
        <w:tc>
          <w:tcPr>
            <w:tcW w:w="6804" w:type="dxa"/>
          </w:tcPr>
          <w:p>
            <w:pPr>
              <w:pStyle w:val="0"/>
              <w:ind w:firstLine="250"/>
              <w:jc w:val="both"/>
            </w:pPr>
            <w:r>
              <w:rPr>
                <w:sz w:val="20"/>
              </w:rPr>
              <w:t xml:space="preserve">3. Трудоспособное население в трудоспособном возрасте, не занятое в экономике и учебой (военнослужащие; российские граждане, работающие за границей; безработные; домохозяйки и др.)</w:t>
            </w:r>
          </w:p>
        </w:tc>
        <w:tc>
          <w:tcPr>
            <w:tcW w:w="2127" w:type="dxa"/>
          </w:tcPr>
          <w:p>
            <w:pPr>
              <w:pStyle w:val="0"/>
              <w:ind w:firstLine="709"/>
              <w:jc w:val="both"/>
            </w:pPr>
            <w:r>
              <w:rPr>
                <w:sz w:val="20"/>
              </w:rPr>
              <w:t xml:space="preserve">73924</w:t>
            </w:r>
          </w:p>
        </w:tc>
      </w:tr>
    </w:tbl>
    <w:p>
      <w:pPr>
        <w:pStyle w:val="0"/>
        <w:ind w:firstLine="540"/>
        <w:jc w:val="both"/>
      </w:pPr>
      <w:r>
        <w:rPr>
          <w:sz w:val="20"/>
        </w:rPr>
      </w:r>
    </w:p>
    <w:p>
      <w:pPr>
        <w:pStyle w:val="0"/>
        <w:ind w:firstLine="540"/>
        <w:jc w:val="both"/>
      </w:pPr>
      <w:r>
        <w:rPr>
          <w:sz w:val="20"/>
        </w:rPr>
        <w:t xml:space="preserve">Существенно возросла численность работников, занятых в области операций с недвижимостью, аренды и предоставления услуг в сферах научных исследований и разработок, права, бухгалтерского учета и аудита, информатики и информационных технологий, стандартизации и метрологии, геодезии и картографии и других; финансовой деятельности; оптовой и розничной торговли; среди отраслей промышленности - в производстве транспортных средств и оборудования.</w:t>
      </w:r>
    </w:p>
    <w:p>
      <w:pPr>
        <w:pStyle w:val="0"/>
        <w:spacing w:before="200" w:line-rule="auto"/>
        <w:ind w:firstLine="540"/>
        <w:jc w:val="both"/>
      </w:pPr>
      <w:r>
        <w:rPr>
          <w:sz w:val="20"/>
        </w:rPr>
        <w:t xml:space="preserve">В остальных отраслях наблюдается значительное сокращение численности работников списочного состава. Это, прежде всего, отрасли производительной сферы, которые вносят наибольший вклад в формирование интегрированного результата общественного производства: сельское, лесное и рыбное хозяйство, добыча полезных ископаемых, машиностроение, текстильная, деревообрабатывающая, химическая и прочие отрасли обрабатывающей промышленности, строительство, транспорт и связь. Также почти вдвое сократилась численность сотрудников сферы прочих коммунальных, социальных и персональных услуг, в том числе: деятельность общественных объединений; деятельность по организации отдыха и развлечений, культуры и спорта, физкультурно-оздоровительная деятельность, бытовые услуги.</w:t>
      </w:r>
    </w:p>
    <w:p>
      <w:pPr>
        <w:pStyle w:val="0"/>
        <w:spacing w:before="200" w:line-rule="auto"/>
        <w:ind w:firstLine="540"/>
        <w:jc w:val="both"/>
      </w:pPr>
      <w:r>
        <w:rPr>
          <w:sz w:val="20"/>
        </w:rPr>
        <w:t xml:space="preserve">В результате в структуре занятости произошло существенное изменение в сторону непроизводительной сферы (возросла доля образования, здравоохранения, торговли, административного сектора, финансовой деятельности, операций с недвижимым имуществом, аренды и предоставления услуг). Частично изменение структуры занятости объясняется повышением производительности труда на производстве и технологическими сдвигами. В частности, в сельском хозяйстве открываются многочисленные животноводческие комплексы с высоким уровнем автоматизации производства. Тем не менее, промышленность и сельское хозяйство сохраняют ведущие позиции по численности персонала предприятий (таблица N 2).</w:t>
      </w:r>
    </w:p>
    <w:p>
      <w:pPr>
        <w:pStyle w:val="0"/>
        <w:ind w:firstLine="540"/>
        <w:jc w:val="both"/>
      </w:pPr>
      <w:r>
        <w:rPr>
          <w:sz w:val="20"/>
        </w:rPr>
      </w:r>
    </w:p>
    <w:p>
      <w:pPr>
        <w:pStyle w:val="0"/>
        <w:outlineLvl w:val="2"/>
        <w:jc w:val="right"/>
      </w:pPr>
      <w:r>
        <w:rPr>
          <w:sz w:val="20"/>
        </w:rPr>
        <w:t xml:space="preserve">Таблица N 2</w:t>
      </w:r>
    </w:p>
    <w:p>
      <w:pPr>
        <w:pStyle w:val="0"/>
        <w:jc w:val="center"/>
      </w:pPr>
      <w:r>
        <w:rPr>
          <w:sz w:val="20"/>
        </w:rPr>
      </w:r>
    </w:p>
    <w:p>
      <w:pPr>
        <w:pStyle w:val="2"/>
        <w:jc w:val="center"/>
      </w:pPr>
      <w:r>
        <w:rPr>
          <w:sz w:val="20"/>
        </w:rPr>
        <w:t xml:space="preserve">Величина и структура среднесписочной численности работников</w:t>
      </w:r>
    </w:p>
    <w:p>
      <w:pPr>
        <w:pStyle w:val="2"/>
        <w:jc w:val="center"/>
      </w:pPr>
      <w:r>
        <w:rPr>
          <w:sz w:val="20"/>
        </w:rPr>
        <w:t xml:space="preserve">организаций Курской области в разрезе видов экономической</w:t>
      </w:r>
    </w:p>
    <w:p>
      <w:pPr>
        <w:pStyle w:val="2"/>
        <w:jc w:val="center"/>
      </w:pPr>
      <w:r>
        <w:rPr>
          <w:sz w:val="20"/>
        </w:rPr>
        <w:t xml:space="preserve">деятельности в 2019 году</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12"/>
        <w:gridCol w:w="1701"/>
        <w:gridCol w:w="1559"/>
      </w:tblGrid>
      <w:tr>
        <w:tc>
          <w:tcPr>
            <w:tcW w:w="5812" w:type="dxa"/>
          </w:tcPr>
          <w:p>
            <w:pPr>
              <w:pStyle w:val="0"/>
              <w:jc w:val="center"/>
            </w:pPr>
            <w:r>
              <w:rPr>
                <w:sz w:val="20"/>
              </w:rPr>
              <w:t xml:space="preserve">Наименование видов экономической деятельности</w:t>
            </w:r>
          </w:p>
        </w:tc>
        <w:tc>
          <w:tcPr>
            <w:tcW w:w="1701" w:type="dxa"/>
          </w:tcPr>
          <w:p>
            <w:pPr>
              <w:pStyle w:val="0"/>
              <w:jc w:val="center"/>
            </w:pPr>
            <w:r>
              <w:rPr>
                <w:sz w:val="20"/>
              </w:rPr>
              <w:t xml:space="preserve">Количество человек</w:t>
            </w:r>
          </w:p>
        </w:tc>
        <w:tc>
          <w:tcPr>
            <w:tcW w:w="1559" w:type="dxa"/>
          </w:tcPr>
          <w:p>
            <w:pPr>
              <w:pStyle w:val="0"/>
              <w:jc w:val="center"/>
            </w:pPr>
            <w:r>
              <w:rPr>
                <w:sz w:val="20"/>
              </w:rPr>
              <w:t xml:space="preserve">Удельный вес, %</w:t>
            </w:r>
          </w:p>
        </w:tc>
      </w:tr>
      <w:tr>
        <w:tc>
          <w:tcPr>
            <w:tcW w:w="5812" w:type="dxa"/>
          </w:tcPr>
          <w:p>
            <w:pPr>
              <w:pStyle w:val="0"/>
            </w:pPr>
            <w:r>
              <w:rPr>
                <w:sz w:val="20"/>
              </w:rPr>
              <w:t xml:space="preserve">Сельское, лесное хозяйство, охота, рыболовство и рыбоводство</w:t>
            </w:r>
          </w:p>
        </w:tc>
        <w:tc>
          <w:tcPr>
            <w:tcW w:w="1701" w:type="dxa"/>
          </w:tcPr>
          <w:p>
            <w:pPr>
              <w:pStyle w:val="0"/>
              <w:jc w:val="center"/>
            </w:pPr>
            <w:r>
              <w:rPr>
                <w:sz w:val="20"/>
              </w:rPr>
              <w:t xml:space="preserve">24300</w:t>
            </w:r>
          </w:p>
        </w:tc>
        <w:tc>
          <w:tcPr>
            <w:tcW w:w="1559" w:type="dxa"/>
          </w:tcPr>
          <w:p>
            <w:pPr>
              <w:pStyle w:val="0"/>
              <w:jc w:val="center"/>
            </w:pPr>
            <w:r>
              <w:rPr>
                <w:sz w:val="20"/>
              </w:rPr>
              <w:t xml:space="preserve">7,57</w:t>
            </w:r>
          </w:p>
        </w:tc>
      </w:tr>
      <w:tr>
        <w:tc>
          <w:tcPr>
            <w:tcW w:w="5812" w:type="dxa"/>
          </w:tcPr>
          <w:p>
            <w:pPr>
              <w:pStyle w:val="0"/>
            </w:pPr>
            <w:r>
              <w:rPr>
                <w:sz w:val="20"/>
              </w:rPr>
              <w:t xml:space="preserve">Добыча полезных ископаемых</w:t>
            </w:r>
          </w:p>
        </w:tc>
        <w:tc>
          <w:tcPr>
            <w:tcW w:w="1701" w:type="dxa"/>
          </w:tcPr>
          <w:p>
            <w:pPr>
              <w:pStyle w:val="0"/>
              <w:jc w:val="center"/>
            </w:pPr>
            <w:r>
              <w:rPr>
                <w:sz w:val="20"/>
              </w:rPr>
              <w:t xml:space="preserve">5900</w:t>
            </w:r>
          </w:p>
        </w:tc>
        <w:tc>
          <w:tcPr>
            <w:tcW w:w="1559" w:type="dxa"/>
          </w:tcPr>
          <w:p>
            <w:pPr>
              <w:pStyle w:val="0"/>
              <w:jc w:val="center"/>
            </w:pPr>
            <w:r>
              <w:rPr>
                <w:sz w:val="20"/>
              </w:rPr>
              <w:t xml:space="preserve">1,84</w:t>
            </w:r>
          </w:p>
        </w:tc>
      </w:tr>
      <w:tr>
        <w:tc>
          <w:tcPr>
            <w:tcW w:w="5812" w:type="dxa"/>
          </w:tcPr>
          <w:p>
            <w:pPr>
              <w:pStyle w:val="0"/>
            </w:pPr>
            <w:r>
              <w:rPr>
                <w:sz w:val="20"/>
              </w:rPr>
              <w:t xml:space="preserve">Обрабатывающие производства</w:t>
            </w:r>
          </w:p>
        </w:tc>
        <w:tc>
          <w:tcPr>
            <w:tcW w:w="1701" w:type="dxa"/>
          </w:tcPr>
          <w:p>
            <w:pPr>
              <w:pStyle w:val="0"/>
              <w:jc w:val="center"/>
            </w:pPr>
            <w:r>
              <w:rPr>
                <w:sz w:val="20"/>
              </w:rPr>
              <w:t xml:space="preserve">54200</w:t>
            </w:r>
          </w:p>
        </w:tc>
        <w:tc>
          <w:tcPr>
            <w:tcW w:w="1559" w:type="dxa"/>
          </w:tcPr>
          <w:p>
            <w:pPr>
              <w:pStyle w:val="0"/>
              <w:jc w:val="center"/>
            </w:pPr>
            <w:r>
              <w:rPr>
                <w:sz w:val="20"/>
              </w:rPr>
              <w:t xml:space="preserve">16,87</w:t>
            </w:r>
          </w:p>
        </w:tc>
      </w:tr>
      <w:tr>
        <w:tc>
          <w:tcPr>
            <w:tcW w:w="5812" w:type="dxa"/>
          </w:tcPr>
          <w:p>
            <w:pPr>
              <w:pStyle w:val="0"/>
            </w:pPr>
            <w:r>
              <w:rPr>
                <w:sz w:val="20"/>
              </w:rPr>
              <w:t xml:space="preserve">Обеспечение электрической энергией, газом и паром; кондиционирование воздуха</w:t>
            </w:r>
          </w:p>
        </w:tc>
        <w:tc>
          <w:tcPr>
            <w:tcW w:w="1701" w:type="dxa"/>
          </w:tcPr>
          <w:p>
            <w:pPr>
              <w:pStyle w:val="0"/>
              <w:jc w:val="center"/>
            </w:pPr>
            <w:r>
              <w:rPr>
                <w:sz w:val="20"/>
              </w:rPr>
              <w:t xml:space="preserve">15400</w:t>
            </w:r>
          </w:p>
        </w:tc>
        <w:tc>
          <w:tcPr>
            <w:tcW w:w="1559" w:type="dxa"/>
          </w:tcPr>
          <w:p>
            <w:pPr>
              <w:pStyle w:val="0"/>
              <w:jc w:val="center"/>
            </w:pPr>
            <w:r>
              <w:rPr>
                <w:sz w:val="20"/>
              </w:rPr>
              <w:t xml:space="preserve">4,79</w:t>
            </w:r>
          </w:p>
        </w:tc>
      </w:tr>
      <w:tr>
        <w:tc>
          <w:tcPr>
            <w:tcW w:w="5812" w:type="dxa"/>
          </w:tcPr>
          <w:p>
            <w:pPr>
              <w:pStyle w:val="0"/>
            </w:pPr>
            <w:r>
              <w:rPr>
                <w:sz w:val="20"/>
              </w:rPr>
              <w:t xml:space="preserve">Водоснабжение; водоотведение, организация сбора и утилизации отходов, деятельность по ликвидации загрязнений</w:t>
            </w:r>
          </w:p>
        </w:tc>
        <w:tc>
          <w:tcPr>
            <w:tcW w:w="1701" w:type="dxa"/>
          </w:tcPr>
          <w:p>
            <w:pPr>
              <w:pStyle w:val="0"/>
              <w:jc w:val="center"/>
            </w:pPr>
            <w:r>
              <w:rPr>
                <w:sz w:val="20"/>
              </w:rPr>
              <w:t xml:space="preserve">4200</w:t>
            </w:r>
          </w:p>
        </w:tc>
        <w:tc>
          <w:tcPr>
            <w:tcW w:w="1559" w:type="dxa"/>
          </w:tcPr>
          <w:p>
            <w:pPr>
              <w:pStyle w:val="0"/>
              <w:jc w:val="center"/>
            </w:pPr>
            <w:r>
              <w:rPr>
                <w:sz w:val="20"/>
              </w:rPr>
              <w:t xml:space="preserve">1,31</w:t>
            </w:r>
          </w:p>
        </w:tc>
      </w:tr>
      <w:tr>
        <w:tc>
          <w:tcPr>
            <w:tcW w:w="5812" w:type="dxa"/>
          </w:tcPr>
          <w:p>
            <w:pPr>
              <w:pStyle w:val="0"/>
            </w:pPr>
            <w:r>
              <w:rPr>
                <w:sz w:val="20"/>
              </w:rPr>
              <w:t xml:space="preserve">Строительство</w:t>
            </w:r>
          </w:p>
        </w:tc>
        <w:tc>
          <w:tcPr>
            <w:tcW w:w="1701" w:type="dxa"/>
          </w:tcPr>
          <w:p>
            <w:pPr>
              <w:pStyle w:val="0"/>
              <w:jc w:val="center"/>
            </w:pPr>
            <w:r>
              <w:rPr>
                <w:sz w:val="20"/>
              </w:rPr>
              <w:t xml:space="preserve">18500</w:t>
            </w:r>
          </w:p>
        </w:tc>
        <w:tc>
          <w:tcPr>
            <w:tcW w:w="1559" w:type="dxa"/>
          </w:tcPr>
          <w:p>
            <w:pPr>
              <w:pStyle w:val="0"/>
              <w:jc w:val="center"/>
            </w:pPr>
            <w:r>
              <w:rPr>
                <w:sz w:val="20"/>
              </w:rPr>
              <w:t xml:space="preserve">5,76</w:t>
            </w:r>
          </w:p>
        </w:tc>
      </w:tr>
      <w:tr>
        <w:tc>
          <w:tcPr>
            <w:tcW w:w="5812" w:type="dxa"/>
          </w:tcPr>
          <w:p>
            <w:pPr>
              <w:pStyle w:val="0"/>
            </w:pPr>
            <w:r>
              <w:rPr>
                <w:sz w:val="20"/>
              </w:rPr>
              <w:t xml:space="preserve">Торговля оптовая и розничная; ремонт автотранспортных средств и мотоциклов</w:t>
            </w:r>
          </w:p>
        </w:tc>
        <w:tc>
          <w:tcPr>
            <w:tcW w:w="1701" w:type="dxa"/>
          </w:tcPr>
          <w:p>
            <w:pPr>
              <w:pStyle w:val="0"/>
              <w:jc w:val="center"/>
            </w:pPr>
            <w:r>
              <w:rPr>
                <w:sz w:val="20"/>
              </w:rPr>
              <w:t xml:space="preserve">30500</w:t>
            </w:r>
          </w:p>
        </w:tc>
        <w:tc>
          <w:tcPr>
            <w:tcW w:w="1559" w:type="dxa"/>
          </w:tcPr>
          <w:p>
            <w:pPr>
              <w:pStyle w:val="0"/>
              <w:jc w:val="center"/>
            </w:pPr>
            <w:r>
              <w:rPr>
                <w:sz w:val="20"/>
              </w:rPr>
              <w:t xml:space="preserve">9,50</w:t>
            </w:r>
          </w:p>
        </w:tc>
      </w:tr>
      <w:tr>
        <w:tc>
          <w:tcPr>
            <w:tcW w:w="5812" w:type="dxa"/>
          </w:tcPr>
          <w:p>
            <w:pPr>
              <w:pStyle w:val="0"/>
            </w:pPr>
            <w:r>
              <w:rPr>
                <w:sz w:val="20"/>
              </w:rPr>
              <w:t xml:space="preserve">Транспортировка и хранение</w:t>
            </w:r>
          </w:p>
        </w:tc>
        <w:tc>
          <w:tcPr>
            <w:tcW w:w="1701" w:type="dxa"/>
          </w:tcPr>
          <w:p>
            <w:pPr>
              <w:pStyle w:val="0"/>
              <w:jc w:val="center"/>
            </w:pPr>
            <w:r>
              <w:rPr>
                <w:sz w:val="20"/>
              </w:rPr>
              <w:t xml:space="preserve">16200</w:t>
            </w:r>
          </w:p>
        </w:tc>
        <w:tc>
          <w:tcPr>
            <w:tcW w:w="1559" w:type="dxa"/>
          </w:tcPr>
          <w:p>
            <w:pPr>
              <w:pStyle w:val="0"/>
              <w:jc w:val="center"/>
            </w:pPr>
            <w:r>
              <w:rPr>
                <w:sz w:val="20"/>
              </w:rPr>
              <w:t xml:space="preserve">5,04</w:t>
            </w:r>
          </w:p>
        </w:tc>
      </w:tr>
      <w:tr>
        <w:tc>
          <w:tcPr>
            <w:tcW w:w="5812" w:type="dxa"/>
          </w:tcPr>
          <w:p>
            <w:pPr>
              <w:pStyle w:val="0"/>
            </w:pPr>
            <w:r>
              <w:rPr>
                <w:sz w:val="20"/>
              </w:rPr>
              <w:t xml:space="preserve">Деятельность гостиниц и предприятий общественного питания</w:t>
            </w:r>
          </w:p>
        </w:tc>
        <w:tc>
          <w:tcPr>
            <w:tcW w:w="1701" w:type="dxa"/>
          </w:tcPr>
          <w:p>
            <w:pPr>
              <w:pStyle w:val="0"/>
              <w:jc w:val="center"/>
            </w:pPr>
            <w:r>
              <w:rPr>
                <w:sz w:val="20"/>
              </w:rPr>
              <w:t xml:space="preserve">4300</w:t>
            </w:r>
          </w:p>
        </w:tc>
        <w:tc>
          <w:tcPr>
            <w:tcW w:w="1559" w:type="dxa"/>
          </w:tcPr>
          <w:p>
            <w:pPr>
              <w:pStyle w:val="0"/>
              <w:jc w:val="center"/>
            </w:pPr>
            <w:r>
              <w:rPr>
                <w:sz w:val="20"/>
              </w:rPr>
              <w:t xml:space="preserve">1,34</w:t>
            </w:r>
          </w:p>
        </w:tc>
      </w:tr>
      <w:tr>
        <w:tc>
          <w:tcPr>
            <w:tcW w:w="5812" w:type="dxa"/>
          </w:tcPr>
          <w:p>
            <w:pPr>
              <w:pStyle w:val="0"/>
            </w:pPr>
            <w:r>
              <w:rPr>
                <w:sz w:val="20"/>
              </w:rPr>
              <w:t xml:space="preserve">Деятельность в области информации и связи</w:t>
            </w:r>
          </w:p>
        </w:tc>
        <w:tc>
          <w:tcPr>
            <w:tcW w:w="1701" w:type="dxa"/>
          </w:tcPr>
          <w:p>
            <w:pPr>
              <w:pStyle w:val="0"/>
              <w:jc w:val="center"/>
            </w:pPr>
            <w:r>
              <w:rPr>
                <w:sz w:val="20"/>
              </w:rPr>
              <w:t xml:space="preserve">4900</w:t>
            </w:r>
          </w:p>
        </w:tc>
        <w:tc>
          <w:tcPr>
            <w:tcW w:w="1559" w:type="dxa"/>
          </w:tcPr>
          <w:p>
            <w:pPr>
              <w:pStyle w:val="0"/>
              <w:jc w:val="center"/>
            </w:pPr>
            <w:r>
              <w:rPr>
                <w:sz w:val="20"/>
              </w:rPr>
              <w:t xml:space="preserve">1,53</w:t>
            </w:r>
          </w:p>
        </w:tc>
      </w:tr>
      <w:tr>
        <w:tc>
          <w:tcPr>
            <w:tcW w:w="5812" w:type="dxa"/>
          </w:tcPr>
          <w:p>
            <w:pPr>
              <w:pStyle w:val="0"/>
            </w:pPr>
            <w:r>
              <w:rPr>
                <w:sz w:val="20"/>
              </w:rPr>
              <w:t xml:space="preserve">Деятельность финансовая и страховая</w:t>
            </w:r>
          </w:p>
        </w:tc>
        <w:tc>
          <w:tcPr>
            <w:tcW w:w="1701" w:type="dxa"/>
          </w:tcPr>
          <w:p>
            <w:pPr>
              <w:pStyle w:val="0"/>
              <w:jc w:val="center"/>
            </w:pPr>
            <w:r>
              <w:rPr>
                <w:sz w:val="20"/>
              </w:rPr>
              <w:t xml:space="preserve">5100</w:t>
            </w:r>
          </w:p>
        </w:tc>
        <w:tc>
          <w:tcPr>
            <w:tcW w:w="1559" w:type="dxa"/>
          </w:tcPr>
          <w:p>
            <w:pPr>
              <w:pStyle w:val="0"/>
              <w:jc w:val="center"/>
            </w:pPr>
            <w:r>
              <w:rPr>
                <w:sz w:val="20"/>
              </w:rPr>
              <w:t xml:space="preserve">1,59</w:t>
            </w:r>
          </w:p>
        </w:tc>
      </w:tr>
      <w:tr>
        <w:tc>
          <w:tcPr>
            <w:tcW w:w="5812" w:type="dxa"/>
          </w:tcPr>
          <w:p>
            <w:pPr>
              <w:pStyle w:val="0"/>
            </w:pPr>
            <w:r>
              <w:rPr>
                <w:sz w:val="20"/>
              </w:rPr>
              <w:t xml:space="preserve">Деятельность по операциям с недвижимым имуществом</w:t>
            </w:r>
          </w:p>
        </w:tc>
        <w:tc>
          <w:tcPr>
            <w:tcW w:w="1701" w:type="dxa"/>
          </w:tcPr>
          <w:p>
            <w:pPr>
              <w:pStyle w:val="0"/>
              <w:jc w:val="center"/>
            </w:pPr>
            <w:r>
              <w:rPr>
                <w:sz w:val="20"/>
              </w:rPr>
              <w:t xml:space="preserve">5800</w:t>
            </w:r>
          </w:p>
        </w:tc>
        <w:tc>
          <w:tcPr>
            <w:tcW w:w="1559" w:type="dxa"/>
          </w:tcPr>
          <w:p>
            <w:pPr>
              <w:pStyle w:val="0"/>
              <w:jc w:val="center"/>
            </w:pPr>
            <w:r>
              <w:rPr>
                <w:sz w:val="20"/>
              </w:rPr>
              <w:t xml:space="preserve">1,81</w:t>
            </w:r>
          </w:p>
        </w:tc>
      </w:tr>
      <w:tr>
        <w:tc>
          <w:tcPr>
            <w:tcW w:w="5812" w:type="dxa"/>
          </w:tcPr>
          <w:p>
            <w:pPr>
              <w:pStyle w:val="0"/>
            </w:pPr>
            <w:r>
              <w:rPr>
                <w:sz w:val="20"/>
              </w:rPr>
              <w:t xml:space="preserve">Деятельность профессиональная, научная и техническая</w:t>
            </w:r>
          </w:p>
        </w:tc>
        <w:tc>
          <w:tcPr>
            <w:tcW w:w="1701" w:type="dxa"/>
          </w:tcPr>
          <w:p>
            <w:pPr>
              <w:pStyle w:val="0"/>
              <w:jc w:val="center"/>
            </w:pPr>
            <w:r>
              <w:rPr>
                <w:sz w:val="20"/>
              </w:rPr>
              <w:t xml:space="preserve">11900</w:t>
            </w:r>
          </w:p>
        </w:tc>
        <w:tc>
          <w:tcPr>
            <w:tcW w:w="1559" w:type="dxa"/>
          </w:tcPr>
          <w:p>
            <w:pPr>
              <w:pStyle w:val="0"/>
              <w:jc w:val="center"/>
            </w:pPr>
            <w:r>
              <w:rPr>
                <w:sz w:val="20"/>
              </w:rPr>
              <w:t xml:space="preserve">3,70</w:t>
            </w:r>
          </w:p>
        </w:tc>
      </w:tr>
      <w:tr>
        <w:tc>
          <w:tcPr>
            <w:tcW w:w="5812" w:type="dxa"/>
          </w:tcPr>
          <w:p>
            <w:pPr>
              <w:pStyle w:val="0"/>
            </w:pPr>
            <w:r>
              <w:rPr>
                <w:sz w:val="20"/>
              </w:rPr>
              <w:t xml:space="preserve">Деятельность административная и сопутствующие дополнительные услуги</w:t>
            </w:r>
          </w:p>
        </w:tc>
        <w:tc>
          <w:tcPr>
            <w:tcW w:w="1701" w:type="dxa"/>
          </w:tcPr>
          <w:p>
            <w:pPr>
              <w:pStyle w:val="0"/>
              <w:jc w:val="center"/>
            </w:pPr>
            <w:r>
              <w:rPr>
                <w:sz w:val="20"/>
              </w:rPr>
              <w:t xml:space="preserve">6900</w:t>
            </w:r>
          </w:p>
        </w:tc>
        <w:tc>
          <w:tcPr>
            <w:tcW w:w="1559" w:type="dxa"/>
          </w:tcPr>
          <w:p>
            <w:pPr>
              <w:pStyle w:val="0"/>
              <w:jc w:val="center"/>
            </w:pPr>
            <w:r>
              <w:rPr>
                <w:sz w:val="20"/>
              </w:rPr>
              <w:t xml:space="preserve">2,15</w:t>
            </w:r>
          </w:p>
        </w:tc>
      </w:tr>
      <w:tr>
        <w:tc>
          <w:tcPr>
            <w:tcW w:w="5812" w:type="dxa"/>
          </w:tcPr>
          <w:p>
            <w:pPr>
              <w:pStyle w:val="0"/>
            </w:pPr>
            <w:r>
              <w:rPr>
                <w:sz w:val="20"/>
              </w:rPr>
              <w:t xml:space="preserve">Государственное управление и обеспечение военной безопасности; социальное обеспечение</w:t>
            </w:r>
          </w:p>
        </w:tc>
        <w:tc>
          <w:tcPr>
            <w:tcW w:w="1701" w:type="dxa"/>
          </w:tcPr>
          <w:p>
            <w:pPr>
              <w:pStyle w:val="0"/>
              <w:jc w:val="center"/>
            </w:pPr>
            <w:r>
              <w:rPr>
                <w:sz w:val="20"/>
              </w:rPr>
              <w:t xml:space="preserve">27800</w:t>
            </w:r>
          </w:p>
        </w:tc>
        <w:tc>
          <w:tcPr>
            <w:tcW w:w="1559" w:type="dxa"/>
          </w:tcPr>
          <w:p>
            <w:pPr>
              <w:pStyle w:val="0"/>
              <w:jc w:val="center"/>
            </w:pPr>
            <w:r>
              <w:rPr>
                <w:sz w:val="20"/>
              </w:rPr>
              <w:t xml:space="preserve">8,66</w:t>
            </w:r>
          </w:p>
        </w:tc>
      </w:tr>
      <w:tr>
        <w:tc>
          <w:tcPr>
            <w:tcW w:w="5812" w:type="dxa"/>
          </w:tcPr>
          <w:p>
            <w:pPr>
              <w:pStyle w:val="0"/>
            </w:pPr>
            <w:r>
              <w:rPr>
                <w:sz w:val="20"/>
              </w:rPr>
              <w:t xml:space="preserve">Образование</w:t>
            </w:r>
          </w:p>
        </w:tc>
        <w:tc>
          <w:tcPr>
            <w:tcW w:w="1701" w:type="dxa"/>
          </w:tcPr>
          <w:p>
            <w:pPr>
              <w:pStyle w:val="0"/>
              <w:jc w:val="center"/>
            </w:pPr>
            <w:r>
              <w:rPr>
                <w:sz w:val="20"/>
              </w:rPr>
              <w:t xml:space="preserve">44900</w:t>
            </w:r>
          </w:p>
        </w:tc>
        <w:tc>
          <w:tcPr>
            <w:tcW w:w="1559" w:type="dxa"/>
          </w:tcPr>
          <w:p>
            <w:pPr>
              <w:pStyle w:val="0"/>
              <w:jc w:val="center"/>
            </w:pPr>
            <w:r>
              <w:rPr>
                <w:sz w:val="20"/>
              </w:rPr>
              <w:t xml:space="preserve">13,98</w:t>
            </w:r>
          </w:p>
        </w:tc>
      </w:tr>
      <w:tr>
        <w:tc>
          <w:tcPr>
            <w:tcW w:w="5812" w:type="dxa"/>
          </w:tcPr>
          <w:p>
            <w:pPr>
              <w:pStyle w:val="0"/>
            </w:pPr>
            <w:r>
              <w:rPr>
                <w:sz w:val="20"/>
              </w:rPr>
              <w:t xml:space="preserve">Деятельность в области здравоохранения и социальных услуг</w:t>
            </w:r>
          </w:p>
        </w:tc>
        <w:tc>
          <w:tcPr>
            <w:tcW w:w="1701" w:type="dxa"/>
          </w:tcPr>
          <w:p>
            <w:pPr>
              <w:pStyle w:val="0"/>
              <w:jc w:val="center"/>
            </w:pPr>
            <w:r>
              <w:rPr>
                <w:sz w:val="20"/>
              </w:rPr>
              <w:t xml:space="preserve">33400</w:t>
            </w:r>
          </w:p>
        </w:tc>
        <w:tc>
          <w:tcPr>
            <w:tcW w:w="1559" w:type="dxa"/>
          </w:tcPr>
          <w:p>
            <w:pPr>
              <w:pStyle w:val="0"/>
              <w:jc w:val="center"/>
            </w:pPr>
            <w:r>
              <w:rPr>
                <w:sz w:val="20"/>
              </w:rPr>
              <w:t xml:space="preserve">10,40</w:t>
            </w:r>
          </w:p>
        </w:tc>
      </w:tr>
      <w:tr>
        <w:tc>
          <w:tcPr>
            <w:tcW w:w="5812" w:type="dxa"/>
          </w:tcPr>
          <w:p>
            <w:pPr>
              <w:pStyle w:val="0"/>
            </w:pPr>
            <w:r>
              <w:rPr>
                <w:sz w:val="20"/>
              </w:rPr>
              <w:t xml:space="preserve">Деятельность в области культуры, спорта, организации досуга и развлечений</w:t>
            </w:r>
          </w:p>
        </w:tc>
        <w:tc>
          <w:tcPr>
            <w:tcW w:w="1701" w:type="dxa"/>
          </w:tcPr>
          <w:p>
            <w:pPr>
              <w:pStyle w:val="0"/>
              <w:jc w:val="center"/>
            </w:pPr>
            <w:r>
              <w:rPr>
                <w:sz w:val="20"/>
              </w:rPr>
              <w:t xml:space="preserve">5800</w:t>
            </w:r>
          </w:p>
        </w:tc>
        <w:tc>
          <w:tcPr>
            <w:tcW w:w="1559" w:type="dxa"/>
          </w:tcPr>
          <w:p>
            <w:pPr>
              <w:pStyle w:val="0"/>
              <w:jc w:val="center"/>
            </w:pPr>
            <w:r>
              <w:rPr>
                <w:sz w:val="20"/>
              </w:rPr>
              <w:t xml:space="preserve">1,81</w:t>
            </w:r>
          </w:p>
        </w:tc>
      </w:tr>
      <w:tr>
        <w:tc>
          <w:tcPr>
            <w:tcW w:w="5812" w:type="dxa"/>
          </w:tcPr>
          <w:p>
            <w:pPr>
              <w:pStyle w:val="0"/>
            </w:pPr>
            <w:r>
              <w:rPr>
                <w:sz w:val="20"/>
              </w:rPr>
              <w:t xml:space="preserve">Предоставление прочих видов услуг</w:t>
            </w:r>
          </w:p>
        </w:tc>
        <w:tc>
          <w:tcPr>
            <w:tcW w:w="1701" w:type="dxa"/>
          </w:tcPr>
          <w:p>
            <w:pPr>
              <w:pStyle w:val="0"/>
              <w:jc w:val="center"/>
            </w:pPr>
            <w:r>
              <w:rPr>
                <w:sz w:val="20"/>
              </w:rPr>
              <w:t xml:space="preserve">1200</w:t>
            </w:r>
          </w:p>
        </w:tc>
        <w:tc>
          <w:tcPr>
            <w:tcW w:w="1559" w:type="dxa"/>
          </w:tcPr>
          <w:p>
            <w:pPr>
              <w:pStyle w:val="0"/>
              <w:jc w:val="center"/>
            </w:pPr>
            <w:r>
              <w:rPr>
                <w:sz w:val="20"/>
              </w:rPr>
              <w:t xml:space="preserve">0,37</w:t>
            </w:r>
          </w:p>
        </w:tc>
      </w:tr>
      <w:tr>
        <w:tc>
          <w:tcPr>
            <w:tcW w:w="5812" w:type="dxa"/>
          </w:tcPr>
          <w:p>
            <w:pPr>
              <w:pStyle w:val="0"/>
            </w:pPr>
            <w:r>
              <w:rPr>
                <w:sz w:val="20"/>
              </w:rPr>
              <w:t xml:space="preserve">Всего</w:t>
            </w:r>
          </w:p>
        </w:tc>
        <w:tc>
          <w:tcPr>
            <w:tcW w:w="1701" w:type="dxa"/>
          </w:tcPr>
          <w:p>
            <w:pPr>
              <w:pStyle w:val="0"/>
              <w:jc w:val="center"/>
            </w:pPr>
            <w:r>
              <w:rPr>
                <w:sz w:val="20"/>
              </w:rPr>
              <w:t xml:space="preserve">321200</w:t>
            </w:r>
          </w:p>
        </w:tc>
        <w:tc>
          <w:tcPr>
            <w:tcW w:w="1559" w:type="dxa"/>
          </w:tcPr>
          <w:p>
            <w:pPr>
              <w:pStyle w:val="0"/>
              <w:jc w:val="center"/>
            </w:pPr>
            <w:r>
              <w:rPr>
                <w:sz w:val="20"/>
              </w:rPr>
              <w:t xml:space="preserve">100,0</w:t>
            </w:r>
          </w:p>
        </w:tc>
      </w:tr>
    </w:tbl>
    <w:p>
      <w:pPr>
        <w:pStyle w:val="0"/>
        <w:jc w:val="center"/>
      </w:pPr>
      <w:r>
        <w:rPr>
          <w:sz w:val="20"/>
        </w:rPr>
      </w:r>
    </w:p>
    <w:p>
      <w:pPr>
        <w:pStyle w:val="0"/>
        <w:ind w:firstLine="540"/>
        <w:jc w:val="both"/>
      </w:pPr>
      <w:r>
        <w:rPr>
          <w:sz w:val="20"/>
        </w:rPr>
        <w:t xml:space="preserve">Численность работников, занятых на предприятиях и в организациях Курской области, по видам экономической деятельности распределилась следующим образом (таблица N 3):</w:t>
      </w:r>
    </w:p>
    <w:p>
      <w:pPr>
        <w:pStyle w:val="0"/>
        <w:ind w:firstLine="540"/>
        <w:jc w:val="both"/>
      </w:pPr>
      <w:r>
        <w:rPr>
          <w:sz w:val="20"/>
        </w:rPr>
      </w:r>
    </w:p>
    <w:p>
      <w:pPr>
        <w:pStyle w:val="0"/>
        <w:outlineLvl w:val="2"/>
        <w:jc w:val="right"/>
      </w:pPr>
      <w:r>
        <w:rPr>
          <w:sz w:val="20"/>
        </w:rPr>
        <w:t xml:space="preserve">Таблица N 3</w:t>
      </w:r>
    </w:p>
    <w:p>
      <w:pPr>
        <w:pStyle w:val="0"/>
        <w:jc w:val="center"/>
      </w:pPr>
      <w:r>
        <w:rPr>
          <w:sz w:val="20"/>
        </w:rPr>
      </w:r>
    </w:p>
    <w:p>
      <w:pPr>
        <w:pStyle w:val="2"/>
        <w:jc w:val="center"/>
      </w:pPr>
      <w:r>
        <w:rPr>
          <w:sz w:val="20"/>
        </w:rPr>
        <w:t xml:space="preserve">Величина и структура среднегодовой численности занятых</w:t>
      </w:r>
    </w:p>
    <w:p>
      <w:pPr>
        <w:pStyle w:val="2"/>
        <w:jc w:val="center"/>
      </w:pPr>
      <w:r>
        <w:rPr>
          <w:sz w:val="20"/>
        </w:rPr>
        <w:t xml:space="preserve">в экономике Курской области в 2019 году</w:t>
      </w:r>
    </w:p>
    <w:p>
      <w:pPr>
        <w:pStyle w:val="2"/>
        <w:jc w:val="center"/>
      </w:pPr>
      <w:r>
        <w:rPr>
          <w:sz w:val="20"/>
        </w:rPr>
        <w:t xml:space="preserve">(по данным отчетного баланса трудовых ресурсов)</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12"/>
        <w:gridCol w:w="1588"/>
        <w:gridCol w:w="1672"/>
      </w:tblGrid>
      <w:tr>
        <w:tc>
          <w:tcPr>
            <w:tcW w:w="5812" w:type="dxa"/>
          </w:tcPr>
          <w:p>
            <w:pPr>
              <w:pStyle w:val="0"/>
              <w:jc w:val="center"/>
            </w:pPr>
            <w:r>
              <w:rPr>
                <w:sz w:val="20"/>
              </w:rPr>
              <w:t xml:space="preserve">Наименование видов экономической деятельности</w:t>
            </w:r>
          </w:p>
        </w:tc>
        <w:tc>
          <w:tcPr>
            <w:tcW w:w="1588" w:type="dxa"/>
          </w:tcPr>
          <w:p>
            <w:pPr>
              <w:pStyle w:val="0"/>
              <w:jc w:val="center"/>
            </w:pPr>
            <w:r>
              <w:rPr>
                <w:sz w:val="20"/>
              </w:rPr>
              <w:t xml:space="preserve">Количество, человек</w:t>
            </w:r>
          </w:p>
        </w:tc>
        <w:tc>
          <w:tcPr>
            <w:tcW w:w="1672" w:type="dxa"/>
          </w:tcPr>
          <w:p>
            <w:pPr>
              <w:pStyle w:val="0"/>
              <w:jc w:val="center"/>
            </w:pPr>
            <w:r>
              <w:rPr>
                <w:sz w:val="20"/>
              </w:rPr>
              <w:t xml:space="preserve">Удельный вес, %</w:t>
            </w:r>
          </w:p>
        </w:tc>
      </w:tr>
      <w:tr>
        <w:tc>
          <w:tcPr>
            <w:tcW w:w="5812" w:type="dxa"/>
          </w:tcPr>
          <w:p>
            <w:pPr>
              <w:pStyle w:val="0"/>
            </w:pPr>
            <w:r>
              <w:rPr>
                <w:sz w:val="20"/>
              </w:rPr>
              <w:t xml:space="preserve">Сельское, лесное хозяйство, охота, рыболовство и рыбоводство</w:t>
            </w:r>
          </w:p>
        </w:tc>
        <w:tc>
          <w:tcPr>
            <w:tcW w:w="1588" w:type="dxa"/>
          </w:tcPr>
          <w:p>
            <w:pPr>
              <w:pStyle w:val="0"/>
              <w:jc w:val="center"/>
            </w:pPr>
            <w:r>
              <w:rPr>
                <w:sz w:val="20"/>
              </w:rPr>
              <w:t xml:space="preserve">61041</w:t>
            </w:r>
          </w:p>
        </w:tc>
        <w:tc>
          <w:tcPr>
            <w:tcW w:w="1672" w:type="dxa"/>
          </w:tcPr>
          <w:p>
            <w:pPr>
              <w:pStyle w:val="0"/>
              <w:jc w:val="center"/>
            </w:pPr>
            <w:r>
              <w:rPr>
                <w:sz w:val="20"/>
              </w:rPr>
              <w:t xml:space="preserve">12,08</w:t>
            </w:r>
          </w:p>
        </w:tc>
      </w:tr>
      <w:tr>
        <w:tc>
          <w:tcPr>
            <w:tcW w:w="5812" w:type="dxa"/>
          </w:tcPr>
          <w:p>
            <w:pPr>
              <w:pStyle w:val="0"/>
            </w:pPr>
            <w:r>
              <w:rPr>
                <w:sz w:val="20"/>
              </w:rPr>
              <w:t xml:space="preserve">Добыча полезных ископаемых</w:t>
            </w:r>
          </w:p>
        </w:tc>
        <w:tc>
          <w:tcPr>
            <w:tcW w:w="1588" w:type="dxa"/>
          </w:tcPr>
          <w:p>
            <w:pPr>
              <w:pStyle w:val="0"/>
              <w:jc w:val="center"/>
            </w:pPr>
            <w:r>
              <w:rPr>
                <w:sz w:val="20"/>
              </w:rPr>
              <w:t xml:space="preserve">11972</w:t>
            </w:r>
          </w:p>
        </w:tc>
        <w:tc>
          <w:tcPr>
            <w:tcW w:w="1672" w:type="dxa"/>
          </w:tcPr>
          <w:p>
            <w:pPr>
              <w:pStyle w:val="0"/>
              <w:jc w:val="center"/>
            </w:pPr>
            <w:r>
              <w:rPr>
                <w:sz w:val="20"/>
              </w:rPr>
              <w:t xml:space="preserve">2,37</w:t>
            </w:r>
          </w:p>
        </w:tc>
      </w:tr>
      <w:tr>
        <w:tc>
          <w:tcPr>
            <w:tcW w:w="5812" w:type="dxa"/>
          </w:tcPr>
          <w:p>
            <w:pPr>
              <w:pStyle w:val="0"/>
            </w:pPr>
            <w:r>
              <w:rPr>
                <w:sz w:val="20"/>
              </w:rPr>
              <w:t xml:space="preserve">Обрабатывающие производства</w:t>
            </w:r>
          </w:p>
        </w:tc>
        <w:tc>
          <w:tcPr>
            <w:tcW w:w="1588" w:type="dxa"/>
          </w:tcPr>
          <w:p>
            <w:pPr>
              <w:pStyle w:val="0"/>
              <w:jc w:val="center"/>
            </w:pPr>
            <w:r>
              <w:rPr>
                <w:sz w:val="20"/>
              </w:rPr>
              <w:t xml:space="preserve">70072</w:t>
            </w:r>
          </w:p>
        </w:tc>
        <w:tc>
          <w:tcPr>
            <w:tcW w:w="1672" w:type="dxa"/>
          </w:tcPr>
          <w:p>
            <w:pPr>
              <w:pStyle w:val="0"/>
              <w:jc w:val="center"/>
            </w:pPr>
            <w:r>
              <w:rPr>
                <w:sz w:val="20"/>
              </w:rPr>
              <w:t xml:space="preserve">13,86</w:t>
            </w:r>
          </w:p>
        </w:tc>
      </w:tr>
      <w:tr>
        <w:tc>
          <w:tcPr>
            <w:tcW w:w="5812" w:type="dxa"/>
          </w:tcPr>
          <w:p>
            <w:pPr>
              <w:pStyle w:val="0"/>
            </w:pPr>
            <w:r>
              <w:rPr>
                <w:sz w:val="20"/>
              </w:rPr>
              <w:t xml:space="preserve">Обеспечение электрической энергией, газом и паром; кондиционирование воздуха</w:t>
            </w:r>
          </w:p>
        </w:tc>
        <w:tc>
          <w:tcPr>
            <w:tcW w:w="1588" w:type="dxa"/>
          </w:tcPr>
          <w:p>
            <w:pPr>
              <w:pStyle w:val="0"/>
              <w:jc w:val="center"/>
            </w:pPr>
            <w:r>
              <w:rPr>
                <w:sz w:val="20"/>
              </w:rPr>
              <w:t xml:space="preserve">16541</w:t>
            </w:r>
          </w:p>
        </w:tc>
        <w:tc>
          <w:tcPr>
            <w:tcW w:w="1672" w:type="dxa"/>
          </w:tcPr>
          <w:p>
            <w:pPr>
              <w:pStyle w:val="0"/>
              <w:jc w:val="center"/>
            </w:pPr>
            <w:r>
              <w:rPr>
                <w:sz w:val="20"/>
              </w:rPr>
              <w:t xml:space="preserve">3,27</w:t>
            </w:r>
          </w:p>
        </w:tc>
      </w:tr>
      <w:tr>
        <w:tc>
          <w:tcPr>
            <w:tcW w:w="5812" w:type="dxa"/>
          </w:tcPr>
          <w:p>
            <w:pPr>
              <w:pStyle w:val="0"/>
            </w:pPr>
            <w:r>
              <w:rPr>
                <w:sz w:val="20"/>
              </w:rPr>
              <w:t xml:space="preserve">Водоснабжение; водоотведение, организация сбора и утилизации отходов, деятельность по ликвидации загрязнений</w:t>
            </w:r>
          </w:p>
        </w:tc>
        <w:tc>
          <w:tcPr>
            <w:tcW w:w="1588" w:type="dxa"/>
          </w:tcPr>
          <w:p>
            <w:pPr>
              <w:pStyle w:val="0"/>
              <w:jc w:val="center"/>
            </w:pPr>
            <w:r>
              <w:rPr>
                <w:sz w:val="20"/>
              </w:rPr>
              <w:t xml:space="preserve">4584</w:t>
            </w:r>
          </w:p>
        </w:tc>
        <w:tc>
          <w:tcPr>
            <w:tcW w:w="1672" w:type="dxa"/>
          </w:tcPr>
          <w:p>
            <w:pPr>
              <w:pStyle w:val="0"/>
              <w:jc w:val="center"/>
            </w:pPr>
            <w:r>
              <w:rPr>
                <w:sz w:val="20"/>
              </w:rPr>
              <w:t xml:space="preserve">0,91</w:t>
            </w:r>
          </w:p>
        </w:tc>
      </w:tr>
      <w:tr>
        <w:tc>
          <w:tcPr>
            <w:tcW w:w="5812" w:type="dxa"/>
          </w:tcPr>
          <w:p>
            <w:pPr>
              <w:pStyle w:val="0"/>
            </w:pPr>
            <w:r>
              <w:rPr>
                <w:sz w:val="20"/>
              </w:rPr>
              <w:t xml:space="preserve">Строительство</w:t>
            </w:r>
          </w:p>
        </w:tc>
        <w:tc>
          <w:tcPr>
            <w:tcW w:w="1588" w:type="dxa"/>
          </w:tcPr>
          <w:p>
            <w:pPr>
              <w:pStyle w:val="0"/>
              <w:jc w:val="center"/>
            </w:pPr>
            <w:r>
              <w:rPr>
                <w:sz w:val="20"/>
              </w:rPr>
              <w:t xml:space="preserve">29674</w:t>
            </w:r>
          </w:p>
        </w:tc>
        <w:tc>
          <w:tcPr>
            <w:tcW w:w="1672" w:type="dxa"/>
          </w:tcPr>
          <w:p>
            <w:pPr>
              <w:pStyle w:val="0"/>
              <w:jc w:val="center"/>
            </w:pPr>
            <w:r>
              <w:rPr>
                <w:sz w:val="20"/>
              </w:rPr>
              <w:t xml:space="preserve">5,87</w:t>
            </w:r>
          </w:p>
        </w:tc>
      </w:tr>
      <w:tr>
        <w:tc>
          <w:tcPr>
            <w:tcW w:w="5812" w:type="dxa"/>
          </w:tcPr>
          <w:p>
            <w:pPr>
              <w:pStyle w:val="0"/>
            </w:pPr>
            <w:r>
              <w:rPr>
                <w:sz w:val="20"/>
              </w:rPr>
              <w:t xml:space="preserve">Торговля оптовая и розничная; ремонт автотранспортных средств и мотоциклов</w:t>
            </w:r>
          </w:p>
        </w:tc>
        <w:tc>
          <w:tcPr>
            <w:tcW w:w="1588" w:type="dxa"/>
          </w:tcPr>
          <w:p>
            <w:pPr>
              <w:pStyle w:val="0"/>
              <w:jc w:val="center"/>
            </w:pPr>
            <w:r>
              <w:rPr>
                <w:sz w:val="20"/>
              </w:rPr>
              <w:t xml:space="preserve">101452</w:t>
            </w:r>
          </w:p>
        </w:tc>
        <w:tc>
          <w:tcPr>
            <w:tcW w:w="1672" w:type="dxa"/>
          </w:tcPr>
          <w:p>
            <w:pPr>
              <w:pStyle w:val="0"/>
              <w:jc w:val="center"/>
            </w:pPr>
            <w:r>
              <w:rPr>
                <w:sz w:val="20"/>
              </w:rPr>
              <w:t xml:space="preserve">20,07</w:t>
            </w:r>
          </w:p>
        </w:tc>
      </w:tr>
      <w:tr>
        <w:tc>
          <w:tcPr>
            <w:tcW w:w="5812" w:type="dxa"/>
          </w:tcPr>
          <w:p>
            <w:pPr>
              <w:pStyle w:val="0"/>
            </w:pPr>
            <w:r>
              <w:rPr>
                <w:sz w:val="20"/>
              </w:rPr>
              <w:t xml:space="preserve">Транспортировка и хранение</w:t>
            </w:r>
          </w:p>
        </w:tc>
        <w:tc>
          <w:tcPr>
            <w:tcW w:w="1588" w:type="dxa"/>
          </w:tcPr>
          <w:p>
            <w:pPr>
              <w:pStyle w:val="0"/>
              <w:jc w:val="center"/>
            </w:pPr>
            <w:r>
              <w:rPr>
                <w:sz w:val="20"/>
              </w:rPr>
              <w:t xml:space="preserve">29061</w:t>
            </w:r>
          </w:p>
        </w:tc>
        <w:tc>
          <w:tcPr>
            <w:tcW w:w="1672" w:type="dxa"/>
          </w:tcPr>
          <w:p>
            <w:pPr>
              <w:pStyle w:val="0"/>
              <w:jc w:val="center"/>
            </w:pPr>
            <w:r>
              <w:rPr>
                <w:sz w:val="20"/>
              </w:rPr>
              <w:t xml:space="preserve">5,75</w:t>
            </w:r>
          </w:p>
        </w:tc>
      </w:tr>
      <w:tr>
        <w:tc>
          <w:tcPr>
            <w:tcW w:w="5812" w:type="dxa"/>
          </w:tcPr>
          <w:p>
            <w:pPr>
              <w:pStyle w:val="0"/>
            </w:pPr>
            <w:r>
              <w:rPr>
                <w:sz w:val="20"/>
              </w:rPr>
              <w:t xml:space="preserve">Деятельность гостиниц и предприятий общественного питания</w:t>
            </w:r>
          </w:p>
        </w:tc>
        <w:tc>
          <w:tcPr>
            <w:tcW w:w="1588" w:type="dxa"/>
          </w:tcPr>
          <w:p>
            <w:pPr>
              <w:pStyle w:val="0"/>
              <w:jc w:val="center"/>
            </w:pPr>
            <w:r>
              <w:rPr>
                <w:sz w:val="20"/>
              </w:rPr>
              <w:t xml:space="preserve">7528</w:t>
            </w:r>
          </w:p>
        </w:tc>
        <w:tc>
          <w:tcPr>
            <w:tcW w:w="1672" w:type="dxa"/>
          </w:tcPr>
          <w:p>
            <w:pPr>
              <w:pStyle w:val="0"/>
              <w:jc w:val="center"/>
            </w:pPr>
            <w:r>
              <w:rPr>
                <w:sz w:val="20"/>
              </w:rPr>
              <w:t xml:space="preserve">1,49</w:t>
            </w:r>
          </w:p>
        </w:tc>
      </w:tr>
      <w:tr>
        <w:tc>
          <w:tcPr>
            <w:tcW w:w="5812" w:type="dxa"/>
          </w:tcPr>
          <w:p>
            <w:pPr>
              <w:pStyle w:val="0"/>
            </w:pPr>
            <w:r>
              <w:rPr>
                <w:sz w:val="20"/>
              </w:rPr>
              <w:t xml:space="preserve">Деятельность в области информации и связи</w:t>
            </w:r>
          </w:p>
        </w:tc>
        <w:tc>
          <w:tcPr>
            <w:tcW w:w="1588" w:type="dxa"/>
          </w:tcPr>
          <w:p>
            <w:pPr>
              <w:pStyle w:val="0"/>
              <w:jc w:val="center"/>
            </w:pPr>
            <w:r>
              <w:rPr>
                <w:sz w:val="20"/>
              </w:rPr>
              <w:t xml:space="preserve">8096</w:t>
            </w:r>
          </w:p>
        </w:tc>
        <w:tc>
          <w:tcPr>
            <w:tcW w:w="1672" w:type="dxa"/>
          </w:tcPr>
          <w:p>
            <w:pPr>
              <w:pStyle w:val="0"/>
              <w:jc w:val="center"/>
            </w:pPr>
            <w:r>
              <w:rPr>
                <w:sz w:val="20"/>
              </w:rPr>
              <w:t xml:space="preserve">1,60</w:t>
            </w:r>
          </w:p>
        </w:tc>
      </w:tr>
      <w:tr>
        <w:tc>
          <w:tcPr>
            <w:tcW w:w="5812" w:type="dxa"/>
          </w:tcPr>
          <w:p>
            <w:pPr>
              <w:pStyle w:val="0"/>
            </w:pPr>
            <w:r>
              <w:rPr>
                <w:sz w:val="20"/>
              </w:rPr>
              <w:t xml:space="preserve">Деятельность финансовая и страховая</w:t>
            </w:r>
          </w:p>
        </w:tc>
        <w:tc>
          <w:tcPr>
            <w:tcW w:w="1588" w:type="dxa"/>
          </w:tcPr>
          <w:p>
            <w:pPr>
              <w:pStyle w:val="0"/>
              <w:jc w:val="center"/>
            </w:pPr>
            <w:r>
              <w:rPr>
                <w:sz w:val="20"/>
              </w:rPr>
              <w:t xml:space="preserve">6020</w:t>
            </w:r>
          </w:p>
        </w:tc>
        <w:tc>
          <w:tcPr>
            <w:tcW w:w="1672" w:type="dxa"/>
          </w:tcPr>
          <w:p>
            <w:pPr>
              <w:pStyle w:val="0"/>
              <w:jc w:val="center"/>
            </w:pPr>
            <w:r>
              <w:rPr>
                <w:sz w:val="20"/>
              </w:rPr>
              <w:t xml:space="preserve">1,19</w:t>
            </w:r>
          </w:p>
        </w:tc>
      </w:tr>
      <w:tr>
        <w:tc>
          <w:tcPr>
            <w:tcW w:w="5812" w:type="dxa"/>
          </w:tcPr>
          <w:p>
            <w:pPr>
              <w:pStyle w:val="0"/>
            </w:pPr>
            <w:r>
              <w:rPr>
                <w:sz w:val="20"/>
              </w:rPr>
              <w:t xml:space="preserve">Деятельность по операциям с недвижимым имуществом</w:t>
            </w:r>
          </w:p>
        </w:tc>
        <w:tc>
          <w:tcPr>
            <w:tcW w:w="1588" w:type="dxa"/>
          </w:tcPr>
          <w:p>
            <w:pPr>
              <w:pStyle w:val="0"/>
              <w:jc w:val="center"/>
            </w:pPr>
            <w:r>
              <w:rPr>
                <w:sz w:val="20"/>
              </w:rPr>
              <w:t xml:space="preserve">9154</w:t>
            </w:r>
          </w:p>
        </w:tc>
        <w:tc>
          <w:tcPr>
            <w:tcW w:w="1672" w:type="dxa"/>
          </w:tcPr>
          <w:p>
            <w:pPr>
              <w:pStyle w:val="0"/>
              <w:jc w:val="center"/>
            </w:pPr>
            <w:r>
              <w:rPr>
                <w:sz w:val="20"/>
              </w:rPr>
              <w:t xml:space="preserve">1,81</w:t>
            </w:r>
          </w:p>
        </w:tc>
      </w:tr>
      <w:tr>
        <w:tc>
          <w:tcPr>
            <w:tcW w:w="5812" w:type="dxa"/>
          </w:tcPr>
          <w:p>
            <w:pPr>
              <w:pStyle w:val="0"/>
            </w:pPr>
            <w:r>
              <w:rPr>
                <w:sz w:val="20"/>
              </w:rPr>
              <w:t xml:space="preserve">Деятельность профессиональная, научная и техническая</w:t>
            </w:r>
          </w:p>
        </w:tc>
        <w:tc>
          <w:tcPr>
            <w:tcW w:w="1588" w:type="dxa"/>
          </w:tcPr>
          <w:p>
            <w:pPr>
              <w:pStyle w:val="0"/>
              <w:jc w:val="center"/>
            </w:pPr>
            <w:r>
              <w:rPr>
                <w:sz w:val="20"/>
              </w:rPr>
              <w:t xml:space="preserve">12046</w:t>
            </w:r>
          </w:p>
        </w:tc>
        <w:tc>
          <w:tcPr>
            <w:tcW w:w="1672" w:type="dxa"/>
          </w:tcPr>
          <w:p>
            <w:pPr>
              <w:pStyle w:val="0"/>
              <w:jc w:val="center"/>
            </w:pPr>
            <w:r>
              <w:rPr>
                <w:sz w:val="20"/>
              </w:rPr>
              <w:t xml:space="preserve">2,38</w:t>
            </w:r>
          </w:p>
        </w:tc>
      </w:tr>
      <w:tr>
        <w:tc>
          <w:tcPr>
            <w:tcW w:w="5812" w:type="dxa"/>
          </w:tcPr>
          <w:p>
            <w:pPr>
              <w:pStyle w:val="0"/>
            </w:pPr>
            <w:r>
              <w:rPr>
                <w:sz w:val="20"/>
              </w:rPr>
              <w:t xml:space="preserve">Деятельность административная и сопутствующие дополнительные услуги</w:t>
            </w:r>
          </w:p>
        </w:tc>
        <w:tc>
          <w:tcPr>
            <w:tcW w:w="1588" w:type="dxa"/>
          </w:tcPr>
          <w:p>
            <w:pPr>
              <w:pStyle w:val="0"/>
              <w:jc w:val="center"/>
            </w:pPr>
            <w:r>
              <w:rPr>
                <w:sz w:val="20"/>
              </w:rPr>
              <w:t xml:space="preserve">10938</w:t>
            </w:r>
          </w:p>
        </w:tc>
        <w:tc>
          <w:tcPr>
            <w:tcW w:w="1672" w:type="dxa"/>
          </w:tcPr>
          <w:p>
            <w:pPr>
              <w:pStyle w:val="0"/>
              <w:jc w:val="center"/>
            </w:pPr>
            <w:r>
              <w:rPr>
                <w:sz w:val="20"/>
              </w:rPr>
              <w:t xml:space="preserve">2,16</w:t>
            </w:r>
          </w:p>
        </w:tc>
      </w:tr>
      <w:tr>
        <w:tc>
          <w:tcPr>
            <w:tcW w:w="5812" w:type="dxa"/>
          </w:tcPr>
          <w:p>
            <w:pPr>
              <w:pStyle w:val="0"/>
            </w:pPr>
            <w:r>
              <w:rPr>
                <w:sz w:val="20"/>
              </w:rPr>
              <w:t xml:space="preserve">Государственное управление и обеспечение военной безопасности; социальное обеспечение</w:t>
            </w:r>
          </w:p>
        </w:tc>
        <w:tc>
          <w:tcPr>
            <w:tcW w:w="1588" w:type="dxa"/>
          </w:tcPr>
          <w:p>
            <w:pPr>
              <w:pStyle w:val="0"/>
              <w:jc w:val="center"/>
            </w:pPr>
            <w:r>
              <w:rPr>
                <w:sz w:val="20"/>
              </w:rPr>
              <w:t xml:space="preserve">28249</w:t>
            </w:r>
          </w:p>
        </w:tc>
        <w:tc>
          <w:tcPr>
            <w:tcW w:w="1672" w:type="dxa"/>
          </w:tcPr>
          <w:p>
            <w:pPr>
              <w:pStyle w:val="0"/>
              <w:jc w:val="center"/>
            </w:pPr>
            <w:r>
              <w:rPr>
                <w:sz w:val="20"/>
              </w:rPr>
              <w:t xml:space="preserve">5,59</w:t>
            </w:r>
          </w:p>
        </w:tc>
      </w:tr>
      <w:tr>
        <w:tc>
          <w:tcPr>
            <w:tcW w:w="5812" w:type="dxa"/>
          </w:tcPr>
          <w:p>
            <w:pPr>
              <w:pStyle w:val="0"/>
            </w:pPr>
            <w:r>
              <w:rPr>
                <w:sz w:val="20"/>
              </w:rPr>
              <w:t xml:space="preserve">Образование</w:t>
            </w:r>
          </w:p>
        </w:tc>
        <w:tc>
          <w:tcPr>
            <w:tcW w:w="1588" w:type="dxa"/>
          </w:tcPr>
          <w:p>
            <w:pPr>
              <w:pStyle w:val="0"/>
              <w:jc w:val="center"/>
            </w:pPr>
            <w:r>
              <w:rPr>
                <w:sz w:val="20"/>
              </w:rPr>
              <w:t xml:space="preserve">48610</w:t>
            </w:r>
          </w:p>
        </w:tc>
        <w:tc>
          <w:tcPr>
            <w:tcW w:w="1672" w:type="dxa"/>
          </w:tcPr>
          <w:p>
            <w:pPr>
              <w:pStyle w:val="0"/>
              <w:jc w:val="center"/>
            </w:pPr>
            <w:r>
              <w:rPr>
                <w:sz w:val="20"/>
              </w:rPr>
              <w:t xml:space="preserve">9,62</w:t>
            </w:r>
          </w:p>
        </w:tc>
      </w:tr>
      <w:tr>
        <w:tc>
          <w:tcPr>
            <w:tcW w:w="5812" w:type="dxa"/>
          </w:tcPr>
          <w:p>
            <w:pPr>
              <w:pStyle w:val="0"/>
            </w:pPr>
            <w:r>
              <w:rPr>
                <w:sz w:val="20"/>
              </w:rPr>
              <w:t xml:space="preserve">Деятельность в области здравоохранения и социальных услуг</w:t>
            </w:r>
          </w:p>
        </w:tc>
        <w:tc>
          <w:tcPr>
            <w:tcW w:w="1588" w:type="dxa"/>
          </w:tcPr>
          <w:p>
            <w:pPr>
              <w:pStyle w:val="0"/>
              <w:jc w:val="center"/>
            </w:pPr>
            <w:r>
              <w:rPr>
                <w:sz w:val="20"/>
              </w:rPr>
              <w:t xml:space="preserve">35321</w:t>
            </w:r>
          </w:p>
        </w:tc>
        <w:tc>
          <w:tcPr>
            <w:tcW w:w="1672" w:type="dxa"/>
          </w:tcPr>
          <w:p>
            <w:pPr>
              <w:pStyle w:val="0"/>
              <w:jc w:val="center"/>
            </w:pPr>
            <w:r>
              <w:rPr>
                <w:sz w:val="20"/>
              </w:rPr>
              <w:t xml:space="preserve">6,99</w:t>
            </w:r>
          </w:p>
        </w:tc>
      </w:tr>
      <w:tr>
        <w:tc>
          <w:tcPr>
            <w:tcW w:w="5812" w:type="dxa"/>
          </w:tcPr>
          <w:p>
            <w:pPr>
              <w:pStyle w:val="0"/>
            </w:pPr>
            <w:r>
              <w:rPr>
                <w:sz w:val="20"/>
              </w:rPr>
              <w:t xml:space="preserve">Деятельность в области культуры, спорта, организации досуга и развлечений</w:t>
            </w:r>
          </w:p>
        </w:tc>
        <w:tc>
          <w:tcPr>
            <w:tcW w:w="1588" w:type="dxa"/>
          </w:tcPr>
          <w:p>
            <w:pPr>
              <w:pStyle w:val="0"/>
              <w:jc w:val="center"/>
            </w:pPr>
            <w:r>
              <w:rPr>
                <w:sz w:val="20"/>
              </w:rPr>
              <w:t xml:space="preserve">6864</w:t>
            </w:r>
          </w:p>
        </w:tc>
        <w:tc>
          <w:tcPr>
            <w:tcW w:w="1672" w:type="dxa"/>
          </w:tcPr>
          <w:p>
            <w:pPr>
              <w:pStyle w:val="0"/>
              <w:jc w:val="center"/>
            </w:pPr>
            <w:r>
              <w:rPr>
                <w:sz w:val="20"/>
              </w:rPr>
              <w:t xml:space="preserve">1,36</w:t>
            </w:r>
          </w:p>
        </w:tc>
      </w:tr>
      <w:tr>
        <w:tc>
          <w:tcPr>
            <w:tcW w:w="5812" w:type="dxa"/>
          </w:tcPr>
          <w:p>
            <w:pPr>
              <w:pStyle w:val="0"/>
            </w:pPr>
            <w:r>
              <w:rPr>
                <w:sz w:val="20"/>
              </w:rPr>
              <w:t xml:space="preserve">Предоставление прочих видов услуг</w:t>
            </w:r>
          </w:p>
        </w:tc>
        <w:tc>
          <w:tcPr>
            <w:tcW w:w="1588" w:type="dxa"/>
          </w:tcPr>
          <w:p>
            <w:pPr>
              <w:pStyle w:val="0"/>
              <w:jc w:val="center"/>
            </w:pPr>
            <w:r>
              <w:rPr>
                <w:sz w:val="20"/>
              </w:rPr>
              <w:t xml:space="preserve">6824</w:t>
            </w:r>
          </w:p>
        </w:tc>
        <w:tc>
          <w:tcPr>
            <w:tcW w:w="1672" w:type="dxa"/>
          </w:tcPr>
          <w:p>
            <w:pPr>
              <w:pStyle w:val="0"/>
              <w:jc w:val="center"/>
            </w:pPr>
            <w:r>
              <w:rPr>
                <w:sz w:val="20"/>
              </w:rPr>
              <w:t xml:space="preserve">1,35</w:t>
            </w:r>
          </w:p>
        </w:tc>
      </w:tr>
      <w:tr>
        <w:tc>
          <w:tcPr>
            <w:tcW w:w="5812" w:type="dxa"/>
          </w:tcPr>
          <w:p>
            <w:pPr>
              <w:pStyle w:val="0"/>
            </w:pPr>
            <w:r>
              <w:rPr>
                <w:sz w:val="20"/>
              </w:rPr>
              <w:t xml:space="preserve">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производства</w:t>
            </w:r>
          </w:p>
        </w:tc>
        <w:tc>
          <w:tcPr>
            <w:tcW w:w="1588" w:type="dxa"/>
          </w:tcPr>
          <w:p>
            <w:pPr>
              <w:pStyle w:val="0"/>
              <w:jc w:val="center"/>
            </w:pPr>
            <w:r>
              <w:rPr>
                <w:sz w:val="20"/>
              </w:rPr>
              <w:t xml:space="preserve">1414</w:t>
            </w:r>
          </w:p>
        </w:tc>
        <w:tc>
          <w:tcPr>
            <w:tcW w:w="1672" w:type="dxa"/>
          </w:tcPr>
          <w:p>
            <w:pPr>
              <w:pStyle w:val="0"/>
              <w:jc w:val="center"/>
            </w:pPr>
            <w:r>
              <w:rPr>
                <w:sz w:val="20"/>
              </w:rPr>
              <w:t xml:space="preserve">0,28</w:t>
            </w:r>
          </w:p>
        </w:tc>
      </w:tr>
      <w:tr>
        <w:tc>
          <w:tcPr>
            <w:tcW w:w="5812" w:type="dxa"/>
          </w:tcPr>
          <w:p>
            <w:pPr>
              <w:pStyle w:val="0"/>
            </w:pPr>
            <w:r>
              <w:rPr>
                <w:sz w:val="20"/>
              </w:rPr>
              <w:t xml:space="preserve">Всего</w:t>
            </w:r>
          </w:p>
        </w:tc>
        <w:tc>
          <w:tcPr>
            <w:tcW w:w="1588" w:type="dxa"/>
          </w:tcPr>
          <w:p>
            <w:pPr>
              <w:pStyle w:val="0"/>
              <w:jc w:val="center"/>
            </w:pPr>
            <w:r>
              <w:rPr>
                <w:sz w:val="20"/>
              </w:rPr>
              <w:t xml:space="preserve">505461</w:t>
            </w:r>
          </w:p>
        </w:tc>
        <w:tc>
          <w:tcPr>
            <w:tcW w:w="1672" w:type="dxa"/>
          </w:tcPr>
          <w:p>
            <w:pPr>
              <w:pStyle w:val="0"/>
              <w:jc w:val="center"/>
            </w:pPr>
            <w:r>
              <w:rPr>
                <w:sz w:val="20"/>
              </w:rPr>
              <w:t xml:space="preserve">100,0</w:t>
            </w:r>
          </w:p>
        </w:tc>
      </w:tr>
    </w:tbl>
    <w:p>
      <w:pPr>
        <w:pStyle w:val="0"/>
        <w:jc w:val="center"/>
      </w:pPr>
      <w:r>
        <w:rPr>
          <w:sz w:val="20"/>
        </w:rPr>
      </w:r>
    </w:p>
    <w:p>
      <w:pPr>
        <w:pStyle w:val="0"/>
        <w:ind w:firstLine="540"/>
        <w:jc w:val="both"/>
      </w:pPr>
      <w:r>
        <w:rPr>
          <w:sz w:val="20"/>
        </w:rPr>
        <w:t xml:space="preserve">В численности работников организаций Курской области в разрезе видов экономической деятельности в 2019 году наибольшую численность показывают следующие отрасли:</w:t>
      </w:r>
    </w:p>
    <w:p>
      <w:pPr>
        <w:pStyle w:val="0"/>
        <w:spacing w:before="200" w:line-rule="auto"/>
        <w:ind w:firstLine="540"/>
        <w:jc w:val="both"/>
      </w:pPr>
      <w:r>
        <w:rPr>
          <w:sz w:val="20"/>
        </w:rPr>
        <w:t xml:space="preserve">- обрабатывающие производства (16,87%);</w:t>
      </w:r>
    </w:p>
    <w:p>
      <w:pPr>
        <w:pStyle w:val="0"/>
        <w:spacing w:before="200" w:line-rule="auto"/>
        <w:ind w:firstLine="540"/>
        <w:jc w:val="both"/>
      </w:pPr>
      <w:r>
        <w:rPr>
          <w:sz w:val="20"/>
        </w:rPr>
        <w:t xml:space="preserve">- образование (13,98%);</w:t>
      </w:r>
    </w:p>
    <w:p>
      <w:pPr>
        <w:pStyle w:val="0"/>
        <w:spacing w:before="200" w:line-rule="auto"/>
        <w:ind w:firstLine="540"/>
        <w:jc w:val="both"/>
      </w:pPr>
      <w:r>
        <w:rPr>
          <w:sz w:val="20"/>
        </w:rPr>
        <w:t xml:space="preserve">- здравоохранение и предоставление социальных услуг (10,40%);</w:t>
      </w:r>
    </w:p>
    <w:p>
      <w:pPr>
        <w:pStyle w:val="0"/>
        <w:spacing w:before="200" w:line-rule="auto"/>
        <w:ind w:firstLine="540"/>
        <w:jc w:val="both"/>
      </w:pPr>
      <w:r>
        <w:rPr>
          <w:sz w:val="20"/>
        </w:rPr>
        <w:t xml:space="preserve">- торговля (9,5%);</w:t>
      </w:r>
    </w:p>
    <w:p>
      <w:pPr>
        <w:pStyle w:val="0"/>
        <w:spacing w:before="200" w:line-rule="auto"/>
        <w:ind w:firstLine="540"/>
        <w:jc w:val="both"/>
      </w:pPr>
      <w:r>
        <w:rPr>
          <w:sz w:val="20"/>
        </w:rPr>
        <w:t xml:space="preserve">- государственное управление и обеспечение военной безопасности; социальное обеспечение (8,66%);</w:t>
      </w:r>
    </w:p>
    <w:p>
      <w:pPr>
        <w:pStyle w:val="0"/>
        <w:spacing w:before="200" w:line-rule="auto"/>
        <w:ind w:firstLine="540"/>
        <w:jc w:val="both"/>
      </w:pPr>
      <w:r>
        <w:rPr>
          <w:sz w:val="20"/>
        </w:rPr>
        <w:t xml:space="preserve">- сельское, лесное хозяйство, охота, рыболовство и рыбоводство (7,57%);</w:t>
      </w:r>
    </w:p>
    <w:p>
      <w:pPr>
        <w:pStyle w:val="0"/>
        <w:spacing w:before="200" w:line-rule="auto"/>
        <w:ind w:firstLine="540"/>
        <w:jc w:val="both"/>
      </w:pPr>
      <w:r>
        <w:rPr>
          <w:sz w:val="20"/>
        </w:rPr>
        <w:t xml:space="preserve">- строительство (5,76%);</w:t>
      </w:r>
    </w:p>
    <w:p>
      <w:pPr>
        <w:pStyle w:val="0"/>
        <w:spacing w:before="200" w:line-rule="auto"/>
        <w:ind w:firstLine="540"/>
        <w:jc w:val="both"/>
      </w:pPr>
      <w:r>
        <w:rPr>
          <w:sz w:val="20"/>
        </w:rPr>
        <w:t xml:space="preserve">- транспортировка и хранение (5,04%).</w:t>
      </w:r>
    </w:p>
    <w:p>
      <w:pPr>
        <w:pStyle w:val="0"/>
        <w:spacing w:before="200" w:line-rule="auto"/>
        <w:ind w:firstLine="540"/>
        <w:jc w:val="both"/>
      </w:pPr>
      <w:r>
        <w:rPr>
          <w:sz w:val="20"/>
        </w:rPr>
        <w:t xml:space="preserve">Распределение занятого населения по видам экономической деятельности по данным отчетного баланса трудовых ресурсов показывает несколько иную картину занятости. Наибольший удельные вес в структуре занятых занимают следующие отрасли (таблица N 3):</w:t>
      </w:r>
    </w:p>
    <w:p>
      <w:pPr>
        <w:pStyle w:val="0"/>
        <w:spacing w:before="200" w:line-rule="auto"/>
        <w:ind w:firstLine="540"/>
        <w:jc w:val="both"/>
      </w:pPr>
      <w:r>
        <w:rPr>
          <w:sz w:val="20"/>
        </w:rPr>
        <w:t xml:space="preserve">- торговля оптовая и розничная; ремонт автотранспортных средств и мотоциклов (20,07%);</w:t>
      </w:r>
    </w:p>
    <w:p>
      <w:pPr>
        <w:pStyle w:val="0"/>
        <w:spacing w:before="200" w:line-rule="auto"/>
        <w:ind w:firstLine="540"/>
        <w:jc w:val="both"/>
      </w:pPr>
      <w:r>
        <w:rPr>
          <w:sz w:val="20"/>
        </w:rPr>
        <w:t xml:space="preserve">- обрабатывающие производства (13,86%);</w:t>
      </w:r>
    </w:p>
    <w:p>
      <w:pPr>
        <w:pStyle w:val="0"/>
        <w:spacing w:before="200" w:line-rule="auto"/>
        <w:ind w:firstLine="540"/>
        <w:jc w:val="both"/>
      </w:pPr>
      <w:r>
        <w:rPr>
          <w:sz w:val="20"/>
        </w:rPr>
        <w:t xml:space="preserve">- сельское, лесное хозяйство, охота, рыболовство и рыбоводство (12,08%)</w:t>
      </w:r>
    </w:p>
    <w:p>
      <w:pPr>
        <w:pStyle w:val="0"/>
        <w:spacing w:before="200" w:line-rule="auto"/>
        <w:ind w:firstLine="540"/>
        <w:jc w:val="both"/>
      </w:pPr>
      <w:r>
        <w:rPr>
          <w:sz w:val="20"/>
        </w:rPr>
        <w:t xml:space="preserve">- образование (9,62%);</w:t>
      </w:r>
    </w:p>
    <w:p>
      <w:pPr>
        <w:pStyle w:val="0"/>
        <w:spacing w:before="200" w:line-rule="auto"/>
        <w:ind w:firstLine="540"/>
        <w:jc w:val="both"/>
      </w:pPr>
      <w:r>
        <w:rPr>
          <w:sz w:val="20"/>
        </w:rPr>
        <w:t xml:space="preserve">- деятельность в области здравоохранения и социальных услуг (6,99%);</w:t>
      </w:r>
    </w:p>
    <w:p>
      <w:pPr>
        <w:pStyle w:val="0"/>
        <w:spacing w:before="200" w:line-rule="auto"/>
        <w:ind w:firstLine="540"/>
        <w:jc w:val="both"/>
      </w:pPr>
      <w:r>
        <w:rPr>
          <w:sz w:val="20"/>
        </w:rPr>
        <w:t xml:space="preserve">- строительство (5,87%);</w:t>
      </w:r>
    </w:p>
    <w:p>
      <w:pPr>
        <w:pStyle w:val="0"/>
        <w:spacing w:before="200" w:line-rule="auto"/>
        <w:ind w:firstLine="540"/>
        <w:jc w:val="both"/>
      </w:pPr>
      <w:r>
        <w:rPr>
          <w:sz w:val="20"/>
        </w:rPr>
        <w:t xml:space="preserve">- транспортировка и хранение (5,75%);</w:t>
      </w:r>
    </w:p>
    <w:p>
      <w:pPr>
        <w:pStyle w:val="0"/>
        <w:spacing w:before="200" w:line-rule="auto"/>
        <w:ind w:firstLine="540"/>
        <w:jc w:val="both"/>
      </w:pPr>
      <w:r>
        <w:rPr>
          <w:sz w:val="20"/>
        </w:rPr>
        <w:t xml:space="preserve">- государственное управление и обеспечение военной безопасности; социальное обеспечение (5,59%).</w:t>
      </w:r>
    </w:p>
    <w:p>
      <w:pPr>
        <w:pStyle w:val="0"/>
        <w:spacing w:before="200" w:line-rule="auto"/>
        <w:ind w:firstLine="540"/>
        <w:jc w:val="both"/>
      </w:pPr>
      <w:r>
        <w:rPr>
          <w:sz w:val="20"/>
        </w:rPr>
        <w:t xml:space="preserve">Наибольшее по абсолютной величине расхождение между численностью работников организаций и среднегодовой численностью занятых в экономике наблюдается в следующих отраслях (таблица N 4):</w:t>
      </w:r>
    </w:p>
    <w:p>
      <w:pPr>
        <w:pStyle w:val="0"/>
        <w:spacing w:before="200" w:line-rule="auto"/>
        <w:ind w:firstLine="540"/>
        <w:jc w:val="both"/>
      </w:pPr>
      <w:r>
        <w:rPr>
          <w:sz w:val="20"/>
        </w:rPr>
        <w:t xml:space="preserve">- торговля оптовая и розничная; ремонт автотранспортных средств и мотоциклов - 70,9 тыс. чел.;</w:t>
      </w:r>
    </w:p>
    <w:p>
      <w:pPr>
        <w:pStyle w:val="0"/>
        <w:spacing w:before="200" w:line-rule="auto"/>
        <w:ind w:firstLine="540"/>
        <w:jc w:val="both"/>
      </w:pPr>
      <w:r>
        <w:rPr>
          <w:sz w:val="20"/>
        </w:rPr>
        <w:t xml:space="preserve">- сельское, лесное хозяйство, охота, рыболовство и рыбоводство - 36,7 тыс. чел.;</w:t>
      </w:r>
    </w:p>
    <w:p>
      <w:pPr>
        <w:pStyle w:val="0"/>
        <w:spacing w:before="200" w:line-rule="auto"/>
        <w:ind w:firstLine="540"/>
        <w:jc w:val="both"/>
      </w:pPr>
      <w:r>
        <w:rPr>
          <w:sz w:val="20"/>
        </w:rPr>
        <w:t xml:space="preserve">- обрабатывающие производства - 15,9 тыс. чел.;</w:t>
      </w:r>
    </w:p>
    <w:p>
      <w:pPr>
        <w:pStyle w:val="0"/>
        <w:spacing w:before="200" w:line-rule="auto"/>
        <w:ind w:firstLine="540"/>
        <w:jc w:val="both"/>
      </w:pPr>
      <w:r>
        <w:rPr>
          <w:sz w:val="20"/>
        </w:rPr>
        <w:t xml:space="preserve">- транспортировка и хранение - 12,9 тыс. чел.;</w:t>
      </w:r>
    </w:p>
    <w:p>
      <w:pPr>
        <w:pStyle w:val="0"/>
        <w:spacing w:before="200" w:line-rule="auto"/>
        <w:ind w:firstLine="540"/>
        <w:jc w:val="both"/>
      </w:pPr>
      <w:r>
        <w:rPr>
          <w:sz w:val="20"/>
        </w:rPr>
        <w:t xml:space="preserve">- строительство - 11,2 тыс. чел.</w:t>
      </w:r>
    </w:p>
    <w:p>
      <w:pPr>
        <w:pStyle w:val="0"/>
        <w:jc w:val="center"/>
      </w:pPr>
      <w:r>
        <w:rPr>
          <w:sz w:val="20"/>
        </w:rPr>
      </w:r>
    </w:p>
    <w:p>
      <w:pPr>
        <w:pStyle w:val="0"/>
        <w:outlineLvl w:val="2"/>
        <w:jc w:val="right"/>
      </w:pPr>
      <w:r>
        <w:rPr>
          <w:sz w:val="20"/>
        </w:rPr>
        <w:t xml:space="preserve">Таблица N 4</w:t>
      </w:r>
    </w:p>
    <w:p>
      <w:pPr>
        <w:pStyle w:val="0"/>
        <w:jc w:val="center"/>
      </w:pPr>
      <w:r>
        <w:rPr>
          <w:sz w:val="20"/>
        </w:rPr>
      </w:r>
    </w:p>
    <w:p>
      <w:pPr>
        <w:pStyle w:val="2"/>
        <w:jc w:val="center"/>
      </w:pPr>
      <w:r>
        <w:rPr>
          <w:sz w:val="20"/>
        </w:rPr>
        <w:t xml:space="preserve">Превышение численности занятых в отраслях экономики Курской</w:t>
      </w:r>
    </w:p>
    <w:p>
      <w:pPr>
        <w:pStyle w:val="2"/>
        <w:jc w:val="center"/>
      </w:pPr>
      <w:r>
        <w:rPr>
          <w:sz w:val="20"/>
        </w:rPr>
        <w:t xml:space="preserve">области над численностью работников организаций (без внешних</w:t>
      </w:r>
    </w:p>
    <w:p>
      <w:pPr>
        <w:pStyle w:val="2"/>
        <w:jc w:val="center"/>
      </w:pPr>
      <w:r>
        <w:rPr>
          <w:sz w:val="20"/>
        </w:rPr>
        <w:t xml:space="preserve">совместителей и работников несписочного состава в 2019 году</w:t>
      </w:r>
    </w:p>
    <w:p>
      <w:pPr>
        <w:pStyle w:val="2"/>
        <w:jc w:val="center"/>
      </w:pPr>
      <w:r>
        <w:rPr>
          <w:sz w:val="20"/>
        </w:rPr>
        <w:t xml:space="preserve">(в среднегодовом исчислении)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86"/>
        <w:gridCol w:w="1842"/>
        <w:gridCol w:w="1814"/>
      </w:tblGrid>
      <w:tr>
        <w:tc>
          <w:tcPr>
            <w:tcW w:w="5386" w:type="dxa"/>
          </w:tcPr>
          <w:p>
            <w:pPr>
              <w:pStyle w:val="0"/>
              <w:jc w:val="center"/>
            </w:pPr>
            <w:r>
              <w:rPr>
                <w:sz w:val="20"/>
              </w:rPr>
              <w:t xml:space="preserve">Наименование видов экономической деятельности</w:t>
            </w:r>
          </w:p>
        </w:tc>
        <w:tc>
          <w:tcPr>
            <w:tcW w:w="1842" w:type="dxa"/>
          </w:tcPr>
          <w:p>
            <w:pPr>
              <w:pStyle w:val="0"/>
              <w:jc w:val="center"/>
            </w:pPr>
            <w:r>
              <w:rPr>
                <w:sz w:val="20"/>
              </w:rPr>
              <w:t xml:space="preserve">По абсолютной величине, чел.</w:t>
            </w:r>
          </w:p>
        </w:tc>
        <w:tc>
          <w:tcPr>
            <w:tcW w:w="1814" w:type="dxa"/>
          </w:tcPr>
          <w:p>
            <w:pPr>
              <w:pStyle w:val="0"/>
              <w:jc w:val="center"/>
            </w:pPr>
            <w:r>
              <w:rPr>
                <w:sz w:val="20"/>
              </w:rPr>
              <w:t xml:space="preserve">По относительной величине, %</w:t>
            </w:r>
          </w:p>
        </w:tc>
      </w:tr>
      <w:tr>
        <w:tc>
          <w:tcPr>
            <w:tcW w:w="5386" w:type="dxa"/>
          </w:tcPr>
          <w:p>
            <w:pPr>
              <w:pStyle w:val="0"/>
            </w:pPr>
            <w:r>
              <w:rPr>
                <w:sz w:val="20"/>
              </w:rPr>
              <w:t xml:space="preserve">Сельское, лесное хозяйство, охота, рыболовство и рыбоводство</w:t>
            </w:r>
          </w:p>
        </w:tc>
        <w:tc>
          <w:tcPr>
            <w:tcW w:w="1842" w:type="dxa"/>
          </w:tcPr>
          <w:p>
            <w:pPr>
              <w:pStyle w:val="0"/>
              <w:jc w:val="center"/>
            </w:pPr>
            <w:r>
              <w:rPr>
                <w:sz w:val="20"/>
              </w:rPr>
              <w:t xml:space="preserve">36741</w:t>
            </w:r>
          </w:p>
        </w:tc>
        <w:tc>
          <w:tcPr>
            <w:tcW w:w="1814" w:type="dxa"/>
          </w:tcPr>
          <w:p>
            <w:pPr>
              <w:pStyle w:val="0"/>
              <w:jc w:val="center"/>
            </w:pPr>
            <w:r>
              <w:rPr>
                <w:sz w:val="20"/>
              </w:rPr>
              <w:t xml:space="preserve">151</w:t>
            </w:r>
          </w:p>
        </w:tc>
      </w:tr>
      <w:tr>
        <w:tc>
          <w:tcPr>
            <w:tcW w:w="5386" w:type="dxa"/>
          </w:tcPr>
          <w:p>
            <w:pPr>
              <w:pStyle w:val="0"/>
            </w:pPr>
            <w:r>
              <w:rPr>
                <w:sz w:val="20"/>
              </w:rPr>
              <w:t xml:space="preserve">Добыча полезных ископаемых</w:t>
            </w:r>
          </w:p>
        </w:tc>
        <w:tc>
          <w:tcPr>
            <w:tcW w:w="1842" w:type="dxa"/>
          </w:tcPr>
          <w:p>
            <w:pPr>
              <w:pStyle w:val="0"/>
              <w:jc w:val="center"/>
            </w:pPr>
            <w:r>
              <w:rPr>
                <w:sz w:val="20"/>
              </w:rPr>
              <w:t xml:space="preserve">6072</w:t>
            </w:r>
          </w:p>
        </w:tc>
        <w:tc>
          <w:tcPr>
            <w:tcW w:w="1814" w:type="dxa"/>
          </w:tcPr>
          <w:p>
            <w:pPr>
              <w:pStyle w:val="0"/>
              <w:jc w:val="center"/>
            </w:pPr>
            <w:r>
              <w:rPr>
                <w:sz w:val="20"/>
              </w:rPr>
              <w:t xml:space="preserve">103</w:t>
            </w:r>
          </w:p>
        </w:tc>
      </w:tr>
      <w:tr>
        <w:tc>
          <w:tcPr>
            <w:tcW w:w="5386" w:type="dxa"/>
          </w:tcPr>
          <w:p>
            <w:pPr>
              <w:pStyle w:val="0"/>
            </w:pPr>
            <w:r>
              <w:rPr>
                <w:sz w:val="20"/>
              </w:rPr>
              <w:t xml:space="preserve">Обрабатывающие производства</w:t>
            </w:r>
          </w:p>
        </w:tc>
        <w:tc>
          <w:tcPr>
            <w:tcW w:w="1842" w:type="dxa"/>
          </w:tcPr>
          <w:p>
            <w:pPr>
              <w:pStyle w:val="0"/>
              <w:jc w:val="center"/>
            </w:pPr>
            <w:r>
              <w:rPr>
                <w:sz w:val="20"/>
              </w:rPr>
              <w:t xml:space="preserve">15872</w:t>
            </w:r>
          </w:p>
        </w:tc>
        <w:tc>
          <w:tcPr>
            <w:tcW w:w="1814" w:type="dxa"/>
          </w:tcPr>
          <w:p>
            <w:pPr>
              <w:pStyle w:val="0"/>
              <w:jc w:val="center"/>
            </w:pPr>
            <w:r>
              <w:rPr>
                <w:sz w:val="20"/>
              </w:rPr>
              <w:t xml:space="preserve">29</w:t>
            </w:r>
          </w:p>
        </w:tc>
      </w:tr>
      <w:tr>
        <w:tc>
          <w:tcPr>
            <w:tcW w:w="5386" w:type="dxa"/>
          </w:tcPr>
          <w:p>
            <w:pPr>
              <w:pStyle w:val="0"/>
            </w:pPr>
            <w:r>
              <w:rPr>
                <w:sz w:val="20"/>
              </w:rPr>
              <w:t xml:space="preserve">Обеспечение электрической энергией, газом и паром; кондиционирование воздуха</w:t>
            </w:r>
          </w:p>
        </w:tc>
        <w:tc>
          <w:tcPr>
            <w:tcW w:w="1842" w:type="dxa"/>
          </w:tcPr>
          <w:p>
            <w:pPr>
              <w:pStyle w:val="0"/>
              <w:jc w:val="center"/>
            </w:pPr>
            <w:r>
              <w:rPr>
                <w:sz w:val="20"/>
              </w:rPr>
              <w:t xml:space="preserve">1141</w:t>
            </w:r>
          </w:p>
        </w:tc>
        <w:tc>
          <w:tcPr>
            <w:tcW w:w="1814" w:type="dxa"/>
          </w:tcPr>
          <w:p>
            <w:pPr>
              <w:pStyle w:val="0"/>
              <w:jc w:val="center"/>
            </w:pPr>
            <w:r>
              <w:rPr>
                <w:sz w:val="20"/>
              </w:rPr>
              <w:t xml:space="preserve">7</w:t>
            </w:r>
          </w:p>
        </w:tc>
      </w:tr>
      <w:tr>
        <w:tc>
          <w:tcPr>
            <w:tcW w:w="5386" w:type="dxa"/>
          </w:tcPr>
          <w:p>
            <w:pPr>
              <w:pStyle w:val="0"/>
            </w:pPr>
            <w:r>
              <w:rPr>
                <w:sz w:val="20"/>
              </w:rPr>
              <w:t xml:space="preserve">Водоснабжение; водоотведение, организация сбора и утилизации отходов, деятельность по ликвидации загрязнений</w:t>
            </w:r>
          </w:p>
        </w:tc>
        <w:tc>
          <w:tcPr>
            <w:tcW w:w="1842" w:type="dxa"/>
          </w:tcPr>
          <w:p>
            <w:pPr>
              <w:pStyle w:val="0"/>
              <w:jc w:val="center"/>
            </w:pPr>
            <w:r>
              <w:rPr>
                <w:sz w:val="20"/>
              </w:rPr>
              <w:t xml:space="preserve">384</w:t>
            </w:r>
          </w:p>
        </w:tc>
        <w:tc>
          <w:tcPr>
            <w:tcW w:w="1814" w:type="dxa"/>
          </w:tcPr>
          <w:p>
            <w:pPr>
              <w:pStyle w:val="0"/>
              <w:jc w:val="center"/>
            </w:pPr>
            <w:r>
              <w:rPr>
                <w:sz w:val="20"/>
              </w:rPr>
              <w:t xml:space="preserve">9</w:t>
            </w:r>
          </w:p>
        </w:tc>
      </w:tr>
      <w:tr>
        <w:tc>
          <w:tcPr>
            <w:tcW w:w="5386" w:type="dxa"/>
          </w:tcPr>
          <w:p>
            <w:pPr>
              <w:pStyle w:val="0"/>
            </w:pPr>
            <w:r>
              <w:rPr>
                <w:sz w:val="20"/>
              </w:rPr>
              <w:t xml:space="preserve">Строительство</w:t>
            </w:r>
          </w:p>
        </w:tc>
        <w:tc>
          <w:tcPr>
            <w:tcW w:w="1842" w:type="dxa"/>
          </w:tcPr>
          <w:p>
            <w:pPr>
              <w:pStyle w:val="0"/>
              <w:jc w:val="center"/>
            </w:pPr>
            <w:r>
              <w:rPr>
                <w:sz w:val="20"/>
              </w:rPr>
              <w:t xml:space="preserve">11174</w:t>
            </w:r>
          </w:p>
        </w:tc>
        <w:tc>
          <w:tcPr>
            <w:tcW w:w="1814" w:type="dxa"/>
          </w:tcPr>
          <w:p>
            <w:pPr>
              <w:pStyle w:val="0"/>
              <w:jc w:val="center"/>
            </w:pPr>
            <w:r>
              <w:rPr>
                <w:sz w:val="20"/>
              </w:rPr>
              <w:t xml:space="preserve">60</w:t>
            </w:r>
          </w:p>
        </w:tc>
      </w:tr>
      <w:tr>
        <w:tc>
          <w:tcPr>
            <w:tcW w:w="5386" w:type="dxa"/>
          </w:tcPr>
          <w:p>
            <w:pPr>
              <w:pStyle w:val="0"/>
            </w:pPr>
            <w:r>
              <w:rPr>
                <w:sz w:val="20"/>
              </w:rPr>
              <w:t xml:space="preserve">Торговля оптовая и розничная; ремонт автотранспортных средств и мотоциклов</w:t>
            </w:r>
          </w:p>
        </w:tc>
        <w:tc>
          <w:tcPr>
            <w:tcW w:w="1842" w:type="dxa"/>
          </w:tcPr>
          <w:p>
            <w:pPr>
              <w:pStyle w:val="0"/>
              <w:jc w:val="center"/>
            </w:pPr>
            <w:r>
              <w:rPr>
                <w:sz w:val="20"/>
              </w:rPr>
              <w:t xml:space="preserve">70952</w:t>
            </w:r>
          </w:p>
        </w:tc>
        <w:tc>
          <w:tcPr>
            <w:tcW w:w="1814" w:type="dxa"/>
          </w:tcPr>
          <w:p>
            <w:pPr>
              <w:pStyle w:val="0"/>
              <w:jc w:val="center"/>
            </w:pPr>
            <w:r>
              <w:rPr>
                <w:sz w:val="20"/>
              </w:rPr>
              <w:t xml:space="preserve">233</w:t>
            </w:r>
          </w:p>
        </w:tc>
      </w:tr>
      <w:tr>
        <w:tc>
          <w:tcPr>
            <w:tcW w:w="5386" w:type="dxa"/>
          </w:tcPr>
          <w:p>
            <w:pPr>
              <w:pStyle w:val="0"/>
            </w:pPr>
            <w:r>
              <w:rPr>
                <w:sz w:val="20"/>
              </w:rPr>
              <w:t xml:space="preserve">Транспортировка и хранение</w:t>
            </w:r>
          </w:p>
        </w:tc>
        <w:tc>
          <w:tcPr>
            <w:tcW w:w="1842" w:type="dxa"/>
          </w:tcPr>
          <w:p>
            <w:pPr>
              <w:pStyle w:val="0"/>
              <w:jc w:val="center"/>
            </w:pPr>
            <w:r>
              <w:rPr>
                <w:sz w:val="20"/>
              </w:rPr>
              <w:t xml:space="preserve">12861</w:t>
            </w:r>
          </w:p>
        </w:tc>
        <w:tc>
          <w:tcPr>
            <w:tcW w:w="1814" w:type="dxa"/>
          </w:tcPr>
          <w:p>
            <w:pPr>
              <w:pStyle w:val="0"/>
              <w:jc w:val="center"/>
            </w:pPr>
            <w:r>
              <w:rPr>
                <w:sz w:val="20"/>
              </w:rPr>
              <w:t xml:space="preserve">79</w:t>
            </w:r>
          </w:p>
        </w:tc>
      </w:tr>
      <w:tr>
        <w:tc>
          <w:tcPr>
            <w:tcW w:w="5386" w:type="dxa"/>
          </w:tcPr>
          <w:p>
            <w:pPr>
              <w:pStyle w:val="0"/>
            </w:pPr>
            <w:r>
              <w:rPr>
                <w:sz w:val="20"/>
              </w:rPr>
              <w:t xml:space="preserve">Деятельность гостиниц и предприятий общественного питания</w:t>
            </w:r>
          </w:p>
        </w:tc>
        <w:tc>
          <w:tcPr>
            <w:tcW w:w="1842" w:type="dxa"/>
          </w:tcPr>
          <w:p>
            <w:pPr>
              <w:pStyle w:val="0"/>
              <w:jc w:val="center"/>
            </w:pPr>
            <w:r>
              <w:rPr>
                <w:sz w:val="20"/>
              </w:rPr>
              <w:t xml:space="preserve">3228</w:t>
            </w:r>
          </w:p>
        </w:tc>
        <w:tc>
          <w:tcPr>
            <w:tcW w:w="1814" w:type="dxa"/>
          </w:tcPr>
          <w:p>
            <w:pPr>
              <w:pStyle w:val="0"/>
              <w:jc w:val="center"/>
            </w:pPr>
            <w:r>
              <w:rPr>
                <w:sz w:val="20"/>
              </w:rPr>
              <w:t xml:space="preserve">75</w:t>
            </w:r>
          </w:p>
        </w:tc>
      </w:tr>
      <w:tr>
        <w:tc>
          <w:tcPr>
            <w:tcW w:w="5386" w:type="dxa"/>
          </w:tcPr>
          <w:p>
            <w:pPr>
              <w:pStyle w:val="0"/>
            </w:pPr>
            <w:r>
              <w:rPr>
                <w:sz w:val="20"/>
              </w:rPr>
              <w:t xml:space="preserve">Деятельность в области информации и связи</w:t>
            </w:r>
          </w:p>
        </w:tc>
        <w:tc>
          <w:tcPr>
            <w:tcW w:w="1842" w:type="dxa"/>
          </w:tcPr>
          <w:p>
            <w:pPr>
              <w:pStyle w:val="0"/>
              <w:jc w:val="center"/>
            </w:pPr>
            <w:r>
              <w:rPr>
                <w:sz w:val="20"/>
              </w:rPr>
              <w:t xml:space="preserve">3196</w:t>
            </w:r>
          </w:p>
        </w:tc>
        <w:tc>
          <w:tcPr>
            <w:tcW w:w="1814" w:type="dxa"/>
          </w:tcPr>
          <w:p>
            <w:pPr>
              <w:pStyle w:val="0"/>
              <w:jc w:val="center"/>
            </w:pPr>
            <w:r>
              <w:rPr>
                <w:sz w:val="20"/>
              </w:rPr>
              <w:t xml:space="preserve">65</w:t>
            </w:r>
          </w:p>
        </w:tc>
      </w:tr>
      <w:tr>
        <w:tc>
          <w:tcPr>
            <w:tcW w:w="5386" w:type="dxa"/>
          </w:tcPr>
          <w:p>
            <w:pPr>
              <w:pStyle w:val="0"/>
            </w:pPr>
            <w:r>
              <w:rPr>
                <w:sz w:val="20"/>
              </w:rPr>
              <w:t xml:space="preserve">Деятельность финансовая и страховая</w:t>
            </w:r>
          </w:p>
        </w:tc>
        <w:tc>
          <w:tcPr>
            <w:tcW w:w="1842" w:type="dxa"/>
          </w:tcPr>
          <w:p>
            <w:pPr>
              <w:pStyle w:val="0"/>
              <w:jc w:val="center"/>
            </w:pPr>
            <w:r>
              <w:rPr>
                <w:sz w:val="20"/>
              </w:rPr>
              <w:t xml:space="preserve">920</w:t>
            </w:r>
          </w:p>
        </w:tc>
        <w:tc>
          <w:tcPr>
            <w:tcW w:w="1814" w:type="dxa"/>
          </w:tcPr>
          <w:p>
            <w:pPr>
              <w:pStyle w:val="0"/>
              <w:jc w:val="center"/>
            </w:pPr>
            <w:r>
              <w:rPr>
                <w:sz w:val="20"/>
              </w:rPr>
              <w:t xml:space="preserve">18</w:t>
            </w:r>
          </w:p>
        </w:tc>
      </w:tr>
      <w:tr>
        <w:tc>
          <w:tcPr>
            <w:tcW w:w="5386" w:type="dxa"/>
          </w:tcPr>
          <w:p>
            <w:pPr>
              <w:pStyle w:val="0"/>
            </w:pPr>
            <w:r>
              <w:rPr>
                <w:sz w:val="20"/>
              </w:rPr>
              <w:t xml:space="preserve">Деятельность по операциям с недвижимым имуществом</w:t>
            </w:r>
          </w:p>
        </w:tc>
        <w:tc>
          <w:tcPr>
            <w:tcW w:w="1842" w:type="dxa"/>
          </w:tcPr>
          <w:p>
            <w:pPr>
              <w:pStyle w:val="0"/>
              <w:jc w:val="center"/>
            </w:pPr>
            <w:r>
              <w:rPr>
                <w:sz w:val="20"/>
              </w:rPr>
              <w:t xml:space="preserve">3354</w:t>
            </w:r>
          </w:p>
        </w:tc>
        <w:tc>
          <w:tcPr>
            <w:tcW w:w="1814" w:type="dxa"/>
          </w:tcPr>
          <w:p>
            <w:pPr>
              <w:pStyle w:val="0"/>
              <w:jc w:val="center"/>
            </w:pPr>
            <w:r>
              <w:rPr>
                <w:sz w:val="20"/>
              </w:rPr>
              <w:t xml:space="preserve">58</w:t>
            </w:r>
          </w:p>
        </w:tc>
      </w:tr>
      <w:tr>
        <w:tc>
          <w:tcPr>
            <w:tcW w:w="5386" w:type="dxa"/>
          </w:tcPr>
          <w:p>
            <w:pPr>
              <w:pStyle w:val="0"/>
            </w:pPr>
            <w:r>
              <w:rPr>
                <w:sz w:val="20"/>
              </w:rPr>
              <w:t xml:space="preserve">Деятельность профессиональная, научная и техническая</w:t>
            </w:r>
          </w:p>
        </w:tc>
        <w:tc>
          <w:tcPr>
            <w:tcW w:w="1842" w:type="dxa"/>
          </w:tcPr>
          <w:p>
            <w:pPr>
              <w:pStyle w:val="0"/>
              <w:jc w:val="center"/>
            </w:pPr>
            <w:r>
              <w:rPr>
                <w:sz w:val="20"/>
              </w:rPr>
              <w:t xml:space="preserve">146</w:t>
            </w:r>
          </w:p>
        </w:tc>
        <w:tc>
          <w:tcPr>
            <w:tcW w:w="1814" w:type="dxa"/>
          </w:tcPr>
          <w:p>
            <w:pPr>
              <w:pStyle w:val="0"/>
              <w:jc w:val="center"/>
            </w:pPr>
            <w:r>
              <w:rPr>
                <w:sz w:val="20"/>
              </w:rPr>
              <w:t xml:space="preserve">1</w:t>
            </w:r>
          </w:p>
        </w:tc>
      </w:tr>
      <w:tr>
        <w:tc>
          <w:tcPr>
            <w:tcW w:w="5386" w:type="dxa"/>
          </w:tcPr>
          <w:p>
            <w:pPr>
              <w:pStyle w:val="0"/>
            </w:pPr>
            <w:r>
              <w:rPr>
                <w:sz w:val="20"/>
              </w:rPr>
              <w:t xml:space="preserve">Деятельность административная и сопутствующие дополнительные услуги</w:t>
            </w:r>
          </w:p>
        </w:tc>
        <w:tc>
          <w:tcPr>
            <w:tcW w:w="1842" w:type="dxa"/>
          </w:tcPr>
          <w:p>
            <w:pPr>
              <w:pStyle w:val="0"/>
              <w:jc w:val="center"/>
            </w:pPr>
            <w:r>
              <w:rPr>
                <w:sz w:val="20"/>
              </w:rPr>
              <w:t xml:space="preserve">4038</w:t>
            </w:r>
          </w:p>
        </w:tc>
        <w:tc>
          <w:tcPr>
            <w:tcW w:w="1814" w:type="dxa"/>
          </w:tcPr>
          <w:p>
            <w:pPr>
              <w:pStyle w:val="0"/>
              <w:jc w:val="center"/>
            </w:pPr>
            <w:r>
              <w:rPr>
                <w:sz w:val="20"/>
              </w:rPr>
              <w:t xml:space="preserve">59</w:t>
            </w:r>
          </w:p>
        </w:tc>
      </w:tr>
      <w:tr>
        <w:tc>
          <w:tcPr>
            <w:tcW w:w="5386" w:type="dxa"/>
          </w:tcPr>
          <w:p>
            <w:pPr>
              <w:pStyle w:val="0"/>
            </w:pPr>
            <w:r>
              <w:rPr>
                <w:sz w:val="20"/>
              </w:rPr>
              <w:t xml:space="preserve">Государственное управление и обеспечение военной безопасности; социальное обеспечение</w:t>
            </w:r>
          </w:p>
        </w:tc>
        <w:tc>
          <w:tcPr>
            <w:tcW w:w="1842" w:type="dxa"/>
          </w:tcPr>
          <w:p>
            <w:pPr>
              <w:pStyle w:val="0"/>
              <w:jc w:val="center"/>
            </w:pPr>
            <w:r>
              <w:rPr>
                <w:sz w:val="20"/>
              </w:rPr>
              <w:t xml:space="preserve">449</w:t>
            </w:r>
          </w:p>
        </w:tc>
        <w:tc>
          <w:tcPr>
            <w:tcW w:w="1814" w:type="dxa"/>
          </w:tcPr>
          <w:p>
            <w:pPr>
              <w:pStyle w:val="0"/>
              <w:jc w:val="center"/>
            </w:pPr>
            <w:r>
              <w:rPr>
                <w:sz w:val="20"/>
              </w:rPr>
              <w:t xml:space="preserve">2</w:t>
            </w:r>
          </w:p>
        </w:tc>
      </w:tr>
      <w:tr>
        <w:tc>
          <w:tcPr>
            <w:tcW w:w="5386" w:type="dxa"/>
          </w:tcPr>
          <w:p>
            <w:pPr>
              <w:pStyle w:val="0"/>
            </w:pPr>
            <w:r>
              <w:rPr>
                <w:sz w:val="20"/>
              </w:rPr>
              <w:t xml:space="preserve">Образование</w:t>
            </w:r>
          </w:p>
        </w:tc>
        <w:tc>
          <w:tcPr>
            <w:tcW w:w="1842" w:type="dxa"/>
          </w:tcPr>
          <w:p>
            <w:pPr>
              <w:pStyle w:val="0"/>
              <w:jc w:val="center"/>
            </w:pPr>
            <w:r>
              <w:rPr>
                <w:sz w:val="20"/>
              </w:rPr>
              <w:t xml:space="preserve">3710</w:t>
            </w:r>
          </w:p>
        </w:tc>
        <w:tc>
          <w:tcPr>
            <w:tcW w:w="1814" w:type="dxa"/>
          </w:tcPr>
          <w:p>
            <w:pPr>
              <w:pStyle w:val="0"/>
              <w:jc w:val="center"/>
            </w:pPr>
            <w:r>
              <w:rPr>
                <w:sz w:val="20"/>
              </w:rPr>
              <w:t xml:space="preserve">8</w:t>
            </w:r>
          </w:p>
        </w:tc>
      </w:tr>
      <w:tr>
        <w:tc>
          <w:tcPr>
            <w:tcW w:w="5386" w:type="dxa"/>
          </w:tcPr>
          <w:p>
            <w:pPr>
              <w:pStyle w:val="0"/>
            </w:pPr>
            <w:r>
              <w:rPr>
                <w:sz w:val="20"/>
              </w:rPr>
              <w:t xml:space="preserve">Деятельность в области здравоохранения и социальных услуг</w:t>
            </w:r>
          </w:p>
        </w:tc>
        <w:tc>
          <w:tcPr>
            <w:tcW w:w="1842" w:type="dxa"/>
          </w:tcPr>
          <w:p>
            <w:pPr>
              <w:pStyle w:val="0"/>
              <w:jc w:val="center"/>
            </w:pPr>
            <w:r>
              <w:rPr>
                <w:sz w:val="20"/>
              </w:rPr>
              <w:t xml:space="preserve">1921</w:t>
            </w:r>
          </w:p>
        </w:tc>
        <w:tc>
          <w:tcPr>
            <w:tcW w:w="1814" w:type="dxa"/>
          </w:tcPr>
          <w:p>
            <w:pPr>
              <w:pStyle w:val="0"/>
              <w:jc w:val="center"/>
            </w:pPr>
            <w:r>
              <w:rPr>
                <w:sz w:val="20"/>
              </w:rPr>
              <w:t xml:space="preserve">6</w:t>
            </w:r>
          </w:p>
        </w:tc>
      </w:tr>
      <w:tr>
        <w:tc>
          <w:tcPr>
            <w:tcW w:w="5386" w:type="dxa"/>
          </w:tcPr>
          <w:p>
            <w:pPr>
              <w:pStyle w:val="0"/>
            </w:pPr>
            <w:r>
              <w:rPr>
                <w:sz w:val="20"/>
              </w:rPr>
              <w:t xml:space="preserve">Деятельность в области культуры, спорта, организации досуга и развлечений</w:t>
            </w:r>
          </w:p>
        </w:tc>
        <w:tc>
          <w:tcPr>
            <w:tcW w:w="1842" w:type="dxa"/>
          </w:tcPr>
          <w:p>
            <w:pPr>
              <w:pStyle w:val="0"/>
              <w:jc w:val="center"/>
            </w:pPr>
            <w:r>
              <w:rPr>
                <w:sz w:val="20"/>
              </w:rPr>
              <w:t xml:space="preserve">1064</w:t>
            </w:r>
          </w:p>
        </w:tc>
        <w:tc>
          <w:tcPr>
            <w:tcW w:w="1814" w:type="dxa"/>
          </w:tcPr>
          <w:p>
            <w:pPr>
              <w:pStyle w:val="0"/>
              <w:jc w:val="center"/>
            </w:pPr>
            <w:r>
              <w:rPr>
                <w:sz w:val="20"/>
              </w:rPr>
              <w:t xml:space="preserve">18</w:t>
            </w:r>
          </w:p>
        </w:tc>
      </w:tr>
      <w:tr>
        <w:tc>
          <w:tcPr>
            <w:tcW w:w="5386" w:type="dxa"/>
          </w:tcPr>
          <w:p>
            <w:pPr>
              <w:pStyle w:val="0"/>
            </w:pPr>
            <w:r>
              <w:rPr>
                <w:sz w:val="20"/>
              </w:rPr>
              <w:t xml:space="preserve">Предоставление прочих видов услуг</w:t>
            </w:r>
          </w:p>
        </w:tc>
        <w:tc>
          <w:tcPr>
            <w:tcW w:w="1842" w:type="dxa"/>
          </w:tcPr>
          <w:p>
            <w:pPr>
              <w:pStyle w:val="0"/>
              <w:jc w:val="center"/>
            </w:pPr>
            <w:r>
              <w:rPr>
                <w:sz w:val="20"/>
              </w:rPr>
              <w:t xml:space="preserve">5624</w:t>
            </w:r>
          </w:p>
        </w:tc>
        <w:tc>
          <w:tcPr>
            <w:tcW w:w="1814" w:type="dxa"/>
          </w:tcPr>
          <w:p>
            <w:pPr>
              <w:pStyle w:val="0"/>
              <w:jc w:val="center"/>
            </w:pPr>
            <w:r>
              <w:rPr>
                <w:sz w:val="20"/>
              </w:rPr>
              <w:t xml:space="preserve">469</w:t>
            </w:r>
          </w:p>
        </w:tc>
      </w:tr>
      <w:tr>
        <w:tc>
          <w:tcPr>
            <w:tcW w:w="5386" w:type="dxa"/>
          </w:tcPr>
          <w:p>
            <w:pPr>
              <w:pStyle w:val="0"/>
            </w:pPr>
            <w:r>
              <w:rPr>
                <w:sz w:val="20"/>
              </w:rPr>
              <w:t xml:space="preserve">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производства</w:t>
            </w:r>
          </w:p>
        </w:tc>
        <w:tc>
          <w:tcPr>
            <w:tcW w:w="1842" w:type="dxa"/>
          </w:tcPr>
          <w:p>
            <w:pPr>
              <w:pStyle w:val="0"/>
              <w:jc w:val="center"/>
            </w:pPr>
            <w:r>
              <w:rPr>
                <w:sz w:val="20"/>
              </w:rPr>
              <w:t xml:space="preserve">-</w:t>
            </w:r>
          </w:p>
        </w:tc>
        <w:tc>
          <w:tcPr>
            <w:tcW w:w="1814" w:type="dxa"/>
          </w:tcPr>
          <w:p>
            <w:pPr>
              <w:pStyle w:val="0"/>
              <w:jc w:val="center"/>
            </w:pPr>
            <w:r>
              <w:rPr>
                <w:sz w:val="20"/>
              </w:rPr>
              <w:t xml:space="preserve">-</w:t>
            </w:r>
          </w:p>
        </w:tc>
      </w:tr>
      <w:tr>
        <w:tc>
          <w:tcPr>
            <w:tcW w:w="5386" w:type="dxa"/>
          </w:tcPr>
          <w:p>
            <w:pPr>
              <w:pStyle w:val="0"/>
            </w:pPr>
            <w:r>
              <w:rPr>
                <w:sz w:val="20"/>
              </w:rPr>
              <w:t xml:space="preserve">Всего</w:t>
            </w:r>
          </w:p>
        </w:tc>
        <w:tc>
          <w:tcPr>
            <w:tcW w:w="1842" w:type="dxa"/>
          </w:tcPr>
          <w:p>
            <w:pPr>
              <w:pStyle w:val="0"/>
              <w:jc w:val="center"/>
            </w:pPr>
            <w:r>
              <w:rPr>
                <w:sz w:val="20"/>
              </w:rPr>
              <w:t xml:space="preserve">182847</w:t>
            </w:r>
          </w:p>
        </w:tc>
        <w:tc>
          <w:tcPr>
            <w:tcW w:w="1814" w:type="dxa"/>
          </w:tcPr>
          <w:p>
            <w:pPr>
              <w:pStyle w:val="0"/>
              <w:jc w:val="center"/>
            </w:pPr>
            <w:r>
              <w:rPr>
                <w:sz w:val="20"/>
              </w:rPr>
              <w:t xml:space="preserve">57</w:t>
            </w:r>
          </w:p>
        </w:tc>
      </w:tr>
    </w:tbl>
    <w:p>
      <w:pPr>
        <w:pStyle w:val="0"/>
        <w:ind w:firstLine="540"/>
        <w:jc w:val="both"/>
      </w:pPr>
      <w:r>
        <w:rPr>
          <w:sz w:val="20"/>
        </w:rPr>
      </w:r>
    </w:p>
    <w:p>
      <w:pPr>
        <w:pStyle w:val="0"/>
        <w:ind w:firstLine="540"/>
        <w:jc w:val="both"/>
      </w:pPr>
      <w:r>
        <w:rPr>
          <w:sz w:val="20"/>
        </w:rPr>
        <w:t xml:space="preserve">Максимальное превышение численности занятых над численностью работников организаций в относительном выражении наблюдается в следующих отраслях:</w:t>
      </w:r>
    </w:p>
    <w:p>
      <w:pPr>
        <w:pStyle w:val="0"/>
        <w:spacing w:before="200" w:line-rule="auto"/>
        <w:ind w:firstLine="540"/>
        <w:jc w:val="both"/>
      </w:pPr>
      <w:r>
        <w:rPr>
          <w:sz w:val="20"/>
        </w:rPr>
        <w:t xml:space="preserve">- предоставление прочих видов услуг - 469% (эта группировка включает персональные услуги, не включенные в другие группировки, такие как стирка и химическая чистка изделий из ткани и меха, услуги парикмахерских и салонов красоты, ритуальные услуги, физкультурно-оздоровительная деятельность и др.);</w:t>
      </w:r>
    </w:p>
    <w:p>
      <w:pPr>
        <w:pStyle w:val="0"/>
        <w:spacing w:before="200" w:line-rule="auto"/>
        <w:ind w:firstLine="540"/>
        <w:jc w:val="both"/>
      </w:pPr>
      <w:r>
        <w:rPr>
          <w:sz w:val="20"/>
        </w:rPr>
        <w:t xml:space="preserve">- торговля оптовая и розничная; ремонт автотранспортных средств и мотоциклов (233%);</w:t>
      </w:r>
    </w:p>
    <w:p>
      <w:pPr>
        <w:pStyle w:val="0"/>
        <w:spacing w:before="200" w:line-rule="auto"/>
        <w:ind w:firstLine="540"/>
        <w:jc w:val="both"/>
      </w:pPr>
      <w:r>
        <w:rPr>
          <w:sz w:val="20"/>
        </w:rPr>
        <w:t xml:space="preserve">- сельское, лесное хозяйство, охота, рыболовство и рыбоводство (151%);</w:t>
      </w:r>
    </w:p>
    <w:p>
      <w:pPr>
        <w:pStyle w:val="0"/>
        <w:spacing w:before="200" w:line-rule="auto"/>
        <w:ind w:firstLine="540"/>
        <w:jc w:val="both"/>
      </w:pPr>
      <w:r>
        <w:rPr>
          <w:sz w:val="20"/>
        </w:rPr>
        <w:t xml:space="preserve">- добыча полезных ископаемых (103%);</w:t>
      </w:r>
    </w:p>
    <w:p>
      <w:pPr>
        <w:pStyle w:val="0"/>
        <w:spacing w:before="200" w:line-rule="auto"/>
        <w:ind w:firstLine="540"/>
        <w:jc w:val="both"/>
      </w:pPr>
      <w:r>
        <w:rPr>
          <w:sz w:val="20"/>
        </w:rPr>
        <w:t xml:space="preserve">- транспортировка и хранение (79%);</w:t>
      </w:r>
    </w:p>
    <w:p>
      <w:pPr>
        <w:pStyle w:val="0"/>
        <w:spacing w:before="200" w:line-rule="auto"/>
        <w:ind w:firstLine="540"/>
        <w:jc w:val="both"/>
      </w:pPr>
      <w:r>
        <w:rPr>
          <w:sz w:val="20"/>
        </w:rPr>
        <w:t xml:space="preserve">- деятельность гостиниц и предприятий общественного питания (75%).</w:t>
      </w:r>
    </w:p>
    <w:p>
      <w:pPr>
        <w:pStyle w:val="0"/>
        <w:spacing w:before="200" w:line-rule="auto"/>
        <w:ind w:firstLine="540"/>
        <w:jc w:val="both"/>
      </w:pPr>
      <w:r>
        <w:rPr>
          <w:sz w:val="20"/>
        </w:rPr>
        <w:t xml:space="preserve">К основным результатам прогнозирования относится показатель ежегодной прогнозируемой дополнительной потребности в рабочей силе (ДПК) для замещения свободных рабочих мест, т.е. ежегодное количество и структура свободных рабочих мест в региональной экономике. Шаблоны с результатами прогнозирования по показателю ДПК в автоматизированной информационной системе прогнозирования потребности в профессиональных кадрах Курской области формируются автоматически.</w:t>
      </w:r>
    </w:p>
    <w:p>
      <w:pPr>
        <w:pStyle w:val="0"/>
        <w:spacing w:before="200" w:line-rule="auto"/>
        <w:ind w:firstLine="540"/>
        <w:jc w:val="both"/>
      </w:pPr>
      <w:r>
        <w:rPr>
          <w:sz w:val="20"/>
        </w:rPr>
        <w:t xml:space="preserve">Потребность в кадрах, подготовленных по профессиям среднего профессионального образования, для замещения временно свободных рабочих мест в среднесрочном периоде (2019 - 2024 гг.), согласно прогнозу по показателю ДПК, будет изменяться в диапазоне от 7061 до 6841 человек (таблица N 5).</w:t>
      </w:r>
    </w:p>
    <w:p>
      <w:pPr>
        <w:pStyle w:val="0"/>
        <w:spacing w:before="200" w:line-rule="auto"/>
        <w:ind w:firstLine="540"/>
        <w:jc w:val="both"/>
      </w:pPr>
      <w:r>
        <w:rPr>
          <w:sz w:val="20"/>
        </w:rPr>
        <w:t xml:space="preserve">К числу наиболее востребованных рабочих профессий (прогнозируемое ежегодное число вакансий свыше 100) в среднесрочной перспективе (до 2024 года) относятся:</w:t>
      </w:r>
    </w:p>
    <w:p>
      <w:pPr>
        <w:pStyle w:val="0"/>
        <w:spacing w:before="200" w:line-rule="auto"/>
        <w:ind w:firstLine="540"/>
        <w:jc w:val="both"/>
      </w:pPr>
      <w:r>
        <w:rPr>
          <w:sz w:val="20"/>
        </w:rPr>
        <w:t xml:space="preserve">сварщик;</w:t>
      </w:r>
    </w:p>
    <w:p>
      <w:pPr>
        <w:pStyle w:val="0"/>
        <w:spacing w:before="200" w:line-rule="auto"/>
        <w:ind w:firstLine="540"/>
        <w:jc w:val="both"/>
      </w:pPr>
      <w:r>
        <w:rPr>
          <w:sz w:val="20"/>
        </w:rPr>
        <w:t xml:space="preserve">автомеханик;</w:t>
      </w:r>
    </w:p>
    <w:p>
      <w:pPr>
        <w:pStyle w:val="0"/>
        <w:spacing w:before="200" w:line-rule="auto"/>
        <w:ind w:firstLine="540"/>
        <w:jc w:val="both"/>
      </w:pPr>
      <w:r>
        <w:rPr>
          <w:sz w:val="20"/>
        </w:rPr>
        <w:t xml:space="preserve">мастер отделочных строительных работ;</w:t>
      </w:r>
    </w:p>
    <w:p>
      <w:pPr>
        <w:pStyle w:val="0"/>
        <w:spacing w:before="200" w:line-rule="auto"/>
        <w:ind w:firstLine="540"/>
        <w:jc w:val="both"/>
      </w:pPr>
      <w:r>
        <w:rPr>
          <w:sz w:val="20"/>
        </w:rPr>
        <w:t xml:space="preserve">повар, кондитер;</w:t>
      </w:r>
    </w:p>
    <w:p>
      <w:pPr>
        <w:pStyle w:val="0"/>
        <w:spacing w:before="200" w:line-rule="auto"/>
        <w:ind w:firstLine="540"/>
        <w:jc w:val="both"/>
      </w:pPr>
      <w:r>
        <w:rPr>
          <w:sz w:val="20"/>
        </w:rPr>
        <w:t xml:space="preserve">продавец, контролер-кассир;</w:t>
      </w:r>
    </w:p>
    <w:p>
      <w:pPr>
        <w:pStyle w:val="0"/>
        <w:spacing w:before="200" w:line-rule="auto"/>
        <w:ind w:firstLine="540"/>
        <w:jc w:val="both"/>
      </w:pPr>
      <w:r>
        <w:rPr>
          <w:sz w:val="20"/>
        </w:rPr>
        <w:t xml:space="preserve">тракторист-машинист сельскохозяйственного производства;</w:t>
      </w:r>
    </w:p>
    <w:p>
      <w:pPr>
        <w:pStyle w:val="0"/>
        <w:spacing w:before="200" w:line-rule="auto"/>
        <w:ind w:firstLine="540"/>
        <w:jc w:val="both"/>
      </w:pPr>
      <w:r>
        <w:rPr>
          <w:sz w:val="20"/>
        </w:rPr>
        <w:t xml:space="preserve">станочник (металлообработка);</w:t>
      </w:r>
    </w:p>
    <w:p>
      <w:pPr>
        <w:pStyle w:val="0"/>
        <w:spacing w:before="200" w:line-rule="auto"/>
        <w:ind w:firstLine="540"/>
        <w:jc w:val="both"/>
      </w:pPr>
      <w:r>
        <w:rPr>
          <w:sz w:val="20"/>
        </w:rPr>
        <w:t xml:space="preserve">парикмахер;</w:t>
      </w:r>
    </w:p>
    <w:p>
      <w:pPr>
        <w:pStyle w:val="0"/>
        <w:spacing w:before="200" w:line-rule="auto"/>
        <w:ind w:firstLine="540"/>
        <w:jc w:val="both"/>
      </w:pPr>
      <w:r>
        <w:rPr>
          <w:sz w:val="20"/>
        </w:rPr>
        <w:t xml:space="preserve">электромеханик по торговому и холодильному оборудованию;</w:t>
      </w:r>
    </w:p>
    <w:p>
      <w:pPr>
        <w:pStyle w:val="0"/>
        <w:spacing w:before="200" w:line-rule="auto"/>
        <w:ind w:firstLine="540"/>
        <w:jc w:val="both"/>
      </w:pPr>
      <w:r>
        <w:rPr>
          <w:sz w:val="20"/>
        </w:rPr>
        <w:t xml:space="preserve">мастер общестроительных работ;</w:t>
      </w:r>
    </w:p>
    <w:p>
      <w:pPr>
        <w:pStyle w:val="0"/>
        <w:spacing w:before="200" w:line-rule="auto"/>
        <w:ind w:firstLine="540"/>
        <w:jc w:val="both"/>
      </w:pPr>
      <w:r>
        <w:rPr>
          <w:sz w:val="20"/>
        </w:rPr>
        <w:t xml:space="preserve">электромонтер по ремонту и обслуживанию электрооборудования;</w:t>
      </w:r>
    </w:p>
    <w:p>
      <w:pPr>
        <w:pStyle w:val="0"/>
        <w:spacing w:before="200" w:line-rule="auto"/>
        <w:ind w:firstLine="540"/>
        <w:jc w:val="both"/>
      </w:pPr>
      <w:r>
        <w:rPr>
          <w:sz w:val="20"/>
        </w:rPr>
        <w:t xml:space="preserve">мастер по техническому обслуживанию и ремонту машинно-тракторного парка;</w:t>
      </w:r>
    </w:p>
    <w:p>
      <w:pPr>
        <w:pStyle w:val="0"/>
        <w:spacing w:before="200" w:line-rule="auto"/>
        <w:ind w:firstLine="540"/>
        <w:jc w:val="both"/>
      </w:pPr>
      <w:r>
        <w:rPr>
          <w:sz w:val="20"/>
        </w:rPr>
        <w:t xml:space="preserve">электромонтер охранно-пожарной сигнализации;</w:t>
      </w:r>
    </w:p>
    <w:p>
      <w:pPr>
        <w:pStyle w:val="0"/>
        <w:spacing w:before="200" w:line-rule="auto"/>
        <w:ind w:firstLine="540"/>
        <w:jc w:val="both"/>
      </w:pPr>
      <w:r>
        <w:rPr>
          <w:sz w:val="20"/>
        </w:rPr>
        <w:t xml:space="preserve">слесарь по контрольно-измерительным приборам и автоматике;</w:t>
      </w:r>
    </w:p>
    <w:p>
      <w:pPr>
        <w:pStyle w:val="0"/>
        <w:spacing w:before="200" w:line-rule="auto"/>
        <w:ind w:firstLine="540"/>
        <w:jc w:val="both"/>
      </w:pPr>
      <w:r>
        <w:rPr>
          <w:sz w:val="20"/>
        </w:rPr>
        <w:t xml:space="preserve">токарь-универсал.</w:t>
      </w:r>
    </w:p>
    <w:p>
      <w:pPr>
        <w:pStyle w:val="0"/>
        <w:spacing w:before="200" w:line-rule="auto"/>
        <w:ind w:firstLine="540"/>
        <w:jc w:val="both"/>
      </w:pPr>
      <w:r>
        <w:rPr>
          <w:sz w:val="20"/>
        </w:rPr>
        <w:t xml:space="preserve">Потребность в кадрах, подготовленных по специальностям среднего профессионального образования, для замещения временно свободных рабочих мест в среднесрочном периоде (2019 - 2024 гг.) будет изменяться в диапазоне от 7461 до 7707 человек (таблица N 5). По данным прогноза, наиболее востребованными в экономике и социальной сфере Курской области (100 и более вакансий ежегодно) по количеству свободных рабочих мест в экономике (ДПК) до 2024 года будут следующие специальности СПО:</w:t>
      </w:r>
    </w:p>
    <w:p>
      <w:pPr>
        <w:pStyle w:val="0"/>
        <w:spacing w:before="200" w:line-rule="auto"/>
        <w:ind w:firstLine="540"/>
        <w:jc w:val="both"/>
      </w:pPr>
      <w:r>
        <w:rPr>
          <w:sz w:val="20"/>
        </w:rPr>
        <w:t xml:space="preserve">08.01.02 - Строительство и эксплуатация зданий и сооружений</w:t>
      </w:r>
    </w:p>
    <w:p>
      <w:pPr>
        <w:pStyle w:val="0"/>
        <w:spacing w:before="200" w:line-rule="auto"/>
        <w:ind w:firstLine="540"/>
        <w:jc w:val="both"/>
      </w:pPr>
      <w:r>
        <w:rPr>
          <w:sz w:val="20"/>
        </w:rPr>
        <w:t xml:space="preserve">34.02.01 - Сестринское дело</w:t>
      </w:r>
    </w:p>
    <w:p>
      <w:pPr>
        <w:pStyle w:val="0"/>
        <w:spacing w:before="200" w:line-rule="auto"/>
        <w:ind w:firstLine="540"/>
        <w:jc w:val="both"/>
      </w:pPr>
      <w:r>
        <w:rPr>
          <w:sz w:val="20"/>
        </w:rPr>
        <w:t xml:space="preserve">23.02.03 - Техническое обслуживание и ремонт автомобильного транспорта</w:t>
      </w:r>
    </w:p>
    <w:p>
      <w:pPr>
        <w:pStyle w:val="0"/>
        <w:spacing w:before="200" w:line-rule="auto"/>
        <w:ind w:firstLine="540"/>
        <w:jc w:val="both"/>
      </w:pPr>
      <w:r>
        <w:rPr>
          <w:sz w:val="20"/>
        </w:rPr>
        <w:t xml:space="preserve">38.02.01 - Экономика и бухгалтерский учет (по отраслям)</w:t>
      </w:r>
    </w:p>
    <w:p>
      <w:pPr>
        <w:pStyle w:val="0"/>
        <w:spacing w:before="200" w:line-rule="auto"/>
        <w:ind w:firstLine="540"/>
        <w:jc w:val="both"/>
      </w:pPr>
      <w:r>
        <w:rPr>
          <w:sz w:val="20"/>
        </w:rPr>
        <w:t xml:space="preserve">35.02.07 - Механизация сельского хозяйства</w:t>
      </w:r>
    </w:p>
    <w:p>
      <w:pPr>
        <w:pStyle w:val="0"/>
        <w:spacing w:before="200" w:line-rule="auto"/>
        <w:ind w:firstLine="540"/>
        <w:jc w:val="both"/>
      </w:pPr>
      <w:r>
        <w:rPr>
          <w:sz w:val="20"/>
        </w:rPr>
        <w:t xml:space="preserve">15.02.08 - Технология машиностроения</w:t>
      </w:r>
    </w:p>
    <w:p>
      <w:pPr>
        <w:pStyle w:val="0"/>
        <w:spacing w:before="200" w:line-rule="auto"/>
        <w:ind w:firstLine="540"/>
        <w:jc w:val="both"/>
      </w:pPr>
      <w:r>
        <w:rPr>
          <w:sz w:val="20"/>
        </w:rPr>
        <w:t xml:space="preserve">23.02.01 - Организация перевозок и управление на транспорте (по видам)</w:t>
      </w:r>
    </w:p>
    <w:p>
      <w:pPr>
        <w:pStyle w:val="0"/>
        <w:spacing w:before="200" w:line-rule="auto"/>
        <w:ind w:firstLine="540"/>
        <w:jc w:val="both"/>
      </w:pPr>
      <w:r>
        <w:rPr>
          <w:sz w:val="20"/>
        </w:rPr>
        <w:t xml:space="preserve">40.02.01 - Право и организация социального обеспечения</w:t>
      </w:r>
    </w:p>
    <w:p>
      <w:pPr>
        <w:pStyle w:val="0"/>
        <w:spacing w:before="200" w:line-rule="auto"/>
        <w:ind w:firstLine="540"/>
        <w:jc w:val="both"/>
      </w:pPr>
      <w:r>
        <w:rPr>
          <w:sz w:val="20"/>
        </w:rPr>
        <w:t xml:space="preserve">38.02.05 - Товароведение и экспертиза качества потребительских товаров</w:t>
      </w:r>
    </w:p>
    <w:p>
      <w:pPr>
        <w:pStyle w:val="0"/>
        <w:spacing w:before="200" w:line-rule="auto"/>
        <w:ind w:firstLine="540"/>
        <w:jc w:val="both"/>
      </w:pPr>
      <w:r>
        <w:rPr>
          <w:sz w:val="20"/>
        </w:rPr>
        <w:t xml:space="preserve">13.02.11 - Техническая эксплуатация и обслуживание электрического и электромеханического оборудования (по отраслям)</w:t>
      </w:r>
    </w:p>
    <w:p>
      <w:pPr>
        <w:pStyle w:val="0"/>
        <w:spacing w:before="200" w:line-rule="auto"/>
        <w:ind w:firstLine="540"/>
        <w:jc w:val="both"/>
      </w:pPr>
      <w:r>
        <w:rPr>
          <w:sz w:val="20"/>
        </w:rPr>
        <w:t xml:space="preserve">22.02.06 - Сварочное производство</w:t>
      </w:r>
    </w:p>
    <w:p>
      <w:pPr>
        <w:pStyle w:val="0"/>
        <w:spacing w:before="200" w:line-rule="auto"/>
        <w:ind w:firstLine="540"/>
        <w:jc w:val="both"/>
      </w:pPr>
      <w:r>
        <w:rPr>
          <w:sz w:val="20"/>
        </w:rPr>
        <w:t xml:space="preserve">08.02.10 - Строительство железных дорог, путь и путевое хозяйство</w:t>
      </w:r>
    </w:p>
    <w:p>
      <w:pPr>
        <w:pStyle w:val="0"/>
        <w:spacing w:before="200" w:line-rule="auto"/>
        <w:ind w:firstLine="540"/>
        <w:jc w:val="both"/>
      </w:pPr>
      <w:r>
        <w:rPr>
          <w:sz w:val="20"/>
        </w:rPr>
        <w:t xml:space="preserve">43.02.11 - Гостиничный сервис</w:t>
      </w:r>
    </w:p>
    <w:p>
      <w:pPr>
        <w:pStyle w:val="0"/>
        <w:spacing w:before="200" w:line-rule="auto"/>
        <w:ind w:firstLine="540"/>
        <w:jc w:val="both"/>
      </w:pPr>
      <w:r>
        <w:rPr>
          <w:sz w:val="20"/>
        </w:rPr>
        <w:t xml:space="preserve">08.02.08 - Монтаж и эксплуатация оборудования и систем газоснабжения</w:t>
      </w:r>
    </w:p>
    <w:p>
      <w:pPr>
        <w:pStyle w:val="0"/>
        <w:spacing w:before="200" w:line-rule="auto"/>
        <w:ind w:firstLine="540"/>
        <w:jc w:val="both"/>
      </w:pPr>
      <w:r>
        <w:rPr>
          <w:sz w:val="20"/>
        </w:rPr>
        <w:t xml:space="preserve">38.02.03 - Операционная деятельность в логистике</w:t>
      </w:r>
    </w:p>
    <w:p>
      <w:pPr>
        <w:pStyle w:val="0"/>
        <w:spacing w:before="200" w:line-rule="auto"/>
        <w:ind w:firstLine="540"/>
        <w:jc w:val="both"/>
      </w:pPr>
      <w:r>
        <w:rPr>
          <w:sz w:val="20"/>
        </w:rPr>
        <w:t xml:space="preserve">08.02.06 - Строительство и эксплуатация городских путей сообщения</w:t>
      </w:r>
    </w:p>
    <w:p>
      <w:pPr>
        <w:pStyle w:val="0"/>
        <w:spacing w:before="200" w:line-rule="auto"/>
        <w:ind w:firstLine="540"/>
        <w:jc w:val="both"/>
      </w:pPr>
      <w:r>
        <w:rPr>
          <w:sz w:val="20"/>
        </w:rPr>
        <w:t xml:space="preserve">08.02.07 - Монтаж и эксплуатация внутренних сантехнических устройств, кондиционирования воздуха и вентиляции</w:t>
      </w:r>
    </w:p>
    <w:p>
      <w:pPr>
        <w:pStyle w:val="0"/>
        <w:spacing w:before="200" w:line-rule="auto"/>
        <w:ind w:firstLine="540"/>
        <w:jc w:val="both"/>
      </w:pPr>
      <w:r>
        <w:rPr>
          <w:sz w:val="20"/>
        </w:rPr>
        <w:t xml:space="preserve">08.02.04 - Водоснабжение и водоотведение</w:t>
      </w:r>
    </w:p>
    <w:p>
      <w:pPr>
        <w:pStyle w:val="0"/>
        <w:spacing w:before="200" w:line-rule="auto"/>
        <w:ind w:firstLine="540"/>
        <w:jc w:val="both"/>
      </w:pPr>
      <w:r>
        <w:rPr>
          <w:sz w:val="20"/>
        </w:rPr>
        <w:t xml:space="preserve">08.02.09 - Монтаж, наладка и эксплуатация электрооборудования промышленных и гражданских зданий</w:t>
      </w:r>
    </w:p>
    <w:p>
      <w:pPr>
        <w:pStyle w:val="0"/>
        <w:spacing w:before="200" w:line-rule="auto"/>
        <w:ind w:firstLine="540"/>
        <w:jc w:val="both"/>
      </w:pPr>
      <w:r>
        <w:rPr>
          <w:sz w:val="20"/>
        </w:rPr>
        <w:t xml:space="preserve">19.02.10 - Технология продукции общественного питания</w:t>
      </w:r>
    </w:p>
    <w:p>
      <w:pPr>
        <w:pStyle w:val="0"/>
        <w:spacing w:before="200" w:line-rule="auto"/>
        <w:ind w:firstLine="540"/>
        <w:jc w:val="both"/>
      </w:pPr>
      <w:r>
        <w:rPr>
          <w:sz w:val="20"/>
        </w:rPr>
        <w:t xml:space="preserve">38.02.04 - Коммерция (по отраслям).</w:t>
      </w:r>
    </w:p>
    <w:p>
      <w:pPr>
        <w:pStyle w:val="0"/>
        <w:spacing w:before="200" w:line-rule="auto"/>
        <w:ind w:firstLine="540"/>
        <w:jc w:val="both"/>
      </w:pPr>
      <w:r>
        <w:rPr>
          <w:sz w:val="20"/>
        </w:rPr>
        <w:t xml:space="preserve">Следует отметить, что ряд вышеперечисленных профессий и специальностей СПО входит в список 50 наиболее востребованных на рынке труда, новых и перспективных профессий, требующих среднего профессионального образования, утвержденный приказом Минтруда России от 26 октября 2020 года N 744, а также в региональный перечень 64 наиболее востребованных и перспективных профессий в Курской области, требующих среднего профессионального образования, утвержденный постановлением Администрации Курской области от 2 мая 2017 года N 351-па.</w:t>
      </w:r>
    </w:p>
    <w:p>
      <w:pPr>
        <w:pStyle w:val="0"/>
        <w:spacing w:before="200" w:line-rule="auto"/>
        <w:ind w:firstLine="540"/>
        <w:jc w:val="both"/>
      </w:pPr>
      <w:r>
        <w:rPr>
          <w:sz w:val="20"/>
        </w:rPr>
        <w:t xml:space="preserve">В таблице N 5 приведены сводные результаты прогнозирования ежегодной дополнительной потребности в рабочей силе в региональной экономике для замещения свободных рабочих мест (далее - ДПК) по уровням профессионального образования, а также профессиям, специальностям и направлениям подготовки на среднесрочный период (2019 - 2024 гг.), то есть, ежегодное количество и структура свободных рабочих мест в региональной экономике.</w:t>
      </w:r>
    </w:p>
    <w:p>
      <w:pPr>
        <w:pStyle w:val="0"/>
        <w:ind w:firstLine="540"/>
        <w:jc w:val="both"/>
      </w:pPr>
      <w:r>
        <w:rPr>
          <w:sz w:val="20"/>
        </w:rPr>
      </w:r>
    </w:p>
    <w:p>
      <w:pPr>
        <w:pStyle w:val="0"/>
        <w:outlineLvl w:val="2"/>
        <w:jc w:val="right"/>
      </w:pPr>
      <w:r>
        <w:rPr>
          <w:sz w:val="20"/>
        </w:rPr>
        <w:t xml:space="preserve">Таблица N 5</w:t>
      </w:r>
    </w:p>
    <w:p>
      <w:pPr>
        <w:pStyle w:val="0"/>
        <w:jc w:val="center"/>
      </w:pPr>
      <w:r>
        <w:rPr>
          <w:sz w:val="20"/>
        </w:rPr>
      </w:r>
    </w:p>
    <w:p>
      <w:pPr>
        <w:pStyle w:val="2"/>
        <w:jc w:val="center"/>
      </w:pPr>
      <w:r>
        <w:rPr>
          <w:sz w:val="20"/>
        </w:rPr>
        <w:t xml:space="preserve">Динамика прогнозируемой ежегодной дополнительной потребности</w:t>
      </w:r>
    </w:p>
    <w:p>
      <w:pPr>
        <w:pStyle w:val="2"/>
        <w:jc w:val="center"/>
      </w:pPr>
      <w:r>
        <w:rPr>
          <w:sz w:val="20"/>
        </w:rPr>
        <w:t xml:space="preserve">в кадрах для экономики Курской области на 2019 - 2024 гг.</w:t>
      </w:r>
    </w:p>
    <w:p>
      <w:pPr>
        <w:pStyle w:val="2"/>
        <w:jc w:val="center"/>
      </w:pPr>
      <w:r>
        <w:rPr>
          <w:sz w:val="20"/>
        </w:rPr>
        <w:t xml:space="preserve">по уровням профессионального образования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6"/>
        <w:gridCol w:w="2975"/>
        <w:gridCol w:w="918"/>
        <w:gridCol w:w="918"/>
        <w:gridCol w:w="919"/>
        <w:gridCol w:w="918"/>
        <w:gridCol w:w="918"/>
        <w:gridCol w:w="919"/>
      </w:tblGrid>
      <w:tr>
        <w:tc>
          <w:tcPr>
            <w:tcW w:w="516" w:type="dxa"/>
          </w:tcPr>
          <w:p>
            <w:pPr>
              <w:pStyle w:val="0"/>
              <w:jc w:val="center"/>
            </w:pPr>
            <w:r>
              <w:rPr>
                <w:sz w:val="20"/>
              </w:rPr>
              <w:t xml:space="preserve">N</w:t>
            </w:r>
          </w:p>
        </w:tc>
        <w:tc>
          <w:tcPr>
            <w:tcW w:w="2975" w:type="dxa"/>
          </w:tcPr>
          <w:p>
            <w:pPr>
              <w:pStyle w:val="0"/>
              <w:jc w:val="center"/>
            </w:pPr>
            <w:r>
              <w:rPr>
                <w:sz w:val="20"/>
              </w:rPr>
              <w:t xml:space="preserve">Потребность в кадрах</w:t>
            </w:r>
          </w:p>
        </w:tc>
        <w:tc>
          <w:tcPr>
            <w:tcW w:w="918" w:type="dxa"/>
          </w:tcPr>
          <w:p>
            <w:pPr>
              <w:pStyle w:val="0"/>
              <w:jc w:val="center"/>
            </w:pPr>
            <w:r>
              <w:rPr>
                <w:sz w:val="20"/>
              </w:rPr>
              <w:t xml:space="preserve">2019 г.</w:t>
            </w:r>
          </w:p>
        </w:tc>
        <w:tc>
          <w:tcPr>
            <w:tcW w:w="918" w:type="dxa"/>
          </w:tcPr>
          <w:p>
            <w:pPr>
              <w:pStyle w:val="0"/>
              <w:jc w:val="center"/>
            </w:pPr>
            <w:r>
              <w:rPr>
                <w:sz w:val="20"/>
              </w:rPr>
              <w:t xml:space="preserve">2020 г.</w:t>
            </w:r>
          </w:p>
        </w:tc>
        <w:tc>
          <w:tcPr>
            <w:tcW w:w="919" w:type="dxa"/>
          </w:tcPr>
          <w:p>
            <w:pPr>
              <w:pStyle w:val="0"/>
              <w:jc w:val="center"/>
            </w:pPr>
            <w:r>
              <w:rPr>
                <w:sz w:val="20"/>
              </w:rPr>
              <w:t xml:space="preserve">2021 г.</w:t>
            </w:r>
          </w:p>
        </w:tc>
        <w:tc>
          <w:tcPr>
            <w:tcW w:w="918" w:type="dxa"/>
          </w:tcPr>
          <w:p>
            <w:pPr>
              <w:pStyle w:val="0"/>
              <w:jc w:val="center"/>
            </w:pPr>
            <w:r>
              <w:rPr>
                <w:sz w:val="20"/>
              </w:rPr>
              <w:t xml:space="preserve">2022 г.</w:t>
            </w:r>
          </w:p>
        </w:tc>
        <w:tc>
          <w:tcPr>
            <w:tcW w:w="918" w:type="dxa"/>
          </w:tcPr>
          <w:p>
            <w:pPr>
              <w:pStyle w:val="0"/>
              <w:jc w:val="center"/>
            </w:pPr>
            <w:r>
              <w:rPr>
                <w:sz w:val="20"/>
              </w:rPr>
              <w:t xml:space="preserve">2023 г.</w:t>
            </w:r>
          </w:p>
        </w:tc>
        <w:tc>
          <w:tcPr>
            <w:tcW w:w="919" w:type="dxa"/>
          </w:tcPr>
          <w:p>
            <w:pPr>
              <w:pStyle w:val="0"/>
              <w:jc w:val="center"/>
            </w:pPr>
            <w:r>
              <w:rPr>
                <w:sz w:val="20"/>
              </w:rPr>
              <w:t xml:space="preserve">2024 г.</w:t>
            </w:r>
          </w:p>
        </w:tc>
      </w:tr>
      <w:tr>
        <w:tc>
          <w:tcPr>
            <w:tcW w:w="516" w:type="dxa"/>
          </w:tcPr>
          <w:p>
            <w:pPr>
              <w:pStyle w:val="0"/>
              <w:jc w:val="center"/>
            </w:pPr>
            <w:r>
              <w:rPr>
                <w:sz w:val="20"/>
              </w:rPr>
              <w:t xml:space="preserve">1.</w:t>
            </w:r>
          </w:p>
        </w:tc>
        <w:tc>
          <w:tcPr>
            <w:tcW w:w="2975" w:type="dxa"/>
          </w:tcPr>
          <w:p>
            <w:pPr>
              <w:pStyle w:val="0"/>
            </w:pPr>
            <w:r>
              <w:rPr>
                <w:sz w:val="20"/>
              </w:rPr>
              <w:t xml:space="preserve">Абсолютная потребность в кадрах с высшим образованием, чел.</w:t>
            </w:r>
          </w:p>
        </w:tc>
        <w:tc>
          <w:tcPr>
            <w:tcW w:w="918" w:type="dxa"/>
          </w:tcPr>
          <w:p>
            <w:pPr>
              <w:pStyle w:val="0"/>
              <w:jc w:val="center"/>
            </w:pPr>
            <w:r>
              <w:rPr>
                <w:sz w:val="20"/>
              </w:rPr>
              <w:t xml:space="preserve">10673</w:t>
            </w:r>
          </w:p>
        </w:tc>
        <w:tc>
          <w:tcPr>
            <w:tcW w:w="918" w:type="dxa"/>
          </w:tcPr>
          <w:p>
            <w:pPr>
              <w:pStyle w:val="0"/>
              <w:jc w:val="center"/>
            </w:pPr>
            <w:r>
              <w:rPr>
                <w:sz w:val="20"/>
              </w:rPr>
              <w:t xml:space="preserve">10877</w:t>
            </w:r>
          </w:p>
        </w:tc>
        <w:tc>
          <w:tcPr>
            <w:tcW w:w="919" w:type="dxa"/>
          </w:tcPr>
          <w:p>
            <w:pPr>
              <w:pStyle w:val="0"/>
              <w:jc w:val="center"/>
            </w:pPr>
            <w:r>
              <w:rPr>
                <w:sz w:val="20"/>
              </w:rPr>
              <w:t xml:space="preserve">11033</w:t>
            </w:r>
          </w:p>
        </w:tc>
        <w:tc>
          <w:tcPr>
            <w:tcW w:w="918" w:type="dxa"/>
          </w:tcPr>
          <w:p>
            <w:pPr>
              <w:pStyle w:val="0"/>
              <w:jc w:val="center"/>
            </w:pPr>
            <w:r>
              <w:rPr>
                <w:sz w:val="20"/>
              </w:rPr>
              <w:t xml:space="preserve">11289</w:t>
            </w:r>
          </w:p>
        </w:tc>
        <w:tc>
          <w:tcPr>
            <w:tcW w:w="918" w:type="dxa"/>
          </w:tcPr>
          <w:p>
            <w:pPr>
              <w:pStyle w:val="0"/>
              <w:jc w:val="center"/>
            </w:pPr>
            <w:r>
              <w:rPr>
                <w:sz w:val="20"/>
              </w:rPr>
              <w:t xml:space="preserve">11611</w:t>
            </w:r>
          </w:p>
        </w:tc>
        <w:tc>
          <w:tcPr>
            <w:tcW w:w="919" w:type="dxa"/>
          </w:tcPr>
          <w:p>
            <w:pPr>
              <w:pStyle w:val="0"/>
              <w:jc w:val="center"/>
            </w:pPr>
            <w:r>
              <w:rPr>
                <w:sz w:val="20"/>
              </w:rPr>
              <w:t xml:space="preserve">11809</w:t>
            </w:r>
          </w:p>
        </w:tc>
      </w:tr>
      <w:tr>
        <w:tc>
          <w:tcPr>
            <w:tcW w:w="516" w:type="dxa"/>
          </w:tcPr>
          <w:p>
            <w:pPr>
              <w:pStyle w:val="0"/>
              <w:jc w:val="center"/>
            </w:pPr>
            <w:r>
              <w:rPr>
                <w:sz w:val="20"/>
              </w:rPr>
            </w:r>
          </w:p>
        </w:tc>
        <w:tc>
          <w:tcPr>
            <w:tcW w:w="2975" w:type="dxa"/>
          </w:tcPr>
          <w:p>
            <w:pPr>
              <w:pStyle w:val="0"/>
            </w:pPr>
            <w:r>
              <w:rPr>
                <w:sz w:val="20"/>
              </w:rPr>
              <w:t xml:space="preserve">- программы бакалавриата</w:t>
            </w:r>
          </w:p>
        </w:tc>
        <w:tc>
          <w:tcPr>
            <w:tcW w:w="918" w:type="dxa"/>
          </w:tcPr>
          <w:p>
            <w:pPr>
              <w:pStyle w:val="0"/>
              <w:jc w:val="center"/>
            </w:pPr>
            <w:r>
              <w:rPr>
                <w:sz w:val="20"/>
              </w:rPr>
              <w:t xml:space="preserve">7978</w:t>
            </w:r>
          </w:p>
        </w:tc>
        <w:tc>
          <w:tcPr>
            <w:tcW w:w="918" w:type="dxa"/>
          </w:tcPr>
          <w:p>
            <w:pPr>
              <w:pStyle w:val="0"/>
              <w:jc w:val="center"/>
            </w:pPr>
            <w:r>
              <w:rPr>
                <w:sz w:val="20"/>
              </w:rPr>
              <w:t xml:space="preserve">8158</w:t>
            </w:r>
          </w:p>
        </w:tc>
        <w:tc>
          <w:tcPr>
            <w:tcW w:w="919" w:type="dxa"/>
          </w:tcPr>
          <w:p>
            <w:pPr>
              <w:pStyle w:val="0"/>
              <w:jc w:val="center"/>
            </w:pPr>
            <w:r>
              <w:rPr>
                <w:sz w:val="20"/>
              </w:rPr>
              <w:t xml:space="preserve">8369</w:t>
            </w:r>
          </w:p>
        </w:tc>
        <w:tc>
          <w:tcPr>
            <w:tcW w:w="918" w:type="dxa"/>
          </w:tcPr>
          <w:p>
            <w:pPr>
              <w:pStyle w:val="0"/>
              <w:jc w:val="center"/>
            </w:pPr>
            <w:r>
              <w:rPr>
                <w:sz w:val="20"/>
              </w:rPr>
              <w:t xml:space="preserve">8577</w:t>
            </w:r>
          </w:p>
        </w:tc>
        <w:tc>
          <w:tcPr>
            <w:tcW w:w="918" w:type="dxa"/>
          </w:tcPr>
          <w:p>
            <w:pPr>
              <w:pStyle w:val="0"/>
              <w:jc w:val="center"/>
            </w:pPr>
            <w:r>
              <w:rPr>
                <w:sz w:val="20"/>
              </w:rPr>
              <w:t xml:space="preserve">8776</w:t>
            </w:r>
          </w:p>
        </w:tc>
        <w:tc>
          <w:tcPr>
            <w:tcW w:w="919" w:type="dxa"/>
          </w:tcPr>
          <w:p>
            <w:pPr>
              <w:pStyle w:val="0"/>
              <w:jc w:val="center"/>
            </w:pPr>
            <w:r>
              <w:rPr>
                <w:sz w:val="20"/>
              </w:rPr>
              <w:t xml:space="preserve">8947</w:t>
            </w:r>
          </w:p>
        </w:tc>
      </w:tr>
      <w:tr>
        <w:tc>
          <w:tcPr>
            <w:tcW w:w="516" w:type="dxa"/>
          </w:tcPr>
          <w:p>
            <w:pPr>
              <w:pStyle w:val="0"/>
              <w:jc w:val="center"/>
            </w:pPr>
            <w:r>
              <w:rPr>
                <w:sz w:val="20"/>
              </w:rPr>
            </w:r>
          </w:p>
        </w:tc>
        <w:tc>
          <w:tcPr>
            <w:tcW w:w="2975" w:type="dxa"/>
          </w:tcPr>
          <w:p>
            <w:pPr>
              <w:pStyle w:val="0"/>
            </w:pPr>
            <w:r>
              <w:rPr>
                <w:sz w:val="20"/>
              </w:rPr>
              <w:t xml:space="preserve">- программы специалитета</w:t>
            </w:r>
          </w:p>
        </w:tc>
        <w:tc>
          <w:tcPr>
            <w:tcW w:w="918" w:type="dxa"/>
          </w:tcPr>
          <w:p>
            <w:pPr>
              <w:pStyle w:val="0"/>
              <w:jc w:val="center"/>
            </w:pPr>
            <w:r>
              <w:rPr>
                <w:sz w:val="20"/>
              </w:rPr>
              <w:t xml:space="preserve">529</w:t>
            </w:r>
          </w:p>
        </w:tc>
        <w:tc>
          <w:tcPr>
            <w:tcW w:w="918" w:type="dxa"/>
          </w:tcPr>
          <w:p>
            <w:pPr>
              <w:pStyle w:val="0"/>
              <w:jc w:val="center"/>
            </w:pPr>
            <w:r>
              <w:rPr>
                <w:sz w:val="20"/>
              </w:rPr>
              <w:t xml:space="preserve">547</w:t>
            </w:r>
          </w:p>
        </w:tc>
        <w:tc>
          <w:tcPr>
            <w:tcW w:w="919" w:type="dxa"/>
          </w:tcPr>
          <w:p>
            <w:pPr>
              <w:pStyle w:val="0"/>
              <w:jc w:val="center"/>
            </w:pPr>
            <w:r>
              <w:rPr>
                <w:sz w:val="20"/>
              </w:rPr>
              <w:t xml:space="preserve">555</w:t>
            </w:r>
          </w:p>
        </w:tc>
        <w:tc>
          <w:tcPr>
            <w:tcW w:w="918" w:type="dxa"/>
          </w:tcPr>
          <w:p>
            <w:pPr>
              <w:pStyle w:val="0"/>
              <w:jc w:val="center"/>
            </w:pPr>
            <w:r>
              <w:rPr>
                <w:sz w:val="20"/>
              </w:rPr>
              <w:t xml:space="preserve">573</w:t>
            </w:r>
          </w:p>
        </w:tc>
        <w:tc>
          <w:tcPr>
            <w:tcW w:w="918" w:type="dxa"/>
          </w:tcPr>
          <w:p>
            <w:pPr>
              <w:pStyle w:val="0"/>
              <w:jc w:val="center"/>
            </w:pPr>
            <w:r>
              <w:rPr>
                <w:sz w:val="20"/>
              </w:rPr>
              <w:t xml:space="preserve">598</w:t>
            </w:r>
          </w:p>
        </w:tc>
        <w:tc>
          <w:tcPr>
            <w:tcW w:w="919" w:type="dxa"/>
          </w:tcPr>
          <w:p>
            <w:pPr>
              <w:pStyle w:val="0"/>
              <w:jc w:val="center"/>
            </w:pPr>
            <w:r>
              <w:rPr>
                <w:sz w:val="20"/>
              </w:rPr>
              <w:t xml:space="preserve">625</w:t>
            </w:r>
          </w:p>
        </w:tc>
      </w:tr>
      <w:tr>
        <w:tc>
          <w:tcPr>
            <w:tcW w:w="516" w:type="dxa"/>
          </w:tcPr>
          <w:p>
            <w:pPr>
              <w:pStyle w:val="0"/>
              <w:jc w:val="center"/>
            </w:pPr>
            <w:r>
              <w:rPr>
                <w:sz w:val="20"/>
              </w:rPr>
            </w:r>
          </w:p>
        </w:tc>
        <w:tc>
          <w:tcPr>
            <w:tcW w:w="2975" w:type="dxa"/>
          </w:tcPr>
          <w:p>
            <w:pPr>
              <w:pStyle w:val="0"/>
            </w:pPr>
            <w:r>
              <w:rPr>
                <w:sz w:val="20"/>
              </w:rPr>
              <w:t xml:space="preserve">- программы магистратуры</w:t>
            </w:r>
          </w:p>
        </w:tc>
        <w:tc>
          <w:tcPr>
            <w:tcW w:w="918" w:type="dxa"/>
          </w:tcPr>
          <w:p>
            <w:pPr>
              <w:pStyle w:val="0"/>
              <w:jc w:val="center"/>
            </w:pPr>
            <w:r>
              <w:rPr>
                <w:sz w:val="20"/>
              </w:rPr>
              <w:t xml:space="preserve">2166</w:t>
            </w:r>
          </w:p>
        </w:tc>
        <w:tc>
          <w:tcPr>
            <w:tcW w:w="918" w:type="dxa"/>
          </w:tcPr>
          <w:p>
            <w:pPr>
              <w:pStyle w:val="0"/>
              <w:jc w:val="center"/>
            </w:pPr>
            <w:r>
              <w:rPr>
                <w:sz w:val="20"/>
              </w:rPr>
              <w:t xml:space="preserve">2172</w:t>
            </w:r>
          </w:p>
        </w:tc>
        <w:tc>
          <w:tcPr>
            <w:tcW w:w="919" w:type="dxa"/>
          </w:tcPr>
          <w:p>
            <w:pPr>
              <w:pStyle w:val="0"/>
              <w:jc w:val="center"/>
            </w:pPr>
            <w:r>
              <w:rPr>
                <w:sz w:val="20"/>
              </w:rPr>
              <w:t xml:space="preserve">2109</w:t>
            </w:r>
          </w:p>
        </w:tc>
        <w:tc>
          <w:tcPr>
            <w:tcW w:w="918" w:type="dxa"/>
          </w:tcPr>
          <w:p>
            <w:pPr>
              <w:pStyle w:val="0"/>
              <w:jc w:val="center"/>
            </w:pPr>
            <w:r>
              <w:rPr>
                <w:sz w:val="20"/>
              </w:rPr>
              <w:t xml:space="preserve">2139</w:t>
            </w:r>
          </w:p>
        </w:tc>
        <w:tc>
          <w:tcPr>
            <w:tcW w:w="918" w:type="dxa"/>
          </w:tcPr>
          <w:p>
            <w:pPr>
              <w:pStyle w:val="0"/>
              <w:jc w:val="center"/>
            </w:pPr>
            <w:r>
              <w:rPr>
                <w:sz w:val="20"/>
              </w:rPr>
              <w:t xml:space="preserve">2237</w:t>
            </w:r>
          </w:p>
        </w:tc>
        <w:tc>
          <w:tcPr>
            <w:tcW w:w="919" w:type="dxa"/>
          </w:tcPr>
          <w:p>
            <w:pPr>
              <w:pStyle w:val="0"/>
              <w:jc w:val="center"/>
            </w:pPr>
            <w:r>
              <w:rPr>
                <w:sz w:val="20"/>
              </w:rPr>
              <w:t xml:space="preserve">2237</w:t>
            </w:r>
          </w:p>
        </w:tc>
      </w:tr>
      <w:tr>
        <w:tc>
          <w:tcPr>
            <w:tcW w:w="516" w:type="dxa"/>
          </w:tcPr>
          <w:p>
            <w:pPr>
              <w:pStyle w:val="0"/>
              <w:jc w:val="center"/>
            </w:pPr>
            <w:r>
              <w:rPr>
                <w:sz w:val="20"/>
              </w:rPr>
              <w:t xml:space="preserve">2.</w:t>
            </w:r>
          </w:p>
        </w:tc>
        <w:tc>
          <w:tcPr>
            <w:tcW w:w="2975" w:type="dxa"/>
          </w:tcPr>
          <w:p>
            <w:pPr>
              <w:pStyle w:val="0"/>
            </w:pPr>
            <w:r>
              <w:rPr>
                <w:sz w:val="20"/>
              </w:rPr>
              <w:t xml:space="preserve">Абсолютная потребность в кадрах со средним профессиональным образованием</w:t>
            </w:r>
          </w:p>
        </w:tc>
        <w:tc>
          <w:tcPr>
            <w:tcW w:w="918" w:type="dxa"/>
          </w:tcPr>
          <w:p>
            <w:pPr>
              <w:pStyle w:val="0"/>
              <w:jc w:val="center"/>
            </w:pPr>
            <w:r>
              <w:rPr>
                <w:sz w:val="20"/>
              </w:rPr>
              <w:t xml:space="preserve">14522</w:t>
            </w:r>
          </w:p>
        </w:tc>
        <w:tc>
          <w:tcPr>
            <w:tcW w:w="918" w:type="dxa"/>
          </w:tcPr>
          <w:p>
            <w:pPr>
              <w:pStyle w:val="0"/>
              <w:jc w:val="center"/>
            </w:pPr>
            <w:r>
              <w:rPr>
                <w:sz w:val="20"/>
              </w:rPr>
              <w:t xml:space="preserve">14353</w:t>
            </w:r>
          </w:p>
        </w:tc>
        <w:tc>
          <w:tcPr>
            <w:tcW w:w="919" w:type="dxa"/>
          </w:tcPr>
          <w:p>
            <w:pPr>
              <w:pStyle w:val="0"/>
              <w:jc w:val="center"/>
            </w:pPr>
            <w:r>
              <w:rPr>
                <w:sz w:val="20"/>
              </w:rPr>
              <w:t xml:space="preserve">14286</w:t>
            </w:r>
          </w:p>
        </w:tc>
        <w:tc>
          <w:tcPr>
            <w:tcW w:w="918" w:type="dxa"/>
          </w:tcPr>
          <w:p>
            <w:pPr>
              <w:pStyle w:val="0"/>
              <w:jc w:val="center"/>
            </w:pPr>
            <w:r>
              <w:rPr>
                <w:sz w:val="20"/>
              </w:rPr>
              <w:t xml:space="preserve">14311</w:t>
            </w:r>
          </w:p>
        </w:tc>
        <w:tc>
          <w:tcPr>
            <w:tcW w:w="918" w:type="dxa"/>
          </w:tcPr>
          <w:p>
            <w:pPr>
              <w:pStyle w:val="0"/>
              <w:jc w:val="center"/>
            </w:pPr>
            <w:r>
              <w:rPr>
                <w:sz w:val="20"/>
              </w:rPr>
              <w:t xml:space="preserve">14426</w:t>
            </w:r>
          </w:p>
        </w:tc>
        <w:tc>
          <w:tcPr>
            <w:tcW w:w="919" w:type="dxa"/>
          </w:tcPr>
          <w:p>
            <w:pPr>
              <w:pStyle w:val="0"/>
              <w:jc w:val="center"/>
            </w:pPr>
            <w:r>
              <w:rPr>
                <w:sz w:val="20"/>
              </w:rPr>
              <w:t xml:space="preserve">14548</w:t>
            </w:r>
          </w:p>
        </w:tc>
      </w:tr>
      <w:tr>
        <w:tc>
          <w:tcPr>
            <w:tcW w:w="516" w:type="dxa"/>
          </w:tcPr>
          <w:p>
            <w:pPr>
              <w:pStyle w:val="0"/>
              <w:jc w:val="center"/>
            </w:pPr>
            <w:r>
              <w:rPr>
                <w:sz w:val="20"/>
              </w:rPr>
            </w:r>
          </w:p>
        </w:tc>
        <w:tc>
          <w:tcPr>
            <w:tcW w:w="2975" w:type="dxa"/>
          </w:tcPr>
          <w:p>
            <w:pPr>
              <w:pStyle w:val="0"/>
            </w:pPr>
            <w:r>
              <w:rPr>
                <w:sz w:val="20"/>
              </w:rPr>
              <w:t xml:space="preserve">- программы подготовки квалифицированных рабочих и служащих</w:t>
            </w:r>
          </w:p>
        </w:tc>
        <w:tc>
          <w:tcPr>
            <w:tcW w:w="918" w:type="dxa"/>
          </w:tcPr>
          <w:p>
            <w:pPr>
              <w:pStyle w:val="0"/>
              <w:jc w:val="center"/>
            </w:pPr>
            <w:r>
              <w:rPr>
                <w:sz w:val="20"/>
              </w:rPr>
              <w:t xml:space="preserve">7061</w:t>
            </w:r>
          </w:p>
        </w:tc>
        <w:tc>
          <w:tcPr>
            <w:tcW w:w="918" w:type="dxa"/>
          </w:tcPr>
          <w:p>
            <w:pPr>
              <w:pStyle w:val="0"/>
              <w:jc w:val="center"/>
            </w:pPr>
            <w:r>
              <w:rPr>
                <w:sz w:val="20"/>
              </w:rPr>
              <w:t xml:space="preserve">6859</w:t>
            </w:r>
          </w:p>
        </w:tc>
        <w:tc>
          <w:tcPr>
            <w:tcW w:w="919" w:type="dxa"/>
          </w:tcPr>
          <w:p>
            <w:pPr>
              <w:pStyle w:val="0"/>
              <w:jc w:val="center"/>
            </w:pPr>
            <w:r>
              <w:rPr>
                <w:sz w:val="20"/>
              </w:rPr>
              <w:t xml:space="preserve">6790</w:t>
            </w:r>
          </w:p>
        </w:tc>
        <w:tc>
          <w:tcPr>
            <w:tcW w:w="918" w:type="dxa"/>
          </w:tcPr>
          <w:p>
            <w:pPr>
              <w:pStyle w:val="0"/>
              <w:jc w:val="center"/>
            </w:pPr>
            <w:r>
              <w:rPr>
                <w:sz w:val="20"/>
              </w:rPr>
              <w:t xml:space="preserve">6758</w:t>
            </w:r>
          </w:p>
        </w:tc>
        <w:tc>
          <w:tcPr>
            <w:tcW w:w="918" w:type="dxa"/>
          </w:tcPr>
          <w:p>
            <w:pPr>
              <w:pStyle w:val="0"/>
              <w:jc w:val="center"/>
            </w:pPr>
            <w:r>
              <w:rPr>
                <w:sz w:val="20"/>
              </w:rPr>
              <w:t xml:space="preserve">6796</w:t>
            </w:r>
          </w:p>
        </w:tc>
        <w:tc>
          <w:tcPr>
            <w:tcW w:w="919" w:type="dxa"/>
          </w:tcPr>
          <w:p>
            <w:pPr>
              <w:pStyle w:val="0"/>
              <w:jc w:val="center"/>
            </w:pPr>
            <w:r>
              <w:rPr>
                <w:sz w:val="20"/>
              </w:rPr>
              <w:t xml:space="preserve">6841</w:t>
            </w:r>
          </w:p>
        </w:tc>
      </w:tr>
      <w:tr>
        <w:tc>
          <w:tcPr>
            <w:tcW w:w="516" w:type="dxa"/>
          </w:tcPr>
          <w:p>
            <w:pPr>
              <w:pStyle w:val="0"/>
              <w:jc w:val="center"/>
            </w:pPr>
            <w:r>
              <w:rPr>
                <w:sz w:val="20"/>
              </w:rPr>
            </w:r>
          </w:p>
        </w:tc>
        <w:tc>
          <w:tcPr>
            <w:tcW w:w="2975" w:type="dxa"/>
          </w:tcPr>
          <w:p>
            <w:pPr>
              <w:pStyle w:val="0"/>
            </w:pPr>
            <w:r>
              <w:rPr>
                <w:sz w:val="20"/>
              </w:rPr>
              <w:t xml:space="preserve">- программы подготовки специалистов среднего звена</w:t>
            </w:r>
          </w:p>
        </w:tc>
        <w:tc>
          <w:tcPr>
            <w:tcW w:w="918" w:type="dxa"/>
          </w:tcPr>
          <w:p>
            <w:pPr>
              <w:pStyle w:val="0"/>
              <w:jc w:val="center"/>
            </w:pPr>
            <w:r>
              <w:rPr>
                <w:sz w:val="20"/>
              </w:rPr>
              <w:t xml:space="preserve">7461</w:t>
            </w:r>
          </w:p>
        </w:tc>
        <w:tc>
          <w:tcPr>
            <w:tcW w:w="918" w:type="dxa"/>
          </w:tcPr>
          <w:p>
            <w:pPr>
              <w:pStyle w:val="0"/>
              <w:jc w:val="center"/>
            </w:pPr>
            <w:r>
              <w:rPr>
                <w:sz w:val="20"/>
              </w:rPr>
              <w:t xml:space="preserve">7494</w:t>
            </w:r>
          </w:p>
        </w:tc>
        <w:tc>
          <w:tcPr>
            <w:tcW w:w="919" w:type="dxa"/>
          </w:tcPr>
          <w:p>
            <w:pPr>
              <w:pStyle w:val="0"/>
              <w:jc w:val="center"/>
            </w:pPr>
            <w:r>
              <w:rPr>
                <w:sz w:val="20"/>
              </w:rPr>
              <w:t xml:space="preserve">7496</w:t>
            </w:r>
          </w:p>
        </w:tc>
        <w:tc>
          <w:tcPr>
            <w:tcW w:w="918" w:type="dxa"/>
          </w:tcPr>
          <w:p>
            <w:pPr>
              <w:pStyle w:val="0"/>
              <w:jc w:val="center"/>
            </w:pPr>
            <w:r>
              <w:rPr>
                <w:sz w:val="20"/>
              </w:rPr>
              <w:t xml:space="preserve">7553</w:t>
            </w:r>
          </w:p>
        </w:tc>
        <w:tc>
          <w:tcPr>
            <w:tcW w:w="918" w:type="dxa"/>
          </w:tcPr>
          <w:p>
            <w:pPr>
              <w:pStyle w:val="0"/>
              <w:jc w:val="center"/>
            </w:pPr>
            <w:r>
              <w:rPr>
                <w:sz w:val="20"/>
              </w:rPr>
              <w:t xml:space="preserve">7630</w:t>
            </w:r>
          </w:p>
        </w:tc>
        <w:tc>
          <w:tcPr>
            <w:tcW w:w="919" w:type="dxa"/>
          </w:tcPr>
          <w:p>
            <w:pPr>
              <w:pStyle w:val="0"/>
              <w:jc w:val="center"/>
            </w:pPr>
            <w:r>
              <w:rPr>
                <w:sz w:val="20"/>
              </w:rPr>
              <w:t xml:space="preserve">7707</w:t>
            </w:r>
          </w:p>
        </w:tc>
      </w:tr>
      <w:tr>
        <w:tc>
          <w:tcPr>
            <w:tcW w:w="516" w:type="dxa"/>
          </w:tcPr>
          <w:p>
            <w:pPr>
              <w:pStyle w:val="0"/>
              <w:jc w:val="center"/>
            </w:pPr>
            <w:r>
              <w:rPr>
                <w:sz w:val="20"/>
              </w:rPr>
            </w:r>
          </w:p>
        </w:tc>
        <w:tc>
          <w:tcPr>
            <w:tcW w:w="2975" w:type="dxa"/>
          </w:tcPr>
          <w:p>
            <w:pPr>
              <w:pStyle w:val="0"/>
            </w:pPr>
            <w:r>
              <w:rPr>
                <w:sz w:val="20"/>
              </w:rPr>
              <w:t xml:space="preserve">Итого абсолютная ежегодная дополнительная потребность в кадрах</w:t>
            </w:r>
          </w:p>
        </w:tc>
        <w:tc>
          <w:tcPr>
            <w:tcW w:w="918" w:type="dxa"/>
          </w:tcPr>
          <w:p>
            <w:pPr>
              <w:pStyle w:val="0"/>
              <w:jc w:val="center"/>
            </w:pPr>
            <w:r>
              <w:rPr>
                <w:sz w:val="20"/>
              </w:rPr>
              <w:t xml:space="preserve">25195</w:t>
            </w:r>
          </w:p>
        </w:tc>
        <w:tc>
          <w:tcPr>
            <w:tcW w:w="918" w:type="dxa"/>
          </w:tcPr>
          <w:p>
            <w:pPr>
              <w:pStyle w:val="0"/>
              <w:jc w:val="center"/>
            </w:pPr>
            <w:r>
              <w:rPr>
                <w:sz w:val="20"/>
              </w:rPr>
              <w:t xml:space="preserve">25230</w:t>
            </w:r>
          </w:p>
        </w:tc>
        <w:tc>
          <w:tcPr>
            <w:tcW w:w="919" w:type="dxa"/>
          </w:tcPr>
          <w:p>
            <w:pPr>
              <w:pStyle w:val="0"/>
              <w:jc w:val="center"/>
            </w:pPr>
            <w:r>
              <w:rPr>
                <w:sz w:val="20"/>
              </w:rPr>
              <w:t xml:space="preserve">25319</w:t>
            </w:r>
          </w:p>
        </w:tc>
        <w:tc>
          <w:tcPr>
            <w:tcW w:w="918" w:type="dxa"/>
          </w:tcPr>
          <w:p>
            <w:pPr>
              <w:pStyle w:val="0"/>
              <w:jc w:val="center"/>
            </w:pPr>
            <w:r>
              <w:rPr>
                <w:sz w:val="20"/>
              </w:rPr>
              <w:t xml:space="preserve">25600</w:t>
            </w:r>
          </w:p>
        </w:tc>
        <w:tc>
          <w:tcPr>
            <w:tcW w:w="918" w:type="dxa"/>
          </w:tcPr>
          <w:p>
            <w:pPr>
              <w:pStyle w:val="0"/>
              <w:jc w:val="center"/>
            </w:pPr>
            <w:r>
              <w:rPr>
                <w:sz w:val="20"/>
              </w:rPr>
              <w:t xml:space="preserve">26037</w:t>
            </w:r>
          </w:p>
        </w:tc>
        <w:tc>
          <w:tcPr>
            <w:tcW w:w="919" w:type="dxa"/>
          </w:tcPr>
          <w:p>
            <w:pPr>
              <w:pStyle w:val="0"/>
              <w:jc w:val="center"/>
            </w:pPr>
            <w:r>
              <w:rPr>
                <w:sz w:val="20"/>
              </w:rPr>
              <w:t xml:space="preserve">26357</w:t>
            </w:r>
          </w:p>
        </w:tc>
      </w:tr>
    </w:tbl>
    <w:p>
      <w:pPr>
        <w:pStyle w:val="0"/>
        <w:jc w:val="center"/>
      </w:pPr>
      <w:r>
        <w:rPr>
          <w:sz w:val="20"/>
        </w:rPr>
      </w:r>
    </w:p>
    <w:p>
      <w:pPr>
        <w:pStyle w:val="0"/>
        <w:ind w:firstLine="540"/>
        <w:jc w:val="both"/>
      </w:pPr>
      <w:r>
        <w:rPr>
          <w:sz w:val="20"/>
        </w:rPr>
        <w:t xml:space="preserve">Как показывают результаты аналитических расчетов, в течение 2019 - 2024 гг. абсолютная дополнительная потребность в профессиональных кадрах будет возрастать с 25195 человек до 26357 человек, то есть на 4,6%; при этом абсолютная дополнительная потребность в кадрах со средним профессиональным образованием в течение всего анализируемого периода будет превышать потребность в кадрах с высшим образованием, однако к концу 2024 года этот разрыв сократится с 36,1% до 23,2%.</w:t>
      </w:r>
    </w:p>
    <w:p>
      <w:pPr>
        <w:pStyle w:val="0"/>
        <w:spacing w:before="200" w:line-rule="auto"/>
        <w:ind w:firstLine="540"/>
        <w:jc w:val="both"/>
      </w:pPr>
      <w:r>
        <w:rPr>
          <w:sz w:val="20"/>
        </w:rPr>
        <w:t xml:space="preserve">В структуре ежегодной дополнительной потребности в кадрах (ДПК) по профессиям, специальностям и направлениям подготовки высшего и среднего профессионального образования в течение прогнозного периода преобладает потребность в квалифицированных кадрах, подготовленных по программам бакалавриата.</w:t>
      </w:r>
    </w:p>
    <w:p>
      <w:pPr>
        <w:pStyle w:val="0"/>
        <w:spacing w:before="200" w:line-rule="auto"/>
        <w:ind w:firstLine="540"/>
        <w:jc w:val="both"/>
      </w:pPr>
      <w:r>
        <w:rPr>
          <w:sz w:val="20"/>
        </w:rPr>
        <w:t xml:space="preserve">Источниками восполнения кадровой потребности по показателю ДПК служат как ежегодный выпуск студентов, так и другие резервы (выпускники прошлых лет по соответствующим программам, трудовые мигранты, слушатели программ профессиональной переподготовки и т.д.). Часть потребности в кадрах, подготовленных по наиболее востребованным и перспективным рабочим профессиям, может возмещаться за счет реализации модульных, адаптированных, практикоориентированных, гибких программ краткосрочной подготовки рабочих кадров, в том числе на базе центров опережающей профессиональной подготовки, предусмотренных в рамках реализации основных положений </w:t>
      </w:r>
      <w:hyperlink w:history="0" r:id="rId174"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Указа</w:t>
        </w:r>
      </w:hyperlink>
      <w:r>
        <w:rPr>
          <w:sz w:val="20"/>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и регионального инновационного проекта "Молодые профессионалы (повышение конкурентоспособности профессионального образования").</w:t>
      </w:r>
    </w:p>
    <w:p>
      <w:pPr>
        <w:pStyle w:val="0"/>
        <w:spacing w:before="200" w:line-rule="auto"/>
        <w:ind w:firstLine="540"/>
        <w:jc w:val="both"/>
      </w:pPr>
      <w:r>
        <w:rPr>
          <w:sz w:val="20"/>
        </w:rPr>
        <w:t xml:space="preserve">Основными резервами рабочей силы остаются:</w:t>
      </w:r>
    </w:p>
    <w:p>
      <w:pPr>
        <w:pStyle w:val="0"/>
        <w:spacing w:before="200" w:line-rule="auto"/>
        <w:ind w:firstLine="540"/>
        <w:jc w:val="both"/>
      </w:pPr>
      <w:r>
        <w:rPr>
          <w:sz w:val="20"/>
        </w:rPr>
        <w:t xml:space="preserve">- трудоспособные граждане в трудоспособном возрасте, не занятые в экономике региона (в том числе зарегистрированные безработные, лица, вынужденные искать работу без оформления трудового договора, в том числе не по месту постоянного жительства, особенно в Московской агломерации),</w:t>
      </w:r>
    </w:p>
    <w:p>
      <w:pPr>
        <w:pStyle w:val="0"/>
        <w:spacing w:before="200" w:line-rule="auto"/>
        <w:ind w:firstLine="540"/>
        <w:jc w:val="both"/>
      </w:pPr>
      <w:r>
        <w:rPr>
          <w:sz w:val="20"/>
        </w:rPr>
        <w:t xml:space="preserve">- работающие пенсионеры старше трудоспособного возраста,</w:t>
      </w:r>
    </w:p>
    <w:p>
      <w:pPr>
        <w:pStyle w:val="0"/>
        <w:spacing w:before="200" w:line-rule="auto"/>
        <w:ind w:firstLine="540"/>
        <w:jc w:val="both"/>
      </w:pPr>
      <w:r>
        <w:rPr>
          <w:sz w:val="20"/>
        </w:rPr>
        <w:t xml:space="preserve">- трудовые мигранты, в том числе иностранные,</w:t>
      </w:r>
    </w:p>
    <w:p>
      <w:pPr>
        <w:pStyle w:val="0"/>
        <w:spacing w:before="200" w:line-rule="auto"/>
        <w:ind w:firstLine="540"/>
        <w:jc w:val="both"/>
      </w:pPr>
      <w:r>
        <w:rPr>
          <w:sz w:val="20"/>
        </w:rPr>
        <w:t xml:space="preserve">- учащиеся и инвалиды.</w:t>
      </w:r>
    </w:p>
    <w:p>
      <w:pPr>
        <w:pStyle w:val="0"/>
        <w:spacing w:before="200" w:line-rule="auto"/>
        <w:ind w:firstLine="540"/>
        <w:jc w:val="both"/>
      </w:pPr>
      <w:r>
        <w:rPr>
          <w:sz w:val="20"/>
        </w:rPr>
        <w:t xml:space="preserve">Прогноз кадровой потребности экономики Курской области по видам экономической деятельности на долгосрочный период (2019 - 2030 гг.) будет определяться изменениями кадровой потребности экономики Курской области и демографическими тенденциями.</w:t>
      </w:r>
    </w:p>
    <w:p>
      <w:pPr>
        <w:pStyle w:val="0"/>
        <w:spacing w:before="200" w:line-rule="auto"/>
        <w:ind w:firstLine="540"/>
        <w:jc w:val="both"/>
      </w:pPr>
      <w:r>
        <w:rPr>
          <w:sz w:val="20"/>
        </w:rPr>
        <w:t xml:space="preserve">В </w:t>
      </w:r>
      <w:hyperlink w:history="0" w:anchor="P8099" w:tooltip="Объем и структура прогнозируемой кадровой потребности">
        <w:r>
          <w:rPr>
            <w:sz w:val="20"/>
            <w:color w:val="0000ff"/>
          </w:rPr>
          <w:t xml:space="preserve">таблицах N 6</w:t>
        </w:r>
      </w:hyperlink>
      <w:r>
        <w:rPr>
          <w:sz w:val="20"/>
        </w:rPr>
        <w:t xml:space="preserve"> и </w:t>
      </w:r>
      <w:hyperlink w:history="0" w:anchor="P8234" w:tooltip="Прогнозируемая кадровая потребность отраслей">
        <w:r>
          <w:rPr>
            <w:sz w:val="20"/>
            <w:color w:val="0000ff"/>
          </w:rPr>
          <w:t xml:space="preserve">N 7</w:t>
        </w:r>
      </w:hyperlink>
      <w:r>
        <w:rPr>
          <w:sz w:val="20"/>
        </w:rPr>
        <w:t xml:space="preserve"> приведена прогнозируемая кадровая потребность экономики Курской области на долгосрочный период, основанная на существующих тенденциях развития рынка труда региона.</w:t>
      </w:r>
    </w:p>
    <w:p>
      <w:pPr>
        <w:pStyle w:val="0"/>
        <w:spacing w:before="200" w:line-rule="auto"/>
        <w:ind w:firstLine="540"/>
        <w:jc w:val="both"/>
      </w:pPr>
      <w:r>
        <w:rPr>
          <w:sz w:val="20"/>
        </w:rPr>
        <w:t xml:space="preserve">В таблице N 6 отражены сводные данные о прогнозной структуре кадровой потребности в сравнении с отчетным балансом трудовых ресурсов за 2018 год.</w:t>
      </w:r>
    </w:p>
    <w:p>
      <w:pPr>
        <w:pStyle w:val="0"/>
        <w:jc w:val="center"/>
      </w:pPr>
      <w:r>
        <w:rPr>
          <w:sz w:val="20"/>
        </w:rPr>
      </w:r>
    </w:p>
    <w:p>
      <w:pPr>
        <w:pStyle w:val="0"/>
        <w:outlineLvl w:val="2"/>
        <w:jc w:val="right"/>
      </w:pPr>
      <w:r>
        <w:rPr>
          <w:sz w:val="20"/>
        </w:rPr>
        <w:t xml:space="preserve">Таблица N 6</w:t>
      </w:r>
    </w:p>
    <w:p>
      <w:pPr>
        <w:pStyle w:val="0"/>
        <w:jc w:val="center"/>
      </w:pPr>
      <w:r>
        <w:rPr>
          <w:sz w:val="20"/>
        </w:rPr>
      </w:r>
    </w:p>
    <w:bookmarkStart w:id="8099" w:name="P8099"/>
    <w:bookmarkEnd w:id="8099"/>
    <w:p>
      <w:pPr>
        <w:pStyle w:val="2"/>
        <w:jc w:val="center"/>
      </w:pPr>
      <w:r>
        <w:rPr>
          <w:sz w:val="20"/>
        </w:rPr>
        <w:t xml:space="preserve">Объем и структура прогнозируемой кадровой потребности</w:t>
      </w:r>
    </w:p>
    <w:p>
      <w:pPr>
        <w:pStyle w:val="2"/>
        <w:jc w:val="center"/>
      </w:pPr>
      <w:r>
        <w:rPr>
          <w:sz w:val="20"/>
        </w:rPr>
        <w:t xml:space="preserve">экономики Курской области по видам экономической</w:t>
      </w:r>
    </w:p>
    <w:p>
      <w:pPr>
        <w:pStyle w:val="2"/>
        <w:jc w:val="center"/>
      </w:pPr>
      <w:r>
        <w:rPr>
          <w:sz w:val="20"/>
        </w:rPr>
        <w:t xml:space="preserve">деятельности, 2019 - 2030 гг., среднегодовая численность</w:t>
      </w:r>
    </w:p>
    <w:p>
      <w:pPr>
        <w:pStyle w:val="2"/>
        <w:jc w:val="center"/>
      </w:pPr>
      <w:r>
        <w:rPr>
          <w:sz w:val="20"/>
        </w:rPr>
        <w:t xml:space="preserve">занятых в экономике Курской области по видам экономической</w:t>
      </w:r>
    </w:p>
    <w:p>
      <w:pPr>
        <w:pStyle w:val="2"/>
        <w:jc w:val="center"/>
      </w:pPr>
      <w:r>
        <w:rPr>
          <w:sz w:val="20"/>
        </w:rPr>
        <w:t xml:space="preserve">деятельности, 2018 г.</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26"/>
        <w:gridCol w:w="992"/>
        <w:gridCol w:w="993"/>
        <w:gridCol w:w="1077"/>
        <w:gridCol w:w="992"/>
        <w:gridCol w:w="1134"/>
        <w:gridCol w:w="1191"/>
      </w:tblGrid>
      <w:tr>
        <w:tc>
          <w:tcPr>
            <w:tcW w:w="2626" w:type="dxa"/>
            <w:vMerge w:val="restart"/>
          </w:tcPr>
          <w:p>
            <w:pPr>
              <w:pStyle w:val="0"/>
              <w:jc w:val="center"/>
            </w:pPr>
            <w:r>
              <w:rPr>
                <w:sz w:val="20"/>
              </w:rPr>
              <w:t xml:space="preserve">Виды экономической деятельности</w:t>
            </w:r>
          </w:p>
        </w:tc>
        <w:tc>
          <w:tcPr>
            <w:gridSpan w:val="2"/>
            <w:tcW w:w="1985" w:type="dxa"/>
          </w:tcPr>
          <w:p>
            <w:pPr>
              <w:pStyle w:val="0"/>
              <w:jc w:val="center"/>
            </w:pPr>
            <w:r>
              <w:rPr>
                <w:sz w:val="20"/>
              </w:rPr>
              <w:t xml:space="preserve">Прогноз кадровой потребности на 2019 г.</w:t>
            </w:r>
          </w:p>
        </w:tc>
        <w:tc>
          <w:tcPr>
            <w:gridSpan w:val="2"/>
            <w:tcW w:w="2069" w:type="dxa"/>
          </w:tcPr>
          <w:p>
            <w:pPr>
              <w:pStyle w:val="0"/>
              <w:jc w:val="center"/>
            </w:pPr>
            <w:r>
              <w:rPr>
                <w:sz w:val="20"/>
              </w:rPr>
              <w:t xml:space="preserve">Прогноз кадровой потребности на 2030 г.</w:t>
            </w:r>
          </w:p>
        </w:tc>
        <w:tc>
          <w:tcPr>
            <w:gridSpan w:val="2"/>
            <w:tcW w:w="2325" w:type="dxa"/>
          </w:tcPr>
          <w:p>
            <w:pPr>
              <w:pStyle w:val="0"/>
              <w:jc w:val="center"/>
            </w:pPr>
            <w:r>
              <w:rPr>
                <w:sz w:val="20"/>
              </w:rPr>
              <w:t xml:space="preserve">Среднегодовая численность занятых в экономике, 2018 г.</w:t>
            </w:r>
          </w:p>
        </w:tc>
      </w:tr>
      <w:tr>
        <w:tc>
          <w:tcPr>
            <w:vMerge w:val="continue"/>
          </w:tcPr>
          <w:p/>
        </w:tc>
        <w:tc>
          <w:tcPr>
            <w:tcW w:w="992" w:type="dxa"/>
          </w:tcPr>
          <w:p>
            <w:pPr>
              <w:pStyle w:val="0"/>
              <w:jc w:val="center"/>
            </w:pPr>
            <w:r>
              <w:rPr>
                <w:sz w:val="20"/>
              </w:rPr>
              <w:t xml:space="preserve">чел.</w:t>
            </w:r>
          </w:p>
        </w:tc>
        <w:tc>
          <w:tcPr>
            <w:tcW w:w="993" w:type="dxa"/>
          </w:tcPr>
          <w:p>
            <w:pPr>
              <w:pStyle w:val="0"/>
              <w:jc w:val="center"/>
            </w:pPr>
            <w:r>
              <w:rPr>
                <w:sz w:val="20"/>
              </w:rPr>
              <w:t xml:space="preserve">%</w:t>
            </w:r>
          </w:p>
        </w:tc>
        <w:tc>
          <w:tcPr>
            <w:tcW w:w="1077" w:type="dxa"/>
          </w:tcPr>
          <w:p>
            <w:pPr>
              <w:pStyle w:val="0"/>
              <w:jc w:val="center"/>
            </w:pPr>
            <w:r>
              <w:rPr>
                <w:sz w:val="20"/>
              </w:rPr>
              <w:t xml:space="preserve">чел.</w:t>
            </w:r>
          </w:p>
        </w:tc>
        <w:tc>
          <w:tcPr>
            <w:tcW w:w="992" w:type="dxa"/>
          </w:tcPr>
          <w:p>
            <w:pPr>
              <w:pStyle w:val="0"/>
              <w:jc w:val="center"/>
            </w:pPr>
            <w:r>
              <w:rPr>
                <w:sz w:val="20"/>
              </w:rPr>
              <w:t xml:space="preserve">%</w:t>
            </w:r>
          </w:p>
        </w:tc>
        <w:tc>
          <w:tcPr>
            <w:tcW w:w="1134" w:type="dxa"/>
          </w:tcPr>
          <w:p>
            <w:pPr>
              <w:pStyle w:val="0"/>
              <w:jc w:val="center"/>
            </w:pPr>
            <w:r>
              <w:rPr>
                <w:sz w:val="20"/>
              </w:rPr>
              <w:t xml:space="preserve">чел.</w:t>
            </w:r>
          </w:p>
        </w:tc>
        <w:tc>
          <w:tcPr>
            <w:tcW w:w="1191" w:type="dxa"/>
          </w:tcPr>
          <w:p>
            <w:pPr>
              <w:pStyle w:val="0"/>
              <w:jc w:val="center"/>
            </w:pPr>
            <w:r>
              <w:rPr>
                <w:sz w:val="20"/>
              </w:rPr>
              <w:t xml:space="preserve">%</w:t>
            </w:r>
          </w:p>
        </w:tc>
      </w:tr>
      <w:tr>
        <w:tc>
          <w:tcPr>
            <w:tcW w:w="2626" w:type="dxa"/>
          </w:tcPr>
          <w:p>
            <w:pPr>
              <w:pStyle w:val="0"/>
            </w:pPr>
            <w:r>
              <w:rPr>
                <w:sz w:val="20"/>
              </w:rPr>
              <w:t xml:space="preserve">A: Сельское хозяйство, охота и лесное хозяйство</w:t>
            </w:r>
          </w:p>
        </w:tc>
        <w:tc>
          <w:tcPr>
            <w:tcW w:w="992" w:type="dxa"/>
          </w:tcPr>
          <w:p>
            <w:pPr>
              <w:pStyle w:val="0"/>
              <w:jc w:val="center"/>
            </w:pPr>
            <w:r>
              <w:rPr>
                <w:sz w:val="20"/>
              </w:rPr>
              <w:t xml:space="preserve">70311</w:t>
            </w:r>
          </w:p>
        </w:tc>
        <w:tc>
          <w:tcPr>
            <w:tcW w:w="993" w:type="dxa"/>
          </w:tcPr>
          <w:p>
            <w:pPr>
              <w:pStyle w:val="0"/>
              <w:jc w:val="center"/>
            </w:pPr>
            <w:r>
              <w:rPr>
                <w:sz w:val="20"/>
              </w:rPr>
              <w:t xml:space="preserve">13,4</w:t>
            </w:r>
          </w:p>
        </w:tc>
        <w:tc>
          <w:tcPr>
            <w:tcW w:w="1077" w:type="dxa"/>
          </w:tcPr>
          <w:p>
            <w:pPr>
              <w:pStyle w:val="0"/>
              <w:jc w:val="center"/>
            </w:pPr>
            <w:r>
              <w:rPr>
                <w:sz w:val="20"/>
              </w:rPr>
              <w:t xml:space="preserve">71495</w:t>
            </w:r>
          </w:p>
        </w:tc>
        <w:tc>
          <w:tcPr>
            <w:tcW w:w="992" w:type="dxa"/>
          </w:tcPr>
          <w:p>
            <w:pPr>
              <w:pStyle w:val="0"/>
              <w:jc w:val="center"/>
            </w:pPr>
            <w:r>
              <w:rPr>
                <w:sz w:val="20"/>
              </w:rPr>
              <w:t xml:space="preserve">14,2</w:t>
            </w:r>
          </w:p>
        </w:tc>
        <w:tc>
          <w:tcPr>
            <w:tcW w:w="1134" w:type="dxa"/>
          </w:tcPr>
          <w:p>
            <w:pPr>
              <w:pStyle w:val="0"/>
              <w:jc w:val="center"/>
            </w:pPr>
            <w:r>
              <w:rPr>
                <w:sz w:val="20"/>
              </w:rPr>
              <w:t xml:space="preserve">58304</w:t>
            </w:r>
          </w:p>
        </w:tc>
        <w:tc>
          <w:tcPr>
            <w:tcW w:w="1191" w:type="dxa"/>
          </w:tcPr>
          <w:p>
            <w:pPr>
              <w:pStyle w:val="0"/>
              <w:jc w:val="center"/>
            </w:pPr>
            <w:r>
              <w:rPr>
                <w:sz w:val="20"/>
              </w:rPr>
              <w:t xml:space="preserve">11,4</w:t>
            </w:r>
          </w:p>
        </w:tc>
      </w:tr>
      <w:tr>
        <w:tc>
          <w:tcPr>
            <w:tcW w:w="2626" w:type="dxa"/>
          </w:tcPr>
          <w:p>
            <w:pPr>
              <w:pStyle w:val="0"/>
            </w:pPr>
            <w:r>
              <w:rPr>
                <w:sz w:val="20"/>
              </w:rPr>
              <w:t xml:space="preserve">B: Рыболовство, рыбоводство</w:t>
            </w:r>
          </w:p>
        </w:tc>
        <w:tc>
          <w:tcPr>
            <w:tcW w:w="992" w:type="dxa"/>
          </w:tcPr>
          <w:p>
            <w:pPr>
              <w:pStyle w:val="0"/>
              <w:jc w:val="center"/>
            </w:pPr>
            <w:r>
              <w:rPr>
                <w:sz w:val="20"/>
              </w:rPr>
              <w:t xml:space="preserve">336</w:t>
            </w:r>
          </w:p>
        </w:tc>
        <w:tc>
          <w:tcPr>
            <w:tcW w:w="993" w:type="dxa"/>
          </w:tcPr>
          <w:p>
            <w:pPr>
              <w:pStyle w:val="0"/>
              <w:jc w:val="center"/>
            </w:pPr>
            <w:r>
              <w:rPr>
                <w:sz w:val="20"/>
              </w:rPr>
              <w:t xml:space="preserve">0,1</w:t>
            </w:r>
          </w:p>
        </w:tc>
        <w:tc>
          <w:tcPr>
            <w:tcW w:w="1077" w:type="dxa"/>
          </w:tcPr>
          <w:p>
            <w:pPr>
              <w:pStyle w:val="0"/>
              <w:jc w:val="center"/>
            </w:pPr>
            <w:r>
              <w:rPr>
                <w:sz w:val="20"/>
              </w:rPr>
              <w:t xml:space="preserve">254</w:t>
            </w:r>
          </w:p>
        </w:tc>
        <w:tc>
          <w:tcPr>
            <w:tcW w:w="992" w:type="dxa"/>
          </w:tcPr>
          <w:p>
            <w:pPr>
              <w:pStyle w:val="0"/>
              <w:jc w:val="center"/>
            </w:pPr>
            <w:r>
              <w:rPr>
                <w:sz w:val="20"/>
              </w:rPr>
              <w:t xml:space="preserve">0,1</w:t>
            </w:r>
          </w:p>
        </w:tc>
        <w:tc>
          <w:tcPr>
            <w:tcW w:w="1134" w:type="dxa"/>
          </w:tcPr>
          <w:p>
            <w:pPr>
              <w:pStyle w:val="0"/>
              <w:jc w:val="center"/>
            </w:pPr>
            <w:r>
              <w:rPr>
                <w:sz w:val="20"/>
              </w:rPr>
              <w:t xml:space="preserve">299</w:t>
            </w:r>
          </w:p>
        </w:tc>
        <w:tc>
          <w:tcPr>
            <w:tcW w:w="1191" w:type="dxa"/>
          </w:tcPr>
          <w:p>
            <w:pPr>
              <w:pStyle w:val="0"/>
              <w:jc w:val="center"/>
            </w:pPr>
            <w:r>
              <w:rPr>
                <w:sz w:val="20"/>
              </w:rPr>
              <w:t xml:space="preserve">0,1</w:t>
            </w:r>
          </w:p>
        </w:tc>
      </w:tr>
      <w:tr>
        <w:tc>
          <w:tcPr>
            <w:tcW w:w="2626" w:type="dxa"/>
          </w:tcPr>
          <w:p>
            <w:pPr>
              <w:pStyle w:val="0"/>
            </w:pPr>
            <w:r>
              <w:rPr>
                <w:sz w:val="20"/>
              </w:rPr>
              <w:t xml:space="preserve">C: Добыча полезных ископаемых</w:t>
            </w:r>
          </w:p>
        </w:tc>
        <w:tc>
          <w:tcPr>
            <w:tcW w:w="992" w:type="dxa"/>
          </w:tcPr>
          <w:p>
            <w:pPr>
              <w:pStyle w:val="0"/>
              <w:jc w:val="center"/>
            </w:pPr>
            <w:r>
              <w:rPr>
                <w:sz w:val="20"/>
              </w:rPr>
              <w:t xml:space="preserve">9823</w:t>
            </w:r>
          </w:p>
        </w:tc>
        <w:tc>
          <w:tcPr>
            <w:tcW w:w="993" w:type="dxa"/>
          </w:tcPr>
          <w:p>
            <w:pPr>
              <w:pStyle w:val="0"/>
              <w:jc w:val="center"/>
            </w:pPr>
            <w:r>
              <w:rPr>
                <w:sz w:val="20"/>
              </w:rPr>
              <w:t xml:space="preserve">1,9</w:t>
            </w:r>
          </w:p>
        </w:tc>
        <w:tc>
          <w:tcPr>
            <w:tcW w:w="1077" w:type="dxa"/>
          </w:tcPr>
          <w:p>
            <w:pPr>
              <w:pStyle w:val="0"/>
              <w:jc w:val="center"/>
            </w:pPr>
            <w:r>
              <w:rPr>
                <w:sz w:val="20"/>
              </w:rPr>
              <w:t xml:space="preserve">10519</w:t>
            </w:r>
          </w:p>
        </w:tc>
        <w:tc>
          <w:tcPr>
            <w:tcW w:w="992" w:type="dxa"/>
          </w:tcPr>
          <w:p>
            <w:pPr>
              <w:pStyle w:val="0"/>
              <w:jc w:val="center"/>
            </w:pPr>
            <w:r>
              <w:rPr>
                <w:sz w:val="20"/>
              </w:rPr>
              <w:t xml:space="preserve">2,1</w:t>
            </w:r>
          </w:p>
        </w:tc>
        <w:tc>
          <w:tcPr>
            <w:tcW w:w="1134" w:type="dxa"/>
          </w:tcPr>
          <w:p>
            <w:pPr>
              <w:pStyle w:val="0"/>
              <w:jc w:val="center"/>
            </w:pPr>
            <w:r>
              <w:rPr>
                <w:sz w:val="20"/>
              </w:rPr>
              <w:t xml:space="preserve">11971</w:t>
            </w:r>
          </w:p>
        </w:tc>
        <w:tc>
          <w:tcPr>
            <w:tcW w:w="1191" w:type="dxa"/>
          </w:tcPr>
          <w:p>
            <w:pPr>
              <w:pStyle w:val="0"/>
              <w:jc w:val="center"/>
            </w:pPr>
            <w:r>
              <w:rPr>
                <w:sz w:val="20"/>
              </w:rPr>
              <w:t xml:space="preserve">2,4</w:t>
            </w:r>
          </w:p>
        </w:tc>
      </w:tr>
      <w:tr>
        <w:tc>
          <w:tcPr>
            <w:tcW w:w="2626" w:type="dxa"/>
          </w:tcPr>
          <w:p>
            <w:pPr>
              <w:pStyle w:val="0"/>
            </w:pPr>
            <w:r>
              <w:rPr>
                <w:sz w:val="20"/>
              </w:rPr>
              <w:t xml:space="preserve">D: Обрабатывающие производства</w:t>
            </w:r>
          </w:p>
        </w:tc>
        <w:tc>
          <w:tcPr>
            <w:tcW w:w="992" w:type="dxa"/>
          </w:tcPr>
          <w:p>
            <w:pPr>
              <w:pStyle w:val="0"/>
              <w:jc w:val="center"/>
            </w:pPr>
            <w:r>
              <w:rPr>
                <w:sz w:val="20"/>
              </w:rPr>
              <w:t xml:space="preserve">71139</w:t>
            </w:r>
          </w:p>
        </w:tc>
        <w:tc>
          <w:tcPr>
            <w:tcW w:w="993" w:type="dxa"/>
          </w:tcPr>
          <w:p>
            <w:pPr>
              <w:pStyle w:val="0"/>
              <w:jc w:val="center"/>
            </w:pPr>
            <w:r>
              <w:rPr>
                <w:sz w:val="20"/>
              </w:rPr>
              <w:t xml:space="preserve">13,5</w:t>
            </w:r>
          </w:p>
        </w:tc>
        <w:tc>
          <w:tcPr>
            <w:tcW w:w="1077" w:type="dxa"/>
          </w:tcPr>
          <w:p>
            <w:pPr>
              <w:pStyle w:val="0"/>
              <w:jc w:val="center"/>
            </w:pPr>
            <w:r>
              <w:rPr>
                <w:sz w:val="20"/>
              </w:rPr>
              <w:t xml:space="preserve">65840</w:t>
            </w:r>
          </w:p>
        </w:tc>
        <w:tc>
          <w:tcPr>
            <w:tcW w:w="992" w:type="dxa"/>
          </w:tcPr>
          <w:p>
            <w:pPr>
              <w:pStyle w:val="0"/>
              <w:jc w:val="center"/>
            </w:pPr>
            <w:r>
              <w:rPr>
                <w:sz w:val="20"/>
              </w:rPr>
              <w:t xml:space="preserve">13,1</w:t>
            </w:r>
          </w:p>
        </w:tc>
        <w:tc>
          <w:tcPr>
            <w:tcW w:w="1134" w:type="dxa"/>
          </w:tcPr>
          <w:p>
            <w:pPr>
              <w:pStyle w:val="0"/>
              <w:jc w:val="center"/>
            </w:pPr>
            <w:r>
              <w:rPr>
                <w:sz w:val="20"/>
              </w:rPr>
              <w:t xml:space="preserve">68996</w:t>
            </w:r>
          </w:p>
        </w:tc>
        <w:tc>
          <w:tcPr>
            <w:tcW w:w="1191" w:type="dxa"/>
          </w:tcPr>
          <w:p>
            <w:pPr>
              <w:pStyle w:val="0"/>
              <w:jc w:val="center"/>
            </w:pPr>
            <w:r>
              <w:rPr>
                <w:sz w:val="20"/>
              </w:rPr>
              <w:t xml:space="preserve">13,5</w:t>
            </w:r>
          </w:p>
        </w:tc>
      </w:tr>
      <w:tr>
        <w:tc>
          <w:tcPr>
            <w:tcW w:w="2626" w:type="dxa"/>
          </w:tcPr>
          <w:p>
            <w:pPr>
              <w:pStyle w:val="0"/>
            </w:pPr>
            <w:r>
              <w:rPr>
                <w:sz w:val="20"/>
              </w:rPr>
              <w:t xml:space="preserve">E: Производство и распределение электроэнергии, газа и воды</w:t>
            </w:r>
          </w:p>
        </w:tc>
        <w:tc>
          <w:tcPr>
            <w:tcW w:w="992" w:type="dxa"/>
          </w:tcPr>
          <w:p>
            <w:pPr>
              <w:pStyle w:val="0"/>
              <w:jc w:val="center"/>
            </w:pPr>
            <w:r>
              <w:rPr>
                <w:sz w:val="20"/>
              </w:rPr>
              <w:t xml:space="preserve">18635</w:t>
            </w:r>
          </w:p>
        </w:tc>
        <w:tc>
          <w:tcPr>
            <w:tcW w:w="993" w:type="dxa"/>
          </w:tcPr>
          <w:p>
            <w:pPr>
              <w:pStyle w:val="0"/>
              <w:jc w:val="center"/>
            </w:pPr>
            <w:r>
              <w:rPr>
                <w:sz w:val="20"/>
              </w:rPr>
              <w:t xml:space="preserve">3,5</w:t>
            </w:r>
          </w:p>
        </w:tc>
        <w:tc>
          <w:tcPr>
            <w:tcW w:w="1077" w:type="dxa"/>
          </w:tcPr>
          <w:p>
            <w:pPr>
              <w:pStyle w:val="0"/>
              <w:jc w:val="center"/>
            </w:pPr>
            <w:r>
              <w:rPr>
                <w:sz w:val="20"/>
              </w:rPr>
              <w:t xml:space="preserve">18440</w:t>
            </w:r>
          </w:p>
        </w:tc>
        <w:tc>
          <w:tcPr>
            <w:tcW w:w="992" w:type="dxa"/>
          </w:tcPr>
          <w:p>
            <w:pPr>
              <w:pStyle w:val="0"/>
              <w:jc w:val="center"/>
            </w:pPr>
            <w:r>
              <w:rPr>
                <w:sz w:val="20"/>
              </w:rPr>
              <w:t xml:space="preserve">3,7</w:t>
            </w:r>
          </w:p>
        </w:tc>
        <w:tc>
          <w:tcPr>
            <w:tcW w:w="1134" w:type="dxa"/>
          </w:tcPr>
          <w:p>
            <w:pPr>
              <w:pStyle w:val="0"/>
              <w:jc w:val="center"/>
            </w:pPr>
            <w:r>
              <w:rPr>
                <w:sz w:val="20"/>
              </w:rPr>
              <w:t xml:space="preserve">21275</w:t>
            </w:r>
          </w:p>
        </w:tc>
        <w:tc>
          <w:tcPr>
            <w:tcW w:w="1191" w:type="dxa"/>
          </w:tcPr>
          <w:p>
            <w:pPr>
              <w:pStyle w:val="0"/>
              <w:jc w:val="center"/>
            </w:pPr>
            <w:r>
              <w:rPr>
                <w:sz w:val="20"/>
              </w:rPr>
              <w:t xml:space="preserve">4,2</w:t>
            </w:r>
          </w:p>
        </w:tc>
      </w:tr>
      <w:tr>
        <w:tc>
          <w:tcPr>
            <w:tcW w:w="2626" w:type="dxa"/>
          </w:tcPr>
          <w:p>
            <w:pPr>
              <w:pStyle w:val="0"/>
            </w:pPr>
            <w:r>
              <w:rPr>
                <w:sz w:val="20"/>
              </w:rPr>
              <w:t xml:space="preserve">F: Строительство</w:t>
            </w:r>
          </w:p>
        </w:tc>
        <w:tc>
          <w:tcPr>
            <w:tcW w:w="992" w:type="dxa"/>
          </w:tcPr>
          <w:p>
            <w:pPr>
              <w:pStyle w:val="0"/>
              <w:jc w:val="center"/>
            </w:pPr>
            <w:r>
              <w:rPr>
                <w:sz w:val="20"/>
              </w:rPr>
              <w:t xml:space="preserve">31402</w:t>
            </w:r>
          </w:p>
        </w:tc>
        <w:tc>
          <w:tcPr>
            <w:tcW w:w="993" w:type="dxa"/>
          </w:tcPr>
          <w:p>
            <w:pPr>
              <w:pStyle w:val="0"/>
              <w:jc w:val="center"/>
            </w:pPr>
            <w:r>
              <w:rPr>
                <w:sz w:val="20"/>
              </w:rPr>
              <w:t xml:space="preserve">6,0</w:t>
            </w:r>
          </w:p>
        </w:tc>
        <w:tc>
          <w:tcPr>
            <w:tcW w:w="1077" w:type="dxa"/>
          </w:tcPr>
          <w:p>
            <w:pPr>
              <w:pStyle w:val="0"/>
              <w:jc w:val="center"/>
            </w:pPr>
            <w:r>
              <w:rPr>
                <w:sz w:val="20"/>
              </w:rPr>
              <w:t xml:space="preserve">27587</w:t>
            </w:r>
          </w:p>
        </w:tc>
        <w:tc>
          <w:tcPr>
            <w:tcW w:w="992" w:type="dxa"/>
          </w:tcPr>
          <w:p>
            <w:pPr>
              <w:pStyle w:val="0"/>
              <w:jc w:val="center"/>
            </w:pPr>
            <w:r>
              <w:rPr>
                <w:sz w:val="20"/>
              </w:rPr>
              <w:t xml:space="preserve">5,5</w:t>
            </w:r>
          </w:p>
        </w:tc>
        <w:tc>
          <w:tcPr>
            <w:tcW w:w="1134" w:type="dxa"/>
          </w:tcPr>
          <w:p>
            <w:pPr>
              <w:pStyle w:val="0"/>
              <w:jc w:val="center"/>
            </w:pPr>
            <w:r>
              <w:rPr>
                <w:sz w:val="20"/>
              </w:rPr>
              <w:t xml:space="preserve">30291</w:t>
            </w:r>
          </w:p>
        </w:tc>
        <w:tc>
          <w:tcPr>
            <w:tcW w:w="1191" w:type="dxa"/>
          </w:tcPr>
          <w:p>
            <w:pPr>
              <w:pStyle w:val="0"/>
              <w:jc w:val="center"/>
            </w:pPr>
            <w:r>
              <w:rPr>
                <w:sz w:val="20"/>
              </w:rPr>
              <w:t xml:space="preserve">5,9</w:t>
            </w:r>
          </w:p>
        </w:tc>
      </w:tr>
      <w:tr>
        <w:tc>
          <w:tcPr>
            <w:tcW w:w="2626" w:type="dxa"/>
          </w:tcPr>
          <w:p>
            <w:pPr>
              <w:pStyle w:val="0"/>
            </w:pPr>
            <w:r>
              <w:rPr>
                <w:sz w:val="20"/>
              </w:rPr>
              <w:t xml:space="preserve">G: Оптовая и розничная торговля; ремонт автотранспортных средств, мотоциклов, бытовых изделий и предметов личного пользования</w:t>
            </w:r>
          </w:p>
        </w:tc>
        <w:tc>
          <w:tcPr>
            <w:tcW w:w="992" w:type="dxa"/>
          </w:tcPr>
          <w:p>
            <w:pPr>
              <w:pStyle w:val="0"/>
              <w:jc w:val="center"/>
            </w:pPr>
            <w:r>
              <w:rPr>
                <w:sz w:val="20"/>
              </w:rPr>
              <w:t xml:space="preserve">99391</w:t>
            </w:r>
          </w:p>
        </w:tc>
        <w:tc>
          <w:tcPr>
            <w:tcW w:w="993" w:type="dxa"/>
          </w:tcPr>
          <w:p>
            <w:pPr>
              <w:pStyle w:val="0"/>
              <w:jc w:val="center"/>
            </w:pPr>
            <w:r>
              <w:rPr>
                <w:sz w:val="20"/>
              </w:rPr>
              <w:t xml:space="preserve">18,9</w:t>
            </w:r>
          </w:p>
        </w:tc>
        <w:tc>
          <w:tcPr>
            <w:tcW w:w="1077" w:type="dxa"/>
          </w:tcPr>
          <w:p>
            <w:pPr>
              <w:pStyle w:val="0"/>
              <w:jc w:val="center"/>
            </w:pPr>
            <w:r>
              <w:rPr>
                <w:sz w:val="20"/>
              </w:rPr>
              <w:t xml:space="preserve">77845</w:t>
            </w:r>
          </w:p>
        </w:tc>
        <w:tc>
          <w:tcPr>
            <w:tcW w:w="992" w:type="dxa"/>
          </w:tcPr>
          <w:p>
            <w:pPr>
              <w:pStyle w:val="0"/>
              <w:jc w:val="center"/>
            </w:pPr>
            <w:r>
              <w:rPr>
                <w:sz w:val="20"/>
              </w:rPr>
              <w:t xml:space="preserve">15,4</w:t>
            </w:r>
          </w:p>
        </w:tc>
        <w:tc>
          <w:tcPr>
            <w:tcW w:w="1134" w:type="dxa"/>
          </w:tcPr>
          <w:p>
            <w:pPr>
              <w:pStyle w:val="0"/>
              <w:jc w:val="center"/>
            </w:pPr>
            <w:r>
              <w:rPr>
                <w:sz w:val="20"/>
              </w:rPr>
              <w:t xml:space="preserve">106477</w:t>
            </w:r>
          </w:p>
        </w:tc>
        <w:tc>
          <w:tcPr>
            <w:tcW w:w="1191" w:type="dxa"/>
          </w:tcPr>
          <w:p>
            <w:pPr>
              <w:pStyle w:val="0"/>
              <w:jc w:val="center"/>
            </w:pPr>
            <w:r>
              <w:rPr>
                <w:sz w:val="20"/>
              </w:rPr>
              <w:t xml:space="preserve">20,9</w:t>
            </w:r>
          </w:p>
        </w:tc>
      </w:tr>
      <w:tr>
        <w:tc>
          <w:tcPr>
            <w:tcW w:w="2626" w:type="dxa"/>
          </w:tcPr>
          <w:p>
            <w:pPr>
              <w:pStyle w:val="0"/>
            </w:pPr>
            <w:r>
              <w:rPr>
                <w:sz w:val="20"/>
              </w:rPr>
              <w:t xml:space="preserve">H: Гостиницы и рестораны</w:t>
            </w:r>
          </w:p>
        </w:tc>
        <w:tc>
          <w:tcPr>
            <w:tcW w:w="992" w:type="dxa"/>
          </w:tcPr>
          <w:p>
            <w:pPr>
              <w:pStyle w:val="0"/>
              <w:jc w:val="center"/>
            </w:pPr>
            <w:r>
              <w:rPr>
                <w:sz w:val="20"/>
              </w:rPr>
              <w:t xml:space="preserve">7061</w:t>
            </w:r>
          </w:p>
        </w:tc>
        <w:tc>
          <w:tcPr>
            <w:tcW w:w="993" w:type="dxa"/>
          </w:tcPr>
          <w:p>
            <w:pPr>
              <w:pStyle w:val="0"/>
              <w:jc w:val="center"/>
            </w:pPr>
            <w:r>
              <w:rPr>
                <w:sz w:val="20"/>
              </w:rPr>
              <w:t xml:space="preserve">1,3</w:t>
            </w:r>
          </w:p>
        </w:tc>
        <w:tc>
          <w:tcPr>
            <w:tcW w:w="1077" w:type="dxa"/>
          </w:tcPr>
          <w:p>
            <w:pPr>
              <w:pStyle w:val="0"/>
              <w:jc w:val="center"/>
            </w:pPr>
            <w:r>
              <w:rPr>
                <w:sz w:val="20"/>
              </w:rPr>
              <w:t xml:space="preserve">5209</w:t>
            </w:r>
          </w:p>
        </w:tc>
        <w:tc>
          <w:tcPr>
            <w:tcW w:w="992" w:type="dxa"/>
          </w:tcPr>
          <w:p>
            <w:pPr>
              <w:pStyle w:val="0"/>
              <w:jc w:val="center"/>
            </w:pPr>
            <w:r>
              <w:rPr>
                <w:sz w:val="20"/>
              </w:rPr>
              <w:t xml:space="preserve">1,0</w:t>
            </w:r>
          </w:p>
        </w:tc>
        <w:tc>
          <w:tcPr>
            <w:tcW w:w="1134" w:type="dxa"/>
          </w:tcPr>
          <w:p>
            <w:pPr>
              <w:pStyle w:val="0"/>
              <w:jc w:val="center"/>
            </w:pPr>
            <w:r>
              <w:rPr>
                <w:sz w:val="20"/>
              </w:rPr>
              <w:t xml:space="preserve">7869</w:t>
            </w:r>
          </w:p>
        </w:tc>
        <w:tc>
          <w:tcPr>
            <w:tcW w:w="1191" w:type="dxa"/>
          </w:tcPr>
          <w:p>
            <w:pPr>
              <w:pStyle w:val="0"/>
              <w:jc w:val="center"/>
            </w:pPr>
            <w:r>
              <w:rPr>
                <w:sz w:val="20"/>
              </w:rPr>
              <w:t xml:space="preserve">1,5</w:t>
            </w:r>
          </w:p>
        </w:tc>
      </w:tr>
      <w:tr>
        <w:tc>
          <w:tcPr>
            <w:tcW w:w="2626" w:type="dxa"/>
          </w:tcPr>
          <w:p>
            <w:pPr>
              <w:pStyle w:val="0"/>
            </w:pPr>
            <w:r>
              <w:rPr>
                <w:sz w:val="20"/>
              </w:rPr>
              <w:t xml:space="preserve">I: Транспорт и связь</w:t>
            </w:r>
          </w:p>
        </w:tc>
        <w:tc>
          <w:tcPr>
            <w:tcW w:w="992" w:type="dxa"/>
          </w:tcPr>
          <w:p>
            <w:pPr>
              <w:pStyle w:val="0"/>
              <w:jc w:val="center"/>
            </w:pPr>
            <w:r>
              <w:rPr>
                <w:sz w:val="20"/>
              </w:rPr>
              <w:t xml:space="preserve">35622</w:t>
            </w:r>
          </w:p>
        </w:tc>
        <w:tc>
          <w:tcPr>
            <w:tcW w:w="993" w:type="dxa"/>
          </w:tcPr>
          <w:p>
            <w:pPr>
              <w:pStyle w:val="0"/>
              <w:jc w:val="center"/>
            </w:pPr>
            <w:r>
              <w:rPr>
                <w:sz w:val="20"/>
              </w:rPr>
              <w:t xml:space="preserve">6,8</w:t>
            </w:r>
          </w:p>
        </w:tc>
        <w:tc>
          <w:tcPr>
            <w:tcW w:w="1077" w:type="dxa"/>
          </w:tcPr>
          <w:p>
            <w:pPr>
              <w:pStyle w:val="0"/>
              <w:jc w:val="center"/>
            </w:pPr>
            <w:r>
              <w:rPr>
                <w:sz w:val="20"/>
              </w:rPr>
              <w:t xml:space="preserve">30912</w:t>
            </w:r>
          </w:p>
        </w:tc>
        <w:tc>
          <w:tcPr>
            <w:tcW w:w="992" w:type="dxa"/>
          </w:tcPr>
          <w:p>
            <w:pPr>
              <w:pStyle w:val="0"/>
              <w:jc w:val="center"/>
            </w:pPr>
            <w:r>
              <w:rPr>
                <w:sz w:val="20"/>
              </w:rPr>
              <w:t xml:space="preserve">6,0</w:t>
            </w:r>
          </w:p>
        </w:tc>
        <w:tc>
          <w:tcPr>
            <w:tcW w:w="1134" w:type="dxa"/>
          </w:tcPr>
          <w:p>
            <w:pPr>
              <w:pStyle w:val="0"/>
              <w:jc w:val="center"/>
            </w:pPr>
            <w:r>
              <w:rPr>
                <w:sz w:val="20"/>
              </w:rPr>
              <w:t xml:space="preserve">38439</w:t>
            </w:r>
          </w:p>
        </w:tc>
        <w:tc>
          <w:tcPr>
            <w:tcW w:w="1191" w:type="dxa"/>
          </w:tcPr>
          <w:p>
            <w:pPr>
              <w:pStyle w:val="0"/>
              <w:jc w:val="center"/>
            </w:pPr>
            <w:r>
              <w:rPr>
                <w:sz w:val="20"/>
              </w:rPr>
              <w:t xml:space="preserve">7,5</w:t>
            </w:r>
          </w:p>
        </w:tc>
      </w:tr>
      <w:tr>
        <w:tc>
          <w:tcPr>
            <w:tcW w:w="2626" w:type="dxa"/>
          </w:tcPr>
          <w:p>
            <w:pPr>
              <w:pStyle w:val="0"/>
            </w:pPr>
            <w:r>
              <w:rPr>
                <w:sz w:val="20"/>
              </w:rPr>
              <w:t xml:space="preserve">J: Финансовая деятельность</w:t>
            </w:r>
          </w:p>
        </w:tc>
        <w:tc>
          <w:tcPr>
            <w:tcW w:w="992" w:type="dxa"/>
          </w:tcPr>
          <w:p>
            <w:pPr>
              <w:pStyle w:val="0"/>
              <w:jc w:val="center"/>
            </w:pPr>
            <w:r>
              <w:rPr>
                <w:sz w:val="20"/>
              </w:rPr>
              <w:t xml:space="preserve">5442</w:t>
            </w:r>
          </w:p>
        </w:tc>
        <w:tc>
          <w:tcPr>
            <w:tcW w:w="993" w:type="dxa"/>
          </w:tcPr>
          <w:p>
            <w:pPr>
              <w:pStyle w:val="0"/>
              <w:jc w:val="center"/>
            </w:pPr>
            <w:r>
              <w:rPr>
                <w:sz w:val="20"/>
              </w:rPr>
              <w:t xml:space="preserve">1,0</w:t>
            </w:r>
          </w:p>
        </w:tc>
        <w:tc>
          <w:tcPr>
            <w:tcW w:w="1077" w:type="dxa"/>
          </w:tcPr>
          <w:p>
            <w:pPr>
              <w:pStyle w:val="0"/>
              <w:jc w:val="center"/>
            </w:pPr>
            <w:r>
              <w:rPr>
                <w:sz w:val="20"/>
              </w:rPr>
              <w:t xml:space="preserve">5053</w:t>
            </w:r>
          </w:p>
        </w:tc>
        <w:tc>
          <w:tcPr>
            <w:tcW w:w="992" w:type="dxa"/>
          </w:tcPr>
          <w:p>
            <w:pPr>
              <w:pStyle w:val="0"/>
              <w:jc w:val="center"/>
            </w:pPr>
            <w:r>
              <w:rPr>
                <w:sz w:val="20"/>
              </w:rPr>
              <w:t xml:space="preserve">1,0</w:t>
            </w:r>
          </w:p>
        </w:tc>
        <w:tc>
          <w:tcPr>
            <w:tcW w:w="1134" w:type="dxa"/>
          </w:tcPr>
          <w:p>
            <w:pPr>
              <w:pStyle w:val="0"/>
              <w:jc w:val="center"/>
            </w:pPr>
            <w:r>
              <w:rPr>
                <w:sz w:val="20"/>
              </w:rPr>
              <w:t xml:space="preserve">5734</w:t>
            </w:r>
          </w:p>
        </w:tc>
        <w:tc>
          <w:tcPr>
            <w:tcW w:w="1191" w:type="dxa"/>
          </w:tcPr>
          <w:p>
            <w:pPr>
              <w:pStyle w:val="0"/>
              <w:jc w:val="center"/>
            </w:pPr>
            <w:r>
              <w:rPr>
                <w:sz w:val="20"/>
              </w:rPr>
              <w:t xml:space="preserve">1,1</w:t>
            </w:r>
          </w:p>
        </w:tc>
      </w:tr>
      <w:tr>
        <w:tc>
          <w:tcPr>
            <w:tcW w:w="2626" w:type="dxa"/>
          </w:tcPr>
          <w:p>
            <w:pPr>
              <w:pStyle w:val="0"/>
            </w:pPr>
            <w:r>
              <w:rPr>
                <w:sz w:val="20"/>
              </w:rPr>
              <w:t xml:space="preserve">K: Операции с недвижимым имуществом, аренда и предоставление услуг</w:t>
            </w:r>
          </w:p>
        </w:tc>
        <w:tc>
          <w:tcPr>
            <w:tcW w:w="992" w:type="dxa"/>
          </w:tcPr>
          <w:p>
            <w:pPr>
              <w:pStyle w:val="0"/>
              <w:jc w:val="center"/>
            </w:pPr>
            <w:r>
              <w:rPr>
                <w:sz w:val="20"/>
              </w:rPr>
              <w:t xml:space="preserve">29941</w:t>
            </w:r>
          </w:p>
        </w:tc>
        <w:tc>
          <w:tcPr>
            <w:tcW w:w="993" w:type="dxa"/>
          </w:tcPr>
          <w:p>
            <w:pPr>
              <w:pStyle w:val="0"/>
              <w:jc w:val="center"/>
            </w:pPr>
            <w:r>
              <w:rPr>
                <w:sz w:val="20"/>
              </w:rPr>
              <w:t xml:space="preserve">5,7</w:t>
            </w:r>
          </w:p>
        </w:tc>
        <w:tc>
          <w:tcPr>
            <w:tcW w:w="1077" w:type="dxa"/>
          </w:tcPr>
          <w:p>
            <w:pPr>
              <w:pStyle w:val="0"/>
              <w:jc w:val="center"/>
            </w:pPr>
            <w:r>
              <w:rPr>
                <w:sz w:val="20"/>
              </w:rPr>
              <w:t xml:space="preserve">26618</w:t>
            </w:r>
          </w:p>
        </w:tc>
        <w:tc>
          <w:tcPr>
            <w:tcW w:w="992" w:type="dxa"/>
          </w:tcPr>
          <w:p>
            <w:pPr>
              <w:pStyle w:val="0"/>
              <w:jc w:val="center"/>
            </w:pPr>
            <w:r>
              <w:rPr>
                <w:sz w:val="20"/>
              </w:rPr>
              <w:t xml:space="preserve">5,3</w:t>
            </w:r>
          </w:p>
        </w:tc>
        <w:tc>
          <w:tcPr>
            <w:tcW w:w="1134" w:type="dxa"/>
          </w:tcPr>
          <w:p>
            <w:pPr>
              <w:pStyle w:val="0"/>
              <w:jc w:val="center"/>
            </w:pPr>
            <w:r>
              <w:rPr>
                <w:sz w:val="20"/>
              </w:rPr>
              <w:t xml:space="preserve">32190</w:t>
            </w:r>
          </w:p>
        </w:tc>
        <w:tc>
          <w:tcPr>
            <w:tcW w:w="1191" w:type="dxa"/>
          </w:tcPr>
          <w:p>
            <w:pPr>
              <w:pStyle w:val="0"/>
              <w:jc w:val="center"/>
            </w:pPr>
            <w:r>
              <w:rPr>
                <w:sz w:val="20"/>
              </w:rPr>
              <w:t xml:space="preserve">6,3</w:t>
            </w:r>
          </w:p>
        </w:tc>
      </w:tr>
      <w:tr>
        <w:tc>
          <w:tcPr>
            <w:tcW w:w="2626" w:type="dxa"/>
          </w:tcPr>
          <w:p>
            <w:pPr>
              <w:pStyle w:val="0"/>
            </w:pPr>
            <w:r>
              <w:rPr>
                <w:sz w:val="20"/>
              </w:rPr>
              <w:t xml:space="preserve">L: Государственное управление и обеспечение военной безопасности; обязательное социальное обеспечение</w:t>
            </w:r>
          </w:p>
        </w:tc>
        <w:tc>
          <w:tcPr>
            <w:tcW w:w="992" w:type="dxa"/>
          </w:tcPr>
          <w:p>
            <w:pPr>
              <w:pStyle w:val="0"/>
              <w:jc w:val="center"/>
            </w:pPr>
            <w:r>
              <w:rPr>
                <w:sz w:val="20"/>
              </w:rPr>
              <w:t xml:space="preserve">37053</w:t>
            </w:r>
          </w:p>
        </w:tc>
        <w:tc>
          <w:tcPr>
            <w:tcW w:w="993" w:type="dxa"/>
          </w:tcPr>
          <w:p>
            <w:pPr>
              <w:pStyle w:val="0"/>
              <w:jc w:val="center"/>
            </w:pPr>
            <w:r>
              <w:rPr>
                <w:sz w:val="20"/>
              </w:rPr>
              <w:t xml:space="preserve">7,1</w:t>
            </w:r>
          </w:p>
        </w:tc>
        <w:tc>
          <w:tcPr>
            <w:tcW w:w="1077" w:type="dxa"/>
          </w:tcPr>
          <w:p>
            <w:pPr>
              <w:pStyle w:val="0"/>
              <w:jc w:val="center"/>
            </w:pPr>
            <w:r>
              <w:rPr>
                <w:sz w:val="20"/>
              </w:rPr>
              <w:t xml:space="preserve">29569</w:t>
            </w:r>
          </w:p>
        </w:tc>
        <w:tc>
          <w:tcPr>
            <w:tcW w:w="992" w:type="dxa"/>
          </w:tcPr>
          <w:p>
            <w:pPr>
              <w:pStyle w:val="0"/>
              <w:jc w:val="center"/>
            </w:pPr>
            <w:r>
              <w:rPr>
                <w:sz w:val="20"/>
              </w:rPr>
              <w:t xml:space="preserve">5,9</w:t>
            </w:r>
          </w:p>
        </w:tc>
        <w:tc>
          <w:tcPr>
            <w:tcW w:w="1134" w:type="dxa"/>
          </w:tcPr>
          <w:p>
            <w:pPr>
              <w:pStyle w:val="0"/>
              <w:jc w:val="center"/>
            </w:pPr>
            <w:r>
              <w:rPr>
                <w:sz w:val="20"/>
              </w:rPr>
              <w:t xml:space="preserve">30035</w:t>
            </w:r>
          </w:p>
        </w:tc>
        <w:tc>
          <w:tcPr>
            <w:tcW w:w="1191" w:type="dxa"/>
          </w:tcPr>
          <w:p>
            <w:pPr>
              <w:pStyle w:val="0"/>
              <w:jc w:val="center"/>
            </w:pPr>
            <w:r>
              <w:rPr>
                <w:sz w:val="20"/>
              </w:rPr>
              <w:t xml:space="preserve">5,9</w:t>
            </w:r>
          </w:p>
        </w:tc>
      </w:tr>
      <w:tr>
        <w:tc>
          <w:tcPr>
            <w:tcW w:w="2626" w:type="dxa"/>
          </w:tcPr>
          <w:p>
            <w:pPr>
              <w:pStyle w:val="0"/>
            </w:pPr>
            <w:r>
              <w:rPr>
                <w:sz w:val="20"/>
              </w:rPr>
              <w:t xml:space="preserve">M: Образование</w:t>
            </w:r>
          </w:p>
        </w:tc>
        <w:tc>
          <w:tcPr>
            <w:tcW w:w="992" w:type="dxa"/>
          </w:tcPr>
          <w:p>
            <w:pPr>
              <w:pStyle w:val="0"/>
              <w:jc w:val="center"/>
            </w:pPr>
            <w:r>
              <w:rPr>
                <w:sz w:val="20"/>
              </w:rPr>
              <w:t xml:space="preserve">57295</w:t>
            </w:r>
          </w:p>
        </w:tc>
        <w:tc>
          <w:tcPr>
            <w:tcW w:w="993" w:type="dxa"/>
          </w:tcPr>
          <w:p>
            <w:pPr>
              <w:pStyle w:val="0"/>
              <w:jc w:val="center"/>
            </w:pPr>
            <w:r>
              <w:rPr>
                <w:sz w:val="20"/>
              </w:rPr>
              <w:t xml:space="preserve">10,9</w:t>
            </w:r>
          </w:p>
        </w:tc>
        <w:tc>
          <w:tcPr>
            <w:tcW w:w="1077" w:type="dxa"/>
          </w:tcPr>
          <w:p>
            <w:pPr>
              <w:pStyle w:val="0"/>
              <w:jc w:val="center"/>
            </w:pPr>
            <w:r>
              <w:rPr>
                <w:sz w:val="20"/>
              </w:rPr>
              <w:t xml:space="preserve">67589</w:t>
            </w:r>
          </w:p>
        </w:tc>
        <w:tc>
          <w:tcPr>
            <w:tcW w:w="992" w:type="dxa"/>
          </w:tcPr>
          <w:p>
            <w:pPr>
              <w:pStyle w:val="0"/>
              <w:jc w:val="center"/>
            </w:pPr>
            <w:r>
              <w:rPr>
                <w:sz w:val="20"/>
              </w:rPr>
              <w:t xml:space="preserve">13,4</w:t>
            </w:r>
          </w:p>
        </w:tc>
        <w:tc>
          <w:tcPr>
            <w:tcW w:w="1134" w:type="dxa"/>
          </w:tcPr>
          <w:p>
            <w:pPr>
              <w:pStyle w:val="0"/>
              <w:jc w:val="center"/>
            </w:pPr>
            <w:r>
              <w:rPr>
                <w:sz w:val="20"/>
              </w:rPr>
              <w:t xml:space="preserve">47986</w:t>
            </w:r>
          </w:p>
        </w:tc>
        <w:tc>
          <w:tcPr>
            <w:tcW w:w="1191" w:type="dxa"/>
          </w:tcPr>
          <w:p>
            <w:pPr>
              <w:pStyle w:val="0"/>
              <w:jc w:val="center"/>
            </w:pPr>
            <w:r>
              <w:rPr>
                <w:sz w:val="20"/>
              </w:rPr>
              <w:t xml:space="preserve">9,4</w:t>
            </w:r>
          </w:p>
        </w:tc>
      </w:tr>
      <w:tr>
        <w:tc>
          <w:tcPr>
            <w:tcW w:w="2626" w:type="dxa"/>
          </w:tcPr>
          <w:p>
            <w:pPr>
              <w:pStyle w:val="0"/>
            </w:pPr>
            <w:r>
              <w:rPr>
                <w:sz w:val="20"/>
              </w:rPr>
              <w:t xml:space="preserve">N: Здравоохранение и предоставление социальных услуг</w:t>
            </w:r>
          </w:p>
        </w:tc>
        <w:tc>
          <w:tcPr>
            <w:tcW w:w="992" w:type="dxa"/>
          </w:tcPr>
          <w:p>
            <w:pPr>
              <w:pStyle w:val="0"/>
              <w:jc w:val="center"/>
            </w:pPr>
            <w:r>
              <w:rPr>
                <w:sz w:val="20"/>
              </w:rPr>
              <w:t xml:space="preserve">33605</w:t>
            </w:r>
          </w:p>
        </w:tc>
        <w:tc>
          <w:tcPr>
            <w:tcW w:w="993" w:type="dxa"/>
          </w:tcPr>
          <w:p>
            <w:pPr>
              <w:pStyle w:val="0"/>
              <w:jc w:val="center"/>
            </w:pPr>
            <w:r>
              <w:rPr>
                <w:sz w:val="20"/>
              </w:rPr>
              <w:t xml:space="preserve">6,4</w:t>
            </w:r>
          </w:p>
        </w:tc>
        <w:tc>
          <w:tcPr>
            <w:tcW w:w="1077" w:type="dxa"/>
          </w:tcPr>
          <w:p>
            <w:pPr>
              <w:pStyle w:val="0"/>
              <w:jc w:val="center"/>
            </w:pPr>
            <w:r>
              <w:rPr>
                <w:sz w:val="20"/>
              </w:rPr>
              <w:t xml:space="preserve">35419</w:t>
            </w:r>
          </w:p>
        </w:tc>
        <w:tc>
          <w:tcPr>
            <w:tcW w:w="992" w:type="dxa"/>
          </w:tcPr>
          <w:p>
            <w:pPr>
              <w:pStyle w:val="0"/>
              <w:jc w:val="center"/>
            </w:pPr>
            <w:r>
              <w:rPr>
                <w:sz w:val="20"/>
              </w:rPr>
              <w:t xml:space="preserve">7,0</w:t>
            </w:r>
          </w:p>
        </w:tc>
        <w:tc>
          <w:tcPr>
            <w:tcW w:w="1134" w:type="dxa"/>
          </w:tcPr>
          <w:p>
            <w:pPr>
              <w:pStyle w:val="0"/>
              <w:jc w:val="center"/>
            </w:pPr>
            <w:r>
              <w:rPr>
                <w:sz w:val="20"/>
              </w:rPr>
              <w:t xml:space="preserve">35149</w:t>
            </w:r>
          </w:p>
        </w:tc>
        <w:tc>
          <w:tcPr>
            <w:tcW w:w="1191" w:type="dxa"/>
          </w:tcPr>
          <w:p>
            <w:pPr>
              <w:pStyle w:val="0"/>
              <w:jc w:val="center"/>
            </w:pPr>
            <w:r>
              <w:rPr>
                <w:sz w:val="20"/>
              </w:rPr>
              <w:t xml:space="preserve">6,9</w:t>
            </w:r>
          </w:p>
        </w:tc>
      </w:tr>
      <w:tr>
        <w:tc>
          <w:tcPr>
            <w:tcW w:w="2626" w:type="dxa"/>
          </w:tcPr>
          <w:p>
            <w:pPr>
              <w:pStyle w:val="0"/>
            </w:pPr>
            <w:r>
              <w:rPr>
                <w:sz w:val="20"/>
              </w:rPr>
              <w:t xml:space="preserve">O: Предоставление прочих коммунальных, социальных и персональных услуг</w:t>
            </w:r>
          </w:p>
        </w:tc>
        <w:tc>
          <w:tcPr>
            <w:tcW w:w="992" w:type="dxa"/>
          </w:tcPr>
          <w:p>
            <w:pPr>
              <w:pStyle w:val="0"/>
              <w:jc w:val="center"/>
            </w:pPr>
            <w:r>
              <w:rPr>
                <w:sz w:val="20"/>
              </w:rPr>
              <w:t xml:space="preserve">18341</w:t>
            </w:r>
          </w:p>
        </w:tc>
        <w:tc>
          <w:tcPr>
            <w:tcW w:w="993" w:type="dxa"/>
          </w:tcPr>
          <w:p>
            <w:pPr>
              <w:pStyle w:val="0"/>
              <w:jc w:val="center"/>
            </w:pPr>
            <w:r>
              <w:rPr>
                <w:sz w:val="20"/>
              </w:rPr>
              <w:t xml:space="preserve">3,5</w:t>
            </w:r>
          </w:p>
        </w:tc>
        <w:tc>
          <w:tcPr>
            <w:tcW w:w="1077" w:type="dxa"/>
          </w:tcPr>
          <w:p>
            <w:pPr>
              <w:pStyle w:val="0"/>
              <w:jc w:val="center"/>
            </w:pPr>
            <w:r>
              <w:rPr>
                <w:sz w:val="20"/>
              </w:rPr>
              <w:t xml:space="preserve">31945</w:t>
            </w:r>
          </w:p>
        </w:tc>
        <w:tc>
          <w:tcPr>
            <w:tcW w:w="992" w:type="dxa"/>
          </w:tcPr>
          <w:p>
            <w:pPr>
              <w:pStyle w:val="0"/>
              <w:jc w:val="center"/>
            </w:pPr>
            <w:r>
              <w:rPr>
                <w:sz w:val="20"/>
              </w:rPr>
              <w:t xml:space="preserve">6,3</w:t>
            </w:r>
          </w:p>
        </w:tc>
        <w:tc>
          <w:tcPr>
            <w:tcW w:w="1134" w:type="dxa"/>
          </w:tcPr>
          <w:p>
            <w:pPr>
              <w:pStyle w:val="0"/>
              <w:jc w:val="center"/>
            </w:pPr>
            <w:r>
              <w:rPr>
                <w:sz w:val="20"/>
              </w:rPr>
              <w:t xml:space="preserve">14212</w:t>
            </w:r>
          </w:p>
        </w:tc>
        <w:tc>
          <w:tcPr>
            <w:tcW w:w="1191" w:type="dxa"/>
          </w:tcPr>
          <w:p>
            <w:pPr>
              <w:pStyle w:val="0"/>
              <w:jc w:val="center"/>
            </w:pPr>
            <w:r>
              <w:rPr>
                <w:sz w:val="20"/>
              </w:rPr>
              <w:t xml:space="preserve">2,8</w:t>
            </w:r>
          </w:p>
        </w:tc>
      </w:tr>
      <w:tr>
        <w:tc>
          <w:tcPr>
            <w:tcW w:w="2626" w:type="dxa"/>
          </w:tcPr>
          <w:p>
            <w:pPr>
              <w:pStyle w:val="0"/>
            </w:pPr>
            <w:r>
              <w:rPr>
                <w:sz w:val="20"/>
              </w:rPr>
              <w:t xml:space="preserve">Итого</w:t>
            </w:r>
          </w:p>
        </w:tc>
        <w:tc>
          <w:tcPr>
            <w:tcW w:w="992" w:type="dxa"/>
          </w:tcPr>
          <w:p>
            <w:pPr>
              <w:pStyle w:val="0"/>
              <w:jc w:val="center"/>
            </w:pPr>
            <w:r>
              <w:rPr>
                <w:sz w:val="20"/>
              </w:rPr>
              <w:t xml:space="preserve">525397</w:t>
            </w:r>
          </w:p>
        </w:tc>
        <w:tc>
          <w:tcPr>
            <w:tcW w:w="993" w:type="dxa"/>
          </w:tcPr>
          <w:p>
            <w:pPr>
              <w:pStyle w:val="0"/>
              <w:jc w:val="center"/>
            </w:pPr>
            <w:r>
              <w:rPr>
                <w:sz w:val="20"/>
              </w:rPr>
              <w:t xml:space="preserve">100</w:t>
            </w:r>
          </w:p>
        </w:tc>
        <w:tc>
          <w:tcPr>
            <w:tcW w:w="1077" w:type="dxa"/>
          </w:tcPr>
          <w:p>
            <w:pPr>
              <w:pStyle w:val="0"/>
              <w:jc w:val="center"/>
            </w:pPr>
            <w:r>
              <w:rPr>
                <w:sz w:val="20"/>
              </w:rPr>
              <w:t xml:space="preserve">503601</w:t>
            </w:r>
          </w:p>
        </w:tc>
        <w:tc>
          <w:tcPr>
            <w:tcW w:w="992" w:type="dxa"/>
          </w:tcPr>
          <w:p>
            <w:pPr>
              <w:pStyle w:val="0"/>
              <w:jc w:val="center"/>
            </w:pPr>
            <w:r>
              <w:rPr>
                <w:sz w:val="20"/>
              </w:rPr>
              <w:t xml:space="preserve">100</w:t>
            </w:r>
          </w:p>
        </w:tc>
        <w:tc>
          <w:tcPr>
            <w:tcW w:w="1134" w:type="dxa"/>
          </w:tcPr>
          <w:p>
            <w:pPr>
              <w:pStyle w:val="0"/>
              <w:jc w:val="center"/>
            </w:pPr>
            <w:r>
              <w:rPr>
                <w:sz w:val="20"/>
              </w:rPr>
              <w:t xml:space="preserve">509227</w:t>
            </w:r>
          </w:p>
        </w:tc>
        <w:tc>
          <w:tcPr>
            <w:tcW w:w="1191" w:type="dxa"/>
          </w:tcPr>
          <w:p>
            <w:pPr>
              <w:pStyle w:val="0"/>
              <w:jc w:val="center"/>
            </w:pPr>
            <w:r>
              <w:rPr>
                <w:sz w:val="20"/>
              </w:rPr>
              <w:t xml:space="preserve">100</w:t>
            </w:r>
          </w:p>
        </w:tc>
      </w:tr>
    </w:tbl>
    <w:p>
      <w:pPr>
        <w:pStyle w:val="0"/>
        <w:ind w:firstLine="540"/>
        <w:jc w:val="both"/>
      </w:pPr>
      <w:r>
        <w:rPr>
          <w:sz w:val="20"/>
        </w:rPr>
      </w:r>
    </w:p>
    <w:p>
      <w:pPr>
        <w:pStyle w:val="0"/>
        <w:ind w:firstLine="540"/>
        <w:jc w:val="both"/>
      </w:pPr>
      <w:r>
        <w:rPr>
          <w:sz w:val="20"/>
        </w:rPr>
        <w:t xml:space="preserve">В начале прогнозного периода максимальную потребность в кадрах будут испытывать следующие отрасли региональной экономики: оптовая и розничная торговля, ремонт автотранспортных средств, мотоциклов, бытовых изделий и предметов личного пользования 18,9%; обрабатывающие производства - 13,5%; сельское хозяйство, охота и лесное хозяйство - 13,4%; образование - 10,9%. В пределах 6 - 7% общей потребности, предположительно, заявят отрасли транспорта и связи, строительства, здравоохранения и предоставления социальных услуг населению, а также сфера государственного управления и обеспечения военной безопасности; обязательного социального обеспечения. В отчетном балансе трудовых ресурсов за 2018 год сохраняется аналогичное распределение отраслей-лидеров по количеству занятых. Прогнозируемая кадровая потребность экономики за 2019 год на 3,1% превышает отчетный показатель среднегодовой численности занятых за 2018 год.</w:t>
      </w:r>
    </w:p>
    <w:p>
      <w:pPr>
        <w:pStyle w:val="0"/>
        <w:spacing w:before="200" w:line-rule="auto"/>
        <w:ind w:firstLine="540"/>
        <w:jc w:val="both"/>
      </w:pPr>
      <w:r>
        <w:rPr>
          <w:sz w:val="20"/>
        </w:rPr>
        <w:t xml:space="preserve">К концу долгосрочного периода, при сохранении существующих тенденций, ожидаемая потребность в кадрах сократится и составит 98,9% от среднегодовой численности занятых в 2018 году, 95,8% прогнозируемой кадровой потребности 2019 года. Доли отраслей в общей потребности экономики региона в рабочей силе в долгосрочном периоде несколько изменятся. Наибольший удельный вес в структуре кадровой потребности будут занимать следующие виды экономической деятельности: сельское хозяйство, охота и лесное хозяйство - 14,2%; оптовая и розничная торговля; ремонт автотранспортных средств, мотоциклов, бытовых изделий и предметов личного пользования - 15,4%; обрабатывающие производства - 13,1%; образование - 13,4%.</w:t>
      </w:r>
    </w:p>
    <w:p>
      <w:pPr>
        <w:pStyle w:val="0"/>
        <w:spacing w:before="200" w:line-rule="auto"/>
        <w:ind w:firstLine="540"/>
        <w:jc w:val="both"/>
      </w:pPr>
      <w:r>
        <w:rPr>
          <w:sz w:val="20"/>
        </w:rPr>
        <w:t xml:space="preserve">Сокращение общей потребности в кадрах на фоне развития экономики связано как с ростом производительности труда, высоким уровнем автоматизации и информатизации общественного производства, так и с ограничениями, связанными с возрастающим дефицитом трудоспособного населения в трудоспособном возрасте, негативными демографическими тенденциями.</w:t>
      </w:r>
    </w:p>
    <w:p>
      <w:pPr>
        <w:pStyle w:val="0"/>
        <w:ind w:firstLine="540"/>
        <w:jc w:val="both"/>
      </w:pPr>
      <w:r>
        <w:rPr>
          <w:sz w:val="20"/>
        </w:rPr>
      </w:r>
    </w:p>
    <w:p>
      <w:pPr>
        <w:pStyle w:val="0"/>
        <w:outlineLvl w:val="2"/>
        <w:jc w:val="right"/>
      </w:pPr>
      <w:r>
        <w:rPr>
          <w:sz w:val="20"/>
        </w:rPr>
        <w:t xml:space="preserve">Таблица N 7</w:t>
      </w:r>
    </w:p>
    <w:p>
      <w:pPr>
        <w:pStyle w:val="0"/>
        <w:jc w:val="center"/>
      </w:pPr>
      <w:r>
        <w:rPr>
          <w:sz w:val="20"/>
        </w:rPr>
      </w:r>
    </w:p>
    <w:bookmarkStart w:id="8234" w:name="P8234"/>
    <w:bookmarkEnd w:id="8234"/>
    <w:p>
      <w:pPr>
        <w:pStyle w:val="2"/>
        <w:jc w:val="center"/>
      </w:pPr>
      <w:r>
        <w:rPr>
          <w:sz w:val="20"/>
        </w:rPr>
        <w:t xml:space="preserve">Прогнозируемая кадровая потребность отраслей</w:t>
      </w:r>
    </w:p>
    <w:p>
      <w:pPr>
        <w:pStyle w:val="2"/>
        <w:jc w:val="center"/>
      </w:pPr>
      <w:r>
        <w:rPr>
          <w:sz w:val="20"/>
        </w:rPr>
        <w:t xml:space="preserve">экономики Курской области на долгосрочный период</w:t>
      </w:r>
    </w:p>
    <w:p>
      <w:pPr>
        <w:pStyle w:val="2"/>
        <w:jc w:val="center"/>
      </w:pPr>
      <w:r>
        <w:rPr>
          <w:sz w:val="20"/>
        </w:rPr>
        <w:t xml:space="preserve">(2019 - 2030 гг.)</w:t>
      </w:r>
    </w:p>
    <w:p>
      <w:pPr>
        <w:pStyle w:val="0"/>
        <w:jc w:val="center"/>
      </w:pPr>
      <w:r>
        <w:rPr>
          <w:sz w:val="20"/>
        </w:rPr>
      </w:r>
    </w:p>
    <w:p>
      <w:pPr>
        <w:pStyle w:val="0"/>
        <w:jc w:val="right"/>
      </w:pPr>
      <w:r>
        <w:rPr>
          <w:sz w:val="20"/>
        </w:rPr>
        <w:t xml:space="preserve">(человек)</w:t>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803"/>
        <w:gridCol w:w="803"/>
        <w:gridCol w:w="803"/>
        <w:gridCol w:w="804"/>
        <w:gridCol w:w="803"/>
        <w:gridCol w:w="803"/>
        <w:gridCol w:w="803"/>
        <w:gridCol w:w="804"/>
        <w:gridCol w:w="803"/>
        <w:gridCol w:w="803"/>
        <w:gridCol w:w="803"/>
        <w:gridCol w:w="804"/>
      </w:tblGrid>
      <w:tr>
        <w:tc>
          <w:tcPr>
            <w:tcW w:w="2948" w:type="dxa"/>
          </w:tcPr>
          <w:p>
            <w:pPr>
              <w:pStyle w:val="0"/>
            </w:pPr>
            <w:r>
              <w:rPr>
                <w:sz w:val="20"/>
              </w:rPr>
              <w:t xml:space="preserve">Виды экономической деятельности</w:t>
            </w:r>
          </w:p>
        </w:tc>
        <w:tc>
          <w:tcPr>
            <w:tcW w:w="803" w:type="dxa"/>
          </w:tcPr>
          <w:p>
            <w:pPr>
              <w:pStyle w:val="0"/>
              <w:jc w:val="center"/>
            </w:pPr>
            <w:r>
              <w:rPr>
                <w:sz w:val="20"/>
              </w:rPr>
              <w:t xml:space="preserve">2019 г.</w:t>
            </w:r>
          </w:p>
        </w:tc>
        <w:tc>
          <w:tcPr>
            <w:tcW w:w="803" w:type="dxa"/>
          </w:tcPr>
          <w:p>
            <w:pPr>
              <w:pStyle w:val="0"/>
              <w:jc w:val="center"/>
            </w:pPr>
            <w:r>
              <w:rPr>
                <w:sz w:val="20"/>
              </w:rPr>
              <w:t xml:space="preserve">2020 г.</w:t>
            </w:r>
          </w:p>
        </w:tc>
        <w:tc>
          <w:tcPr>
            <w:tcW w:w="803" w:type="dxa"/>
          </w:tcPr>
          <w:p>
            <w:pPr>
              <w:pStyle w:val="0"/>
              <w:jc w:val="center"/>
            </w:pPr>
            <w:r>
              <w:rPr>
                <w:sz w:val="20"/>
              </w:rPr>
              <w:t xml:space="preserve">2021 г.</w:t>
            </w:r>
          </w:p>
        </w:tc>
        <w:tc>
          <w:tcPr>
            <w:tcW w:w="804" w:type="dxa"/>
          </w:tcPr>
          <w:p>
            <w:pPr>
              <w:pStyle w:val="0"/>
              <w:jc w:val="center"/>
            </w:pPr>
            <w:r>
              <w:rPr>
                <w:sz w:val="20"/>
              </w:rPr>
              <w:t xml:space="preserve">2022 г.</w:t>
            </w:r>
          </w:p>
        </w:tc>
        <w:tc>
          <w:tcPr>
            <w:tcW w:w="803" w:type="dxa"/>
          </w:tcPr>
          <w:p>
            <w:pPr>
              <w:pStyle w:val="0"/>
              <w:jc w:val="center"/>
            </w:pPr>
            <w:r>
              <w:rPr>
                <w:sz w:val="20"/>
              </w:rPr>
              <w:t xml:space="preserve">2023 г.</w:t>
            </w:r>
          </w:p>
        </w:tc>
        <w:tc>
          <w:tcPr>
            <w:tcW w:w="803" w:type="dxa"/>
          </w:tcPr>
          <w:p>
            <w:pPr>
              <w:pStyle w:val="0"/>
              <w:jc w:val="center"/>
            </w:pPr>
            <w:r>
              <w:rPr>
                <w:sz w:val="20"/>
              </w:rPr>
              <w:t xml:space="preserve">2024 г.</w:t>
            </w:r>
          </w:p>
        </w:tc>
        <w:tc>
          <w:tcPr>
            <w:tcW w:w="803" w:type="dxa"/>
          </w:tcPr>
          <w:p>
            <w:pPr>
              <w:pStyle w:val="0"/>
              <w:jc w:val="center"/>
            </w:pPr>
            <w:r>
              <w:rPr>
                <w:sz w:val="20"/>
              </w:rPr>
              <w:t xml:space="preserve">2025 г.</w:t>
            </w:r>
          </w:p>
        </w:tc>
        <w:tc>
          <w:tcPr>
            <w:tcW w:w="804" w:type="dxa"/>
          </w:tcPr>
          <w:p>
            <w:pPr>
              <w:pStyle w:val="0"/>
              <w:jc w:val="center"/>
            </w:pPr>
            <w:r>
              <w:rPr>
                <w:sz w:val="20"/>
              </w:rPr>
              <w:t xml:space="preserve">2026 г.</w:t>
            </w:r>
          </w:p>
        </w:tc>
        <w:tc>
          <w:tcPr>
            <w:tcW w:w="803" w:type="dxa"/>
          </w:tcPr>
          <w:p>
            <w:pPr>
              <w:pStyle w:val="0"/>
              <w:jc w:val="center"/>
            </w:pPr>
            <w:r>
              <w:rPr>
                <w:sz w:val="20"/>
              </w:rPr>
              <w:t xml:space="preserve">2027 г.</w:t>
            </w:r>
          </w:p>
        </w:tc>
        <w:tc>
          <w:tcPr>
            <w:tcW w:w="803" w:type="dxa"/>
          </w:tcPr>
          <w:p>
            <w:pPr>
              <w:pStyle w:val="0"/>
              <w:jc w:val="center"/>
            </w:pPr>
            <w:r>
              <w:rPr>
                <w:sz w:val="20"/>
              </w:rPr>
              <w:t xml:space="preserve">2028 г.</w:t>
            </w:r>
          </w:p>
        </w:tc>
        <w:tc>
          <w:tcPr>
            <w:tcW w:w="803" w:type="dxa"/>
          </w:tcPr>
          <w:p>
            <w:pPr>
              <w:pStyle w:val="0"/>
              <w:jc w:val="center"/>
            </w:pPr>
            <w:r>
              <w:rPr>
                <w:sz w:val="20"/>
              </w:rPr>
              <w:t xml:space="preserve">2029 г.</w:t>
            </w:r>
          </w:p>
        </w:tc>
        <w:tc>
          <w:tcPr>
            <w:tcW w:w="804" w:type="dxa"/>
          </w:tcPr>
          <w:p>
            <w:pPr>
              <w:pStyle w:val="0"/>
              <w:jc w:val="center"/>
            </w:pPr>
            <w:r>
              <w:rPr>
                <w:sz w:val="20"/>
              </w:rPr>
              <w:t xml:space="preserve">2030 г.</w:t>
            </w:r>
          </w:p>
        </w:tc>
      </w:tr>
      <w:tr>
        <w:tc>
          <w:tcPr>
            <w:tcW w:w="2948" w:type="dxa"/>
          </w:tcPr>
          <w:p>
            <w:pPr>
              <w:pStyle w:val="0"/>
            </w:pPr>
            <w:r>
              <w:rPr>
                <w:sz w:val="20"/>
              </w:rPr>
              <w:t xml:space="preserve">A: Сельское хозяйство, охота и лесное хозяйство</w:t>
            </w:r>
          </w:p>
        </w:tc>
        <w:tc>
          <w:tcPr>
            <w:tcW w:w="803" w:type="dxa"/>
          </w:tcPr>
          <w:p>
            <w:pPr>
              <w:pStyle w:val="0"/>
              <w:jc w:val="center"/>
            </w:pPr>
            <w:r>
              <w:rPr>
                <w:sz w:val="20"/>
              </w:rPr>
              <w:t xml:space="preserve">70311</w:t>
            </w:r>
          </w:p>
        </w:tc>
        <w:tc>
          <w:tcPr>
            <w:tcW w:w="803" w:type="dxa"/>
          </w:tcPr>
          <w:p>
            <w:pPr>
              <w:pStyle w:val="0"/>
              <w:jc w:val="center"/>
            </w:pPr>
            <w:r>
              <w:rPr>
                <w:sz w:val="20"/>
              </w:rPr>
              <w:t xml:space="preserve">69898</w:t>
            </w:r>
          </w:p>
        </w:tc>
        <w:tc>
          <w:tcPr>
            <w:tcW w:w="803" w:type="dxa"/>
          </w:tcPr>
          <w:p>
            <w:pPr>
              <w:pStyle w:val="0"/>
              <w:jc w:val="center"/>
            </w:pPr>
            <w:r>
              <w:rPr>
                <w:sz w:val="20"/>
              </w:rPr>
              <w:t xml:space="preserve">69484</w:t>
            </w:r>
          </w:p>
        </w:tc>
        <w:tc>
          <w:tcPr>
            <w:tcW w:w="804" w:type="dxa"/>
          </w:tcPr>
          <w:p>
            <w:pPr>
              <w:pStyle w:val="0"/>
              <w:jc w:val="center"/>
            </w:pPr>
            <w:r>
              <w:rPr>
                <w:sz w:val="20"/>
              </w:rPr>
              <w:t xml:space="preserve">69450</w:t>
            </w:r>
          </w:p>
        </w:tc>
        <w:tc>
          <w:tcPr>
            <w:tcW w:w="803" w:type="dxa"/>
          </w:tcPr>
          <w:p>
            <w:pPr>
              <w:pStyle w:val="0"/>
              <w:jc w:val="center"/>
            </w:pPr>
            <w:r>
              <w:rPr>
                <w:sz w:val="20"/>
              </w:rPr>
              <w:t xml:space="preserve">69421</w:t>
            </w:r>
          </w:p>
        </w:tc>
        <w:tc>
          <w:tcPr>
            <w:tcW w:w="803" w:type="dxa"/>
          </w:tcPr>
          <w:p>
            <w:pPr>
              <w:pStyle w:val="0"/>
              <w:jc w:val="center"/>
            </w:pPr>
            <w:r>
              <w:rPr>
                <w:sz w:val="20"/>
              </w:rPr>
              <w:t xml:space="preserve">69654</w:t>
            </w:r>
          </w:p>
        </w:tc>
        <w:tc>
          <w:tcPr>
            <w:tcW w:w="803" w:type="dxa"/>
          </w:tcPr>
          <w:p>
            <w:pPr>
              <w:pStyle w:val="0"/>
              <w:jc w:val="center"/>
            </w:pPr>
            <w:r>
              <w:rPr>
                <w:sz w:val="20"/>
              </w:rPr>
              <w:t xml:space="preserve">69903</w:t>
            </w:r>
          </w:p>
        </w:tc>
        <w:tc>
          <w:tcPr>
            <w:tcW w:w="804" w:type="dxa"/>
          </w:tcPr>
          <w:p>
            <w:pPr>
              <w:pStyle w:val="0"/>
              <w:jc w:val="center"/>
            </w:pPr>
            <w:r>
              <w:rPr>
                <w:sz w:val="20"/>
              </w:rPr>
              <w:t xml:space="preserve">70235</w:t>
            </w:r>
          </w:p>
        </w:tc>
        <w:tc>
          <w:tcPr>
            <w:tcW w:w="803" w:type="dxa"/>
          </w:tcPr>
          <w:p>
            <w:pPr>
              <w:pStyle w:val="0"/>
              <w:jc w:val="center"/>
            </w:pPr>
            <w:r>
              <w:rPr>
                <w:sz w:val="20"/>
              </w:rPr>
              <w:t xml:space="preserve">70568</w:t>
            </w:r>
          </w:p>
        </w:tc>
        <w:tc>
          <w:tcPr>
            <w:tcW w:w="803" w:type="dxa"/>
          </w:tcPr>
          <w:p>
            <w:pPr>
              <w:pStyle w:val="0"/>
              <w:jc w:val="center"/>
            </w:pPr>
            <w:r>
              <w:rPr>
                <w:sz w:val="20"/>
              </w:rPr>
              <w:t xml:space="preserve">70980</w:t>
            </w:r>
          </w:p>
        </w:tc>
        <w:tc>
          <w:tcPr>
            <w:tcW w:w="803" w:type="dxa"/>
          </w:tcPr>
          <w:p>
            <w:pPr>
              <w:pStyle w:val="0"/>
              <w:jc w:val="center"/>
            </w:pPr>
            <w:r>
              <w:rPr>
                <w:sz w:val="20"/>
              </w:rPr>
              <w:t xml:space="preserve">71265</w:t>
            </w:r>
          </w:p>
        </w:tc>
        <w:tc>
          <w:tcPr>
            <w:tcW w:w="804" w:type="dxa"/>
          </w:tcPr>
          <w:p>
            <w:pPr>
              <w:pStyle w:val="0"/>
              <w:jc w:val="center"/>
            </w:pPr>
            <w:r>
              <w:rPr>
                <w:sz w:val="20"/>
              </w:rPr>
              <w:t xml:space="preserve">71495</w:t>
            </w:r>
          </w:p>
        </w:tc>
      </w:tr>
      <w:tr>
        <w:tc>
          <w:tcPr>
            <w:tcW w:w="2948" w:type="dxa"/>
          </w:tcPr>
          <w:p>
            <w:pPr>
              <w:pStyle w:val="0"/>
            </w:pPr>
            <w:r>
              <w:rPr>
                <w:sz w:val="20"/>
              </w:rPr>
              <w:t xml:space="preserve">B: Рыболовство, рыбоводство</w:t>
            </w:r>
          </w:p>
        </w:tc>
        <w:tc>
          <w:tcPr>
            <w:tcW w:w="803" w:type="dxa"/>
          </w:tcPr>
          <w:p>
            <w:pPr>
              <w:pStyle w:val="0"/>
              <w:jc w:val="center"/>
            </w:pPr>
            <w:r>
              <w:rPr>
                <w:sz w:val="20"/>
              </w:rPr>
              <w:t xml:space="preserve">336</w:t>
            </w:r>
          </w:p>
        </w:tc>
        <w:tc>
          <w:tcPr>
            <w:tcW w:w="803" w:type="dxa"/>
          </w:tcPr>
          <w:p>
            <w:pPr>
              <w:pStyle w:val="0"/>
              <w:jc w:val="center"/>
            </w:pPr>
            <w:r>
              <w:rPr>
                <w:sz w:val="20"/>
              </w:rPr>
              <w:t xml:space="preserve">325</w:t>
            </w:r>
          </w:p>
        </w:tc>
        <w:tc>
          <w:tcPr>
            <w:tcW w:w="803" w:type="dxa"/>
          </w:tcPr>
          <w:p>
            <w:pPr>
              <w:pStyle w:val="0"/>
              <w:jc w:val="center"/>
            </w:pPr>
            <w:r>
              <w:rPr>
                <w:sz w:val="20"/>
              </w:rPr>
              <w:t xml:space="preserve">314</w:t>
            </w:r>
          </w:p>
        </w:tc>
        <w:tc>
          <w:tcPr>
            <w:tcW w:w="804" w:type="dxa"/>
          </w:tcPr>
          <w:p>
            <w:pPr>
              <w:pStyle w:val="0"/>
              <w:jc w:val="center"/>
            </w:pPr>
            <w:r>
              <w:rPr>
                <w:sz w:val="20"/>
              </w:rPr>
              <w:t xml:space="preserve">302</w:t>
            </w:r>
          </w:p>
        </w:tc>
        <w:tc>
          <w:tcPr>
            <w:tcW w:w="803" w:type="dxa"/>
          </w:tcPr>
          <w:p>
            <w:pPr>
              <w:pStyle w:val="0"/>
              <w:jc w:val="center"/>
            </w:pPr>
            <w:r>
              <w:rPr>
                <w:sz w:val="20"/>
              </w:rPr>
              <w:t xml:space="preserve">298</w:t>
            </w:r>
          </w:p>
        </w:tc>
        <w:tc>
          <w:tcPr>
            <w:tcW w:w="803" w:type="dxa"/>
          </w:tcPr>
          <w:p>
            <w:pPr>
              <w:pStyle w:val="0"/>
              <w:jc w:val="center"/>
            </w:pPr>
            <w:r>
              <w:rPr>
                <w:sz w:val="20"/>
              </w:rPr>
              <w:t xml:space="preserve">290</w:t>
            </w:r>
          </w:p>
        </w:tc>
        <w:tc>
          <w:tcPr>
            <w:tcW w:w="803" w:type="dxa"/>
          </w:tcPr>
          <w:p>
            <w:pPr>
              <w:pStyle w:val="0"/>
              <w:jc w:val="center"/>
            </w:pPr>
            <w:r>
              <w:rPr>
                <w:sz w:val="20"/>
              </w:rPr>
              <w:t xml:space="preserve">285</w:t>
            </w:r>
          </w:p>
        </w:tc>
        <w:tc>
          <w:tcPr>
            <w:tcW w:w="804" w:type="dxa"/>
          </w:tcPr>
          <w:p>
            <w:pPr>
              <w:pStyle w:val="0"/>
              <w:jc w:val="center"/>
            </w:pPr>
            <w:r>
              <w:rPr>
                <w:sz w:val="20"/>
              </w:rPr>
              <w:t xml:space="preserve">277</w:t>
            </w:r>
          </w:p>
        </w:tc>
        <w:tc>
          <w:tcPr>
            <w:tcW w:w="803" w:type="dxa"/>
          </w:tcPr>
          <w:p>
            <w:pPr>
              <w:pStyle w:val="0"/>
              <w:jc w:val="center"/>
            </w:pPr>
            <w:r>
              <w:rPr>
                <w:sz w:val="20"/>
              </w:rPr>
              <w:t xml:space="preserve">272</w:t>
            </w:r>
          </w:p>
        </w:tc>
        <w:tc>
          <w:tcPr>
            <w:tcW w:w="803" w:type="dxa"/>
          </w:tcPr>
          <w:p>
            <w:pPr>
              <w:pStyle w:val="0"/>
              <w:jc w:val="center"/>
            </w:pPr>
            <w:r>
              <w:rPr>
                <w:sz w:val="20"/>
              </w:rPr>
              <w:t xml:space="preserve">267</w:t>
            </w:r>
          </w:p>
        </w:tc>
        <w:tc>
          <w:tcPr>
            <w:tcW w:w="803" w:type="dxa"/>
          </w:tcPr>
          <w:p>
            <w:pPr>
              <w:pStyle w:val="0"/>
              <w:jc w:val="center"/>
            </w:pPr>
            <w:r>
              <w:rPr>
                <w:sz w:val="20"/>
              </w:rPr>
              <w:t xml:space="preserve">262</w:t>
            </w:r>
          </w:p>
        </w:tc>
        <w:tc>
          <w:tcPr>
            <w:tcW w:w="804" w:type="dxa"/>
          </w:tcPr>
          <w:p>
            <w:pPr>
              <w:pStyle w:val="0"/>
              <w:jc w:val="center"/>
            </w:pPr>
            <w:r>
              <w:rPr>
                <w:sz w:val="20"/>
              </w:rPr>
              <w:t xml:space="preserve">254</w:t>
            </w:r>
          </w:p>
        </w:tc>
      </w:tr>
      <w:tr>
        <w:tc>
          <w:tcPr>
            <w:tcW w:w="2948" w:type="dxa"/>
          </w:tcPr>
          <w:p>
            <w:pPr>
              <w:pStyle w:val="0"/>
            </w:pPr>
            <w:r>
              <w:rPr>
                <w:sz w:val="20"/>
              </w:rPr>
              <w:t xml:space="preserve">C: Добыча полезных ископаемых</w:t>
            </w:r>
          </w:p>
        </w:tc>
        <w:tc>
          <w:tcPr>
            <w:tcW w:w="803" w:type="dxa"/>
          </w:tcPr>
          <w:p>
            <w:pPr>
              <w:pStyle w:val="0"/>
              <w:jc w:val="center"/>
            </w:pPr>
            <w:r>
              <w:rPr>
                <w:sz w:val="20"/>
              </w:rPr>
              <w:t xml:space="preserve">9823</w:t>
            </w:r>
          </w:p>
        </w:tc>
        <w:tc>
          <w:tcPr>
            <w:tcW w:w="803" w:type="dxa"/>
          </w:tcPr>
          <w:p>
            <w:pPr>
              <w:pStyle w:val="0"/>
              <w:jc w:val="center"/>
            </w:pPr>
            <w:r>
              <w:rPr>
                <w:sz w:val="20"/>
              </w:rPr>
              <w:t xml:space="preserve">9759</w:t>
            </w:r>
          </w:p>
        </w:tc>
        <w:tc>
          <w:tcPr>
            <w:tcW w:w="803" w:type="dxa"/>
          </w:tcPr>
          <w:p>
            <w:pPr>
              <w:pStyle w:val="0"/>
              <w:jc w:val="center"/>
            </w:pPr>
            <w:r>
              <w:rPr>
                <w:sz w:val="20"/>
              </w:rPr>
              <w:t xml:space="preserve">9735</w:t>
            </w:r>
          </w:p>
        </w:tc>
        <w:tc>
          <w:tcPr>
            <w:tcW w:w="804" w:type="dxa"/>
          </w:tcPr>
          <w:p>
            <w:pPr>
              <w:pStyle w:val="0"/>
              <w:jc w:val="center"/>
            </w:pPr>
            <w:r>
              <w:rPr>
                <w:sz w:val="20"/>
              </w:rPr>
              <w:t xml:space="preserve">9760</w:t>
            </w:r>
          </w:p>
        </w:tc>
        <w:tc>
          <w:tcPr>
            <w:tcW w:w="803" w:type="dxa"/>
          </w:tcPr>
          <w:p>
            <w:pPr>
              <w:pStyle w:val="0"/>
              <w:jc w:val="center"/>
            </w:pPr>
            <w:r>
              <w:rPr>
                <w:sz w:val="20"/>
              </w:rPr>
              <w:t xml:space="preserve">9808</w:t>
            </w:r>
          </w:p>
        </w:tc>
        <w:tc>
          <w:tcPr>
            <w:tcW w:w="803" w:type="dxa"/>
          </w:tcPr>
          <w:p>
            <w:pPr>
              <w:pStyle w:val="0"/>
              <w:jc w:val="center"/>
            </w:pPr>
            <w:r>
              <w:rPr>
                <w:sz w:val="20"/>
              </w:rPr>
              <w:t xml:space="preserve">9878</w:t>
            </w:r>
          </w:p>
        </w:tc>
        <w:tc>
          <w:tcPr>
            <w:tcW w:w="803" w:type="dxa"/>
          </w:tcPr>
          <w:p>
            <w:pPr>
              <w:pStyle w:val="0"/>
              <w:jc w:val="center"/>
            </w:pPr>
            <w:r>
              <w:rPr>
                <w:sz w:val="20"/>
              </w:rPr>
              <w:t xml:space="preserve">9960</w:t>
            </w:r>
          </w:p>
        </w:tc>
        <w:tc>
          <w:tcPr>
            <w:tcW w:w="804" w:type="dxa"/>
          </w:tcPr>
          <w:p>
            <w:pPr>
              <w:pStyle w:val="0"/>
              <w:jc w:val="center"/>
            </w:pPr>
            <w:r>
              <w:rPr>
                <w:sz w:val="20"/>
              </w:rPr>
              <w:t xml:space="preserve">10053</w:t>
            </w:r>
          </w:p>
        </w:tc>
        <w:tc>
          <w:tcPr>
            <w:tcW w:w="803" w:type="dxa"/>
          </w:tcPr>
          <w:p>
            <w:pPr>
              <w:pStyle w:val="0"/>
              <w:jc w:val="center"/>
            </w:pPr>
            <w:r>
              <w:rPr>
                <w:sz w:val="20"/>
              </w:rPr>
              <w:t xml:space="preserve">10162</w:t>
            </w:r>
          </w:p>
        </w:tc>
        <w:tc>
          <w:tcPr>
            <w:tcW w:w="803" w:type="dxa"/>
          </w:tcPr>
          <w:p>
            <w:pPr>
              <w:pStyle w:val="0"/>
              <w:jc w:val="center"/>
            </w:pPr>
            <w:r>
              <w:rPr>
                <w:sz w:val="20"/>
              </w:rPr>
              <w:t xml:space="preserve">10293</w:t>
            </w:r>
          </w:p>
        </w:tc>
        <w:tc>
          <w:tcPr>
            <w:tcW w:w="803" w:type="dxa"/>
          </w:tcPr>
          <w:p>
            <w:pPr>
              <w:pStyle w:val="0"/>
              <w:jc w:val="center"/>
            </w:pPr>
            <w:r>
              <w:rPr>
                <w:sz w:val="20"/>
              </w:rPr>
              <w:t xml:space="preserve">10406</w:t>
            </w:r>
          </w:p>
        </w:tc>
        <w:tc>
          <w:tcPr>
            <w:tcW w:w="804" w:type="dxa"/>
          </w:tcPr>
          <w:p>
            <w:pPr>
              <w:pStyle w:val="0"/>
              <w:jc w:val="center"/>
            </w:pPr>
            <w:r>
              <w:rPr>
                <w:sz w:val="20"/>
              </w:rPr>
              <w:t xml:space="preserve">10519</w:t>
            </w:r>
          </w:p>
        </w:tc>
      </w:tr>
      <w:tr>
        <w:tc>
          <w:tcPr>
            <w:tcW w:w="2948" w:type="dxa"/>
          </w:tcPr>
          <w:p>
            <w:pPr>
              <w:pStyle w:val="0"/>
            </w:pPr>
            <w:r>
              <w:rPr>
                <w:sz w:val="20"/>
              </w:rPr>
              <w:t xml:space="preserve">D: Обрабатывающие производства</w:t>
            </w:r>
          </w:p>
        </w:tc>
        <w:tc>
          <w:tcPr>
            <w:tcW w:w="803" w:type="dxa"/>
          </w:tcPr>
          <w:p>
            <w:pPr>
              <w:pStyle w:val="0"/>
              <w:jc w:val="center"/>
            </w:pPr>
            <w:r>
              <w:rPr>
                <w:sz w:val="20"/>
              </w:rPr>
              <w:t xml:space="preserve">71139</w:t>
            </w:r>
          </w:p>
        </w:tc>
        <w:tc>
          <w:tcPr>
            <w:tcW w:w="803" w:type="dxa"/>
          </w:tcPr>
          <w:p>
            <w:pPr>
              <w:pStyle w:val="0"/>
              <w:jc w:val="center"/>
            </w:pPr>
            <w:r>
              <w:rPr>
                <w:sz w:val="20"/>
              </w:rPr>
              <w:t xml:space="preserve">69923</w:t>
            </w:r>
          </w:p>
        </w:tc>
        <w:tc>
          <w:tcPr>
            <w:tcW w:w="803" w:type="dxa"/>
          </w:tcPr>
          <w:p>
            <w:pPr>
              <w:pStyle w:val="0"/>
              <w:jc w:val="center"/>
            </w:pPr>
            <w:r>
              <w:rPr>
                <w:sz w:val="20"/>
              </w:rPr>
              <w:t xml:space="preserve">68860</w:t>
            </w:r>
          </w:p>
        </w:tc>
        <w:tc>
          <w:tcPr>
            <w:tcW w:w="804" w:type="dxa"/>
          </w:tcPr>
          <w:p>
            <w:pPr>
              <w:pStyle w:val="0"/>
              <w:jc w:val="center"/>
            </w:pPr>
            <w:r>
              <w:rPr>
                <w:sz w:val="20"/>
              </w:rPr>
              <w:t xml:space="preserve">68028</w:t>
            </w:r>
          </w:p>
        </w:tc>
        <w:tc>
          <w:tcPr>
            <w:tcW w:w="803" w:type="dxa"/>
          </w:tcPr>
          <w:p>
            <w:pPr>
              <w:pStyle w:val="0"/>
              <w:jc w:val="center"/>
            </w:pPr>
            <w:r>
              <w:rPr>
                <w:sz w:val="20"/>
              </w:rPr>
              <w:t xml:space="preserve">67247</w:t>
            </w:r>
          </w:p>
        </w:tc>
        <w:tc>
          <w:tcPr>
            <w:tcW w:w="803" w:type="dxa"/>
          </w:tcPr>
          <w:p>
            <w:pPr>
              <w:pStyle w:val="0"/>
              <w:jc w:val="center"/>
            </w:pPr>
            <w:r>
              <w:rPr>
                <w:sz w:val="20"/>
              </w:rPr>
              <w:t xml:space="preserve">66836</w:t>
            </w:r>
          </w:p>
        </w:tc>
        <w:tc>
          <w:tcPr>
            <w:tcW w:w="803" w:type="dxa"/>
          </w:tcPr>
          <w:p>
            <w:pPr>
              <w:pStyle w:val="0"/>
              <w:jc w:val="center"/>
            </w:pPr>
            <w:r>
              <w:rPr>
                <w:sz w:val="20"/>
              </w:rPr>
              <w:t xml:space="preserve">66417</w:t>
            </w:r>
          </w:p>
        </w:tc>
        <w:tc>
          <w:tcPr>
            <w:tcW w:w="804" w:type="dxa"/>
          </w:tcPr>
          <w:p>
            <w:pPr>
              <w:pStyle w:val="0"/>
              <w:jc w:val="center"/>
            </w:pPr>
            <w:r>
              <w:rPr>
                <w:sz w:val="20"/>
              </w:rPr>
              <w:t xml:space="preserve">66199</w:t>
            </w:r>
          </w:p>
        </w:tc>
        <w:tc>
          <w:tcPr>
            <w:tcW w:w="803" w:type="dxa"/>
          </w:tcPr>
          <w:p>
            <w:pPr>
              <w:pStyle w:val="0"/>
              <w:jc w:val="center"/>
            </w:pPr>
            <w:r>
              <w:rPr>
                <w:sz w:val="20"/>
              </w:rPr>
              <w:t xml:space="preserve">65989</w:t>
            </w:r>
          </w:p>
        </w:tc>
        <w:tc>
          <w:tcPr>
            <w:tcW w:w="803" w:type="dxa"/>
          </w:tcPr>
          <w:p>
            <w:pPr>
              <w:pStyle w:val="0"/>
              <w:jc w:val="center"/>
            </w:pPr>
            <w:r>
              <w:rPr>
                <w:sz w:val="20"/>
              </w:rPr>
              <w:t xml:space="preserve">65902</w:t>
            </w:r>
          </w:p>
        </w:tc>
        <w:tc>
          <w:tcPr>
            <w:tcW w:w="803" w:type="dxa"/>
          </w:tcPr>
          <w:p>
            <w:pPr>
              <w:pStyle w:val="0"/>
              <w:jc w:val="center"/>
            </w:pPr>
            <w:r>
              <w:rPr>
                <w:sz w:val="20"/>
              </w:rPr>
              <w:t xml:space="preserve">65885</w:t>
            </w:r>
          </w:p>
        </w:tc>
        <w:tc>
          <w:tcPr>
            <w:tcW w:w="804" w:type="dxa"/>
          </w:tcPr>
          <w:p>
            <w:pPr>
              <w:pStyle w:val="0"/>
              <w:jc w:val="center"/>
            </w:pPr>
            <w:r>
              <w:rPr>
                <w:sz w:val="20"/>
              </w:rPr>
              <w:t xml:space="preserve">65840</w:t>
            </w:r>
          </w:p>
        </w:tc>
      </w:tr>
      <w:tr>
        <w:tc>
          <w:tcPr>
            <w:tcW w:w="2948" w:type="dxa"/>
          </w:tcPr>
          <w:p>
            <w:pPr>
              <w:pStyle w:val="0"/>
            </w:pPr>
            <w:r>
              <w:rPr>
                <w:sz w:val="20"/>
              </w:rPr>
              <w:t xml:space="preserve">E: Производство и распределение электроэнергии, газа и воды</w:t>
            </w:r>
          </w:p>
        </w:tc>
        <w:tc>
          <w:tcPr>
            <w:tcW w:w="803" w:type="dxa"/>
          </w:tcPr>
          <w:p>
            <w:pPr>
              <w:pStyle w:val="0"/>
              <w:jc w:val="center"/>
            </w:pPr>
            <w:r>
              <w:rPr>
                <w:sz w:val="20"/>
              </w:rPr>
              <w:t xml:space="preserve">18635</w:t>
            </w:r>
          </w:p>
        </w:tc>
        <w:tc>
          <w:tcPr>
            <w:tcW w:w="803" w:type="dxa"/>
          </w:tcPr>
          <w:p>
            <w:pPr>
              <w:pStyle w:val="0"/>
              <w:jc w:val="center"/>
            </w:pPr>
            <w:r>
              <w:rPr>
                <w:sz w:val="20"/>
              </w:rPr>
              <w:t xml:space="preserve">18141</w:t>
            </w:r>
          </w:p>
        </w:tc>
        <w:tc>
          <w:tcPr>
            <w:tcW w:w="803" w:type="dxa"/>
          </w:tcPr>
          <w:p>
            <w:pPr>
              <w:pStyle w:val="0"/>
              <w:jc w:val="center"/>
            </w:pPr>
            <w:r>
              <w:rPr>
                <w:sz w:val="20"/>
              </w:rPr>
              <w:t xml:space="preserve">17813</w:t>
            </w:r>
          </w:p>
        </w:tc>
        <w:tc>
          <w:tcPr>
            <w:tcW w:w="804" w:type="dxa"/>
          </w:tcPr>
          <w:p>
            <w:pPr>
              <w:pStyle w:val="0"/>
              <w:jc w:val="center"/>
            </w:pPr>
            <w:r>
              <w:rPr>
                <w:sz w:val="20"/>
              </w:rPr>
              <w:t xml:space="preserve">17649</w:t>
            </w:r>
          </w:p>
        </w:tc>
        <w:tc>
          <w:tcPr>
            <w:tcW w:w="803" w:type="dxa"/>
          </w:tcPr>
          <w:p>
            <w:pPr>
              <w:pStyle w:val="0"/>
              <w:jc w:val="center"/>
            </w:pPr>
            <w:r>
              <w:rPr>
                <w:sz w:val="20"/>
              </w:rPr>
              <w:t xml:space="preserve">17595</w:t>
            </w:r>
          </w:p>
        </w:tc>
        <w:tc>
          <w:tcPr>
            <w:tcW w:w="803" w:type="dxa"/>
          </w:tcPr>
          <w:p>
            <w:pPr>
              <w:pStyle w:val="0"/>
              <w:jc w:val="center"/>
            </w:pPr>
            <w:r>
              <w:rPr>
                <w:sz w:val="20"/>
              </w:rPr>
              <w:t xml:space="preserve">17646</w:t>
            </w:r>
          </w:p>
        </w:tc>
        <w:tc>
          <w:tcPr>
            <w:tcW w:w="803" w:type="dxa"/>
          </w:tcPr>
          <w:p>
            <w:pPr>
              <w:pStyle w:val="0"/>
              <w:jc w:val="center"/>
            </w:pPr>
            <w:r>
              <w:rPr>
                <w:sz w:val="20"/>
              </w:rPr>
              <w:t xml:space="preserve">17719</w:t>
            </w:r>
          </w:p>
        </w:tc>
        <w:tc>
          <w:tcPr>
            <w:tcW w:w="804" w:type="dxa"/>
          </w:tcPr>
          <w:p>
            <w:pPr>
              <w:pStyle w:val="0"/>
              <w:jc w:val="center"/>
            </w:pPr>
            <w:r>
              <w:rPr>
                <w:sz w:val="20"/>
              </w:rPr>
              <w:t xml:space="preserve">17841</w:t>
            </w:r>
          </w:p>
        </w:tc>
        <w:tc>
          <w:tcPr>
            <w:tcW w:w="803" w:type="dxa"/>
          </w:tcPr>
          <w:p>
            <w:pPr>
              <w:pStyle w:val="0"/>
              <w:jc w:val="center"/>
            </w:pPr>
            <w:r>
              <w:rPr>
                <w:sz w:val="20"/>
              </w:rPr>
              <w:t xml:space="preserve">17981</w:t>
            </w:r>
          </w:p>
        </w:tc>
        <w:tc>
          <w:tcPr>
            <w:tcW w:w="803" w:type="dxa"/>
          </w:tcPr>
          <w:p>
            <w:pPr>
              <w:pStyle w:val="0"/>
              <w:jc w:val="center"/>
            </w:pPr>
            <w:r>
              <w:rPr>
                <w:sz w:val="20"/>
              </w:rPr>
              <w:t xml:space="preserve">18135</w:t>
            </w:r>
          </w:p>
        </w:tc>
        <w:tc>
          <w:tcPr>
            <w:tcW w:w="803" w:type="dxa"/>
          </w:tcPr>
          <w:p>
            <w:pPr>
              <w:pStyle w:val="0"/>
              <w:jc w:val="center"/>
            </w:pPr>
            <w:r>
              <w:rPr>
                <w:sz w:val="20"/>
              </w:rPr>
              <w:t xml:space="preserve">18292</w:t>
            </w:r>
          </w:p>
        </w:tc>
        <w:tc>
          <w:tcPr>
            <w:tcW w:w="804" w:type="dxa"/>
          </w:tcPr>
          <w:p>
            <w:pPr>
              <w:pStyle w:val="0"/>
              <w:jc w:val="center"/>
            </w:pPr>
            <w:r>
              <w:rPr>
                <w:sz w:val="20"/>
              </w:rPr>
              <w:t xml:space="preserve">18440</w:t>
            </w:r>
          </w:p>
        </w:tc>
      </w:tr>
      <w:tr>
        <w:tc>
          <w:tcPr>
            <w:tcW w:w="2948" w:type="dxa"/>
          </w:tcPr>
          <w:p>
            <w:pPr>
              <w:pStyle w:val="0"/>
            </w:pPr>
            <w:r>
              <w:rPr>
                <w:sz w:val="20"/>
              </w:rPr>
              <w:t xml:space="preserve">F: Строительство</w:t>
            </w:r>
          </w:p>
        </w:tc>
        <w:tc>
          <w:tcPr>
            <w:tcW w:w="803" w:type="dxa"/>
          </w:tcPr>
          <w:p>
            <w:pPr>
              <w:pStyle w:val="0"/>
              <w:jc w:val="center"/>
            </w:pPr>
            <w:r>
              <w:rPr>
                <w:sz w:val="20"/>
              </w:rPr>
              <w:t xml:space="preserve">31402</w:t>
            </w:r>
          </w:p>
        </w:tc>
        <w:tc>
          <w:tcPr>
            <w:tcW w:w="803" w:type="dxa"/>
          </w:tcPr>
          <w:p>
            <w:pPr>
              <w:pStyle w:val="0"/>
              <w:jc w:val="center"/>
            </w:pPr>
            <w:r>
              <w:rPr>
                <w:sz w:val="20"/>
              </w:rPr>
              <w:t xml:space="preserve">30375</w:t>
            </w:r>
          </w:p>
        </w:tc>
        <w:tc>
          <w:tcPr>
            <w:tcW w:w="803" w:type="dxa"/>
          </w:tcPr>
          <w:p>
            <w:pPr>
              <w:pStyle w:val="0"/>
              <w:jc w:val="center"/>
            </w:pPr>
            <w:r>
              <w:rPr>
                <w:sz w:val="20"/>
              </w:rPr>
              <w:t xml:space="preserve">29599</w:t>
            </w:r>
          </w:p>
        </w:tc>
        <w:tc>
          <w:tcPr>
            <w:tcW w:w="804" w:type="dxa"/>
          </w:tcPr>
          <w:p>
            <w:pPr>
              <w:pStyle w:val="0"/>
              <w:jc w:val="center"/>
            </w:pPr>
            <w:r>
              <w:rPr>
                <w:sz w:val="20"/>
              </w:rPr>
              <w:t xml:space="preserve">29017</w:t>
            </w:r>
          </w:p>
        </w:tc>
        <w:tc>
          <w:tcPr>
            <w:tcW w:w="803" w:type="dxa"/>
          </w:tcPr>
          <w:p>
            <w:pPr>
              <w:pStyle w:val="0"/>
              <w:jc w:val="center"/>
            </w:pPr>
            <w:r>
              <w:rPr>
                <w:sz w:val="20"/>
              </w:rPr>
              <w:t xml:space="preserve">28567</w:t>
            </w:r>
          </w:p>
        </w:tc>
        <w:tc>
          <w:tcPr>
            <w:tcW w:w="803" w:type="dxa"/>
          </w:tcPr>
          <w:p>
            <w:pPr>
              <w:pStyle w:val="0"/>
              <w:jc w:val="center"/>
            </w:pPr>
            <w:r>
              <w:rPr>
                <w:sz w:val="20"/>
              </w:rPr>
              <w:t xml:space="preserve">28270</w:t>
            </w:r>
          </w:p>
        </w:tc>
        <w:tc>
          <w:tcPr>
            <w:tcW w:w="803" w:type="dxa"/>
          </w:tcPr>
          <w:p>
            <w:pPr>
              <w:pStyle w:val="0"/>
              <w:jc w:val="center"/>
            </w:pPr>
            <w:r>
              <w:rPr>
                <w:sz w:val="20"/>
              </w:rPr>
              <w:t xml:space="preserve">28037</w:t>
            </w:r>
          </w:p>
        </w:tc>
        <w:tc>
          <w:tcPr>
            <w:tcW w:w="804" w:type="dxa"/>
          </w:tcPr>
          <w:p>
            <w:pPr>
              <w:pStyle w:val="0"/>
              <w:jc w:val="center"/>
            </w:pPr>
            <w:r>
              <w:rPr>
                <w:sz w:val="20"/>
              </w:rPr>
              <w:t xml:space="preserve">27884</w:t>
            </w:r>
          </w:p>
        </w:tc>
        <w:tc>
          <w:tcPr>
            <w:tcW w:w="803" w:type="dxa"/>
          </w:tcPr>
          <w:p>
            <w:pPr>
              <w:pStyle w:val="0"/>
              <w:jc w:val="center"/>
            </w:pPr>
            <w:r>
              <w:rPr>
                <w:sz w:val="20"/>
              </w:rPr>
              <w:t xml:space="preserve">27763</w:t>
            </w:r>
          </w:p>
        </w:tc>
        <w:tc>
          <w:tcPr>
            <w:tcW w:w="803" w:type="dxa"/>
          </w:tcPr>
          <w:p>
            <w:pPr>
              <w:pStyle w:val="0"/>
              <w:jc w:val="center"/>
            </w:pPr>
            <w:r>
              <w:rPr>
                <w:sz w:val="20"/>
              </w:rPr>
              <w:t xml:space="preserve">27703</w:t>
            </w:r>
          </w:p>
        </w:tc>
        <w:tc>
          <w:tcPr>
            <w:tcW w:w="803" w:type="dxa"/>
          </w:tcPr>
          <w:p>
            <w:pPr>
              <w:pStyle w:val="0"/>
              <w:jc w:val="center"/>
            </w:pPr>
            <w:r>
              <w:rPr>
                <w:sz w:val="20"/>
              </w:rPr>
              <w:t xml:space="preserve">27631</w:t>
            </w:r>
          </w:p>
        </w:tc>
        <w:tc>
          <w:tcPr>
            <w:tcW w:w="804" w:type="dxa"/>
          </w:tcPr>
          <w:p>
            <w:pPr>
              <w:pStyle w:val="0"/>
              <w:jc w:val="center"/>
            </w:pPr>
            <w:r>
              <w:rPr>
                <w:sz w:val="20"/>
              </w:rPr>
              <w:t xml:space="preserve">27587</w:t>
            </w:r>
          </w:p>
        </w:tc>
      </w:tr>
      <w:tr>
        <w:tc>
          <w:tcPr>
            <w:tcW w:w="2948" w:type="dxa"/>
          </w:tcPr>
          <w:p>
            <w:pPr>
              <w:pStyle w:val="0"/>
            </w:pPr>
            <w:r>
              <w:rPr>
                <w:sz w:val="20"/>
              </w:rPr>
              <w:t xml:space="preserve">G: Оптовая и розничная торговля; ремонт автотранспортных средств, мотоциклов, бытовых изделий и предметов личного пользования</w:t>
            </w:r>
          </w:p>
        </w:tc>
        <w:tc>
          <w:tcPr>
            <w:tcW w:w="803" w:type="dxa"/>
          </w:tcPr>
          <w:p>
            <w:pPr>
              <w:pStyle w:val="0"/>
              <w:jc w:val="center"/>
            </w:pPr>
            <w:r>
              <w:rPr>
                <w:sz w:val="20"/>
              </w:rPr>
              <w:t xml:space="preserve">99391</w:t>
            </w:r>
          </w:p>
        </w:tc>
        <w:tc>
          <w:tcPr>
            <w:tcW w:w="803" w:type="dxa"/>
          </w:tcPr>
          <w:p>
            <w:pPr>
              <w:pStyle w:val="0"/>
              <w:jc w:val="center"/>
            </w:pPr>
            <w:r>
              <w:rPr>
                <w:sz w:val="20"/>
              </w:rPr>
              <w:t xml:space="preserve">95670</w:t>
            </w:r>
          </w:p>
        </w:tc>
        <w:tc>
          <w:tcPr>
            <w:tcW w:w="803" w:type="dxa"/>
          </w:tcPr>
          <w:p>
            <w:pPr>
              <w:pStyle w:val="0"/>
              <w:jc w:val="center"/>
            </w:pPr>
            <w:r>
              <w:rPr>
                <w:sz w:val="20"/>
              </w:rPr>
              <w:t xml:space="preserve">92701</w:t>
            </w:r>
          </w:p>
        </w:tc>
        <w:tc>
          <w:tcPr>
            <w:tcW w:w="804" w:type="dxa"/>
          </w:tcPr>
          <w:p>
            <w:pPr>
              <w:pStyle w:val="0"/>
              <w:jc w:val="center"/>
            </w:pPr>
            <w:r>
              <w:rPr>
                <w:sz w:val="20"/>
              </w:rPr>
              <w:t xml:space="preserve">90520</w:t>
            </w:r>
          </w:p>
        </w:tc>
        <w:tc>
          <w:tcPr>
            <w:tcW w:w="803" w:type="dxa"/>
          </w:tcPr>
          <w:p>
            <w:pPr>
              <w:pStyle w:val="0"/>
              <w:jc w:val="center"/>
            </w:pPr>
            <w:r>
              <w:rPr>
                <w:sz w:val="20"/>
              </w:rPr>
              <w:t xml:space="preserve">88512</w:t>
            </w:r>
          </w:p>
        </w:tc>
        <w:tc>
          <w:tcPr>
            <w:tcW w:w="803" w:type="dxa"/>
          </w:tcPr>
          <w:p>
            <w:pPr>
              <w:pStyle w:val="0"/>
              <w:jc w:val="center"/>
            </w:pPr>
            <w:r>
              <w:rPr>
                <w:sz w:val="20"/>
              </w:rPr>
              <w:t xml:space="preserve">86805</w:t>
            </w:r>
          </w:p>
        </w:tc>
        <w:tc>
          <w:tcPr>
            <w:tcW w:w="803" w:type="dxa"/>
          </w:tcPr>
          <w:p>
            <w:pPr>
              <w:pStyle w:val="0"/>
              <w:jc w:val="center"/>
            </w:pPr>
            <w:r>
              <w:rPr>
                <w:sz w:val="20"/>
              </w:rPr>
              <w:t xml:space="preserve">85222</w:t>
            </w:r>
          </w:p>
        </w:tc>
        <w:tc>
          <w:tcPr>
            <w:tcW w:w="804" w:type="dxa"/>
          </w:tcPr>
          <w:p>
            <w:pPr>
              <w:pStyle w:val="0"/>
              <w:jc w:val="center"/>
            </w:pPr>
            <w:r>
              <w:rPr>
                <w:sz w:val="20"/>
              </w:rPr>
              <w:t xml:space="preserve">83685</w:t>
            </w:r>
          </w:p>
        </w:tc>
        <w:tc>
          <w:tcPr>
            <w:tcW w:w="803" w:type="dxa"/>
          </w:tcPr>
          <w:p>
            <w:pPr>
              <w:pStyle w:val="0"/>
              <w:jc w:val="center"/>
            </w:pPr>
            <w:r>
              <w:rPr>
                <w:sz w:val="20"/>
              </w:rPr>
              <w:t xml:space="preserve">82171</w:t>
            </w:r>
          </w:p>
        </w:tc>
        <w:tc>
          <w:tcPr>
            <w:tcW w:w="803" w:type="dxa"/>
          </w:tcPr>
          <w:p>
            <w:pPr>
              <w:pStyle w:val="0"/>
              <w:jc w:val="center"/>
            </w:pPr>
            <w:r>
              <w:rPr>
                <w:sz w:val="20"/>
              </w:rPr>
              <w:t xml:space="preserve">80757</w:t>
            </w:r>
          </w:p>
        </w:tc>
        <w:tc>
          <w:tcPr>
            <w:tcW w:w="803" w:type="dxa"/>
          </w:tcPr>
          <w:p>
            <w:pPr>
              <w:pStyle w:val="0"/>
              <w:jc w:val="center"/>
            </w:pPr>
            <w:r>
              <w:rPr>
                <w:sz w:val="20"/>
              </w:rPr>
              <w:t xml:space="preserve">79298</w:t>
            </w:r>
          </w:p>
        </w:tc>
        <w:tc>
          <w:tcPr>
            <w:tcW w:w="804" w:type="dxa"/>
          </w:tcPr>
          <w:p>
            <w:pPr>
              <w:pStyle w:val="0"/>
              <w:jc w:val="center"/>
            </w:pPr>
            <w:r>
              <w:rPr>
                <w:sz w:val="20"/>
              </w:rPr>
              <w:t xml:space="preserve">77845</w:t>
            </w:r>
          </w:p>
        </w:tc>
      </w:tr>
      <w:tr>
        <w:tc>
          <w:tcPr>
            <w:tcW w:w="2948" w:type="dxa"/>
          </w:tcPr>
          <w:p>
            <w:pPr>
              <w:pStyle w:val="0"/>
            </w:pPr>
            <w:r>
              <w:rPr>
                <w:sz w:val="20"/>
              </w:rPr>
              <w:t xml:space="preserve">H: Гостиницы и рестораны</w:t>
            </w:r>
          </w:p>
        </w:tc>
        <w:tc>
          <w:tcPr>
            <w:tcW w:w="803" w:type="dxa"/>
          </w:tcPr>
          <w:p>
            <w:pPr>
              <w:pStyle w:val="0"/>
              <w:jc w:val="center"/>
            </w:pPr>
            <w:r>
              <w:rPr>
                <w:sz w:val="20"/>
              </w:rPr>
              <w:t xml:space="preserve">7061</w:t>
            </w:r>
          </w:p>
        </w:tc>
        <w:tc>
          <w:tcPr>
            <w:tcW w:w="803" w:type="dxa"/>
          </w:tcPr>
          <w:p>
            <w:pPr>
              <w:pStyle w:val="0"/>
              <w:jc w:val="center"/>
            </w:pPr>
            <w:r>
              <w:rPr>
                <w:sz w:val="20"/>
              </w:rPr>
              <w:t xml:space="preserve">6910</w:t>
            </w:r>
          </w:p>
        </w:tc>
        <w:tc>
          <w:tcPr>
            <w:tcW w:w="803" w:type="dxa"/>
          </w:tcPr>
          <w:p>
            <w:pPr>
              <w:pStyle w:val="0"/>
              <w:jc w:val="center"/>
            </w:pPr>
            <w:r>
              <w:rPr>
                <w:sz w:val="20"/>
              </w:rPr>
              <w:t xml:space="preserve">6708</w:t>
            </w:r>
          </w:p>
        </w:tc>
        <w:tc>
          <w:tcPr>
            <w:tcW w:w="804" w:type="dxa"/>
          </w:tcPr>
          <w:p>
            <w:pPr>
              <w:pStyle w:val="0"/>
              <w:jc w:val="center"/>
            </w:pPr>
            <w:r>
              <w:rPr>
                <w:sz w:val="20"/>
              </w:rPr>
              <w:t xml:space="preserve">6506</w:t>
            </w:r>
          </w:p>
        </w:tc>
        <w:tc>
          <w:tcPr>
            <w:tcW w:w="803" w:type="dxa"/>
          </w:tcPr>
          <w:p>
            <w:pPr>
              <w:pStyle w:val="0"/>
              <w:jc w:val="center"/>
            </w:pPr>
            <w:r>
              <w:rPr>
                <w:sz w:val="20"/>
              </w:rPr>
              <w:t xml:space="preserve">6327</w:t>
            </w:r>
          </w:p>
        </w:tc>
        <w:tc>
          <w:tcPr>
            <w:tcW w:w="803" w:type="dxa"/>
          </w:tcPr>
          <w:p>
            <w:pPr>
              <w:pStyle w:val="0"/>
              <w:jc w:val="center"/>
            </w:pPr>
            <w:r>
              <w:rPr>
                <w:sz w:val="20"/>
              </w:rPr>
              <w:t xml:space="preserve">6153</w:t>
            </w:r>
          </w:p>
        </w:tc>
        <w:tc>
          <w:tcPr>
            <w:tcW w:w="803" w:type="dxa"/>
          </w:tcPr>
          <w:p>
            <w:pPr>
              <w:pStyle w:val="0"/>
              <w:jc w:val="center"/>
            </w:pPr>
            <w:r>
              <w:rPr>
                <w:sz w:val="20"/>
              </w:rPr>
              <w:t xml:space="preserve">5994</w:t>
            </w:r>
          </w:p>
        </w:tc>
        <w:tc>
          <w:tcPr>
            <w:tcW w:w="804" w:type="dxa"/>
          </w:tcPr>
          <w:p>
            <w:pPr>
              <w:pStyle w:val="0"/>
              <w:jc w:val="center"/>
            </w:pPr>
            <w:r>
              <w:rPr>
                <w:sz w:val="20"/>
              </w:rPr>
              <w:t xml:space="preserve">5836</w:t>
            </w:r>
          </w:p>
        </w:tc>
        <w:tc>
          <w:tcPr>
            <w:tcW w:w="803" w:type="dxa"/>
          </w:tcPr>
          <w:p>
            <w:pPr>
              <w:pStyle w:val="0"/>
              <w:jc w:val="center"/>
            </w:pPr>
            <w:r>
              <w:rPr>
                <w:sz w:val="20"/>
              </w:rPr>
              <w:t xml:space="preserve">5674</w:t>
            </w:r>
          </w:p>
        </w:tc>
        <w:tc>
          <w:tcPr>
            <w:tcW w:w="803" w:type="dxa"/>
          </w:tcPr>
          <w:p>
            <w:pPr>
              <w:pStyle w:val="0"/>
              <w:jc w:val="center"/>
            </w:pPr>
            <w:r>
              <w:rPr>
                <w:sz w:val="20"/>
              </w:rPr>
              <w:t xml:space="preserve">5521</w:t>
            </w:r>
          </w:p>
        </w:tc>
        <w:tc>
          <w:tcPr>
            <w:tcW w:w="803" w:type="dxa"/>
          </w:tcPr>
          <w:p>
            <w:pPr>
              <w:pStyle w:val="0"/>
              <w:jc w:val="center"/>
            </w:pPr>
            <w:r>
              <w:rPr>
                <w:sz w:val="20"/>
              </w:rPr>
              <w:t xml:space="preserve">5366</w:t>
            </w:r>
          </w:p>
        </w:tc>
        <w:tc>
          <w:tcPr>
            <w:tcW w:w="804" w:type="dxa"/>
          </w:tcPr>
          <w:p>
            <w:pPr>
              <w:pStyle w:val="0"/>
              <w:jc w:val="center"/>
            </w:pPr>
            <w:r>
              <w:rPr>
                <w:sz w:val="20"/>
              </w:rPr>
              <w:t xml:space="preserve">5209</w:t>
            </w:r>
          </w:p>
        </w:tc>
      </w:tr>
      <w:tr>
        <w:tc>
          <w:tcPr>
            <w:tcW w:w="2948" w:type="dxa"/>
          </w:tcPr>
          <w:p>
            <w:pPr>
              <w:pStyle w:val="0"/>
            </w:pPr>
            <w:r>
              <w:rPr>
                <w:sz w:val="20"/>
              </w:rPr>
              <w:t xml:space="preserve">I: Транспорт и связь</w:t>
            </w:r>
          </w:p>
        </w:tc>
        <w:tc>
          <w:tcPr>
            <w:tcW w:w="803" w:type="dxa"/>
          </w:tcPr>
          <w:p>
            <w:pPr>
              <w:pStyle w:val="0"/>
              <w:jc w:val="center"/>
            </w:pPr>
            <w:r>
              <w:rPr>
                <w:sz w:val="20"/>
              </w:rPr>
              <w:t xml:space="preserve">35622</w:t>
            </w:r>
          </w:p>
        </w:tc>
        <w:tc>
          <w:tcPr>
            <w:tcW w:w="803" w:type="dxa"/>
          </w:tcPr>
          <w:p>
            <w:pPr>
              <w:pStyle w:val="0"/>
              <w:jc w:val="center"/>
            </w:pPr>
            <w:r>
              <w:rPr>
                <w:sz w:val="20"/>
              </w:rPr>
              <w:t xml:space="preserve">35017</w:t>
            </w:r>
          </w:p>
        </w:tc>
        <w:tc>
          <w:tcPr>
            <w:tcW w:w="803" w:type="dxa"/>
          </w:tcPr>
          <w:p>
            <w:pPr>
              <w:pStyle w:val="0"/>
              <w:jc w:val="center"/>
            </w:pPr>
            <w:r>
              <w:rPr>
                <w:sz w:val="20"/>
              </w:rPr>
              <w:t xml:space="preserve">33461</w:t>
            </w:r>
          </w:p>
        </w:tc>
        <w:tc>
          <w:tcPr>
            <w:tcW w:w="804" w:type="dxa"/>
          </w:tcPr>
          <w:p>
            <w:pPr>
              <w:pStyle w:val="0"/>
              <w:jc w:val="center"/>
            </w:pPr>
            <w:r>
              <w:rPr>
                <w:sz w:val="20"/>
              </w:rPr>
              <w:t xml:space="preserve">32189</w:t>
            </w:r>
          </w:p>
        </w:tc>
        <w:tc>
          <w:tcPr>
            <w:tcW w:w="803" w:type="dxa"/>
          </w:tcPr>
          <w:p>
            <w:pPr>
              <w:pStyle w:val="0"/>
              <w:jc w:val="center"/>
            </w:pPr>
            <w:r>
              <w:rPr>
                <w:sz w:val="20"/>
              </w:rPr>
              <w:t xml:space="preserve">31391</w:t>
            </w:r>
          </w:p>
        </w:tc>
        <w:tc>
          <w:tcPr>
            <w:tcW w:w="803" w:type="dxa"/>
          </w:tcPr>
          <w:p>
            <w:pPr>
              <w:pStyle w:val="0"/>
              <w:jc w:val="center"/>
            </w:pPr>
            <w:r>
              <w:rPr>
                <w:sz w:val="20"/>
              </w:rPr>
              <w:t xml:space="preserve">31001</w:t>
            </w:r>
          </w:p>
        </w:tc>
        <w:tc>
          <w:tcPr>
            <w:tcW w:w="803" w:type="dxa"/>
          </w:tcPr>
          <w:p>
            <w:pPr>
              <w:pStyle w:val="0"/>
              <w:jc w:val="center"/>
            </w:pPr>
            <w:r>
              <w:rPr>
                <w:sz w:val="20"/>
              </w:rPr>
              <w:t xml:space="preserve">30820</w:t>
            </w:r>
          </w:p>
        </w:tc>
        <w:tc>
          <w:tcPr>
            <w:tcW w:w="804" w:type="dxa"/>
          </w:tcPr>
          <w:p>
            <w:pPr>
              <w:pStyle w:val="0"/>
              <w:jc w:val="center"/>
            </w:pPr>
            <w:r>
              <w:rPr>
                <w:sz w:val="20"/>
              </w:rPr>
              <w:t xml:space="preserve">30755</w:t>
            </w:r>
          </w:p>
        </w:tc>
        <w:tc>
          <w:tcPr>
            <w:tcW w:w="803" w:type="dxa"/>
          </w:tcPr>
          <w:p>
            <w:pPr>
              <w:pStyle w:val="0"/>
              <w:jc w:val="center"/>
            </w:pPr>
            <w:r>
              <w:rPr>
                <w:sz w:val="20"/>
              </w:rPr>
              <w:t xml:space="preserve">30740</w:t>
            </w:r>
          </w:p>
        </w:tc>
        <w:tc>
          <w:tcPr>
            <w:tcW w:w="803" w:type="dxa"/>
          </w:tcPr>
          <w:p>
            <w:pPr>
              <w:pStyle w:val="0"/>
              <w:jc w:val="center"/>
            </w:pPr>
            <w:r>
              <w:rPr>
                <w:sz w:val="20"/>
              </w:rPr>
              <w:t xml:space="preserve">30796</w:t>
            </w:r>
          </w:p>
        </w:tc>
        <w:tc>
          <w:tcPr>
            <w:tcW w:w="803" w:type="dxa"/>
          </w:tcPr>
          <w:p>
            <w:pPr>
              <w:pStyle w:val="0"/>
              <w:jc w:val="center"/>
            </w:pPr>
            <w:r>
              <w:rPr>
                <w:sz w:val="20"/>
              </w:rPr>
              <w:t xml:space="preserve">30888</w:t>
            </w:r>
          </w:p>
        </w:tc>
        <w:tc>
          <w:tcPr>
            <w:tcW w:w="804" w:type="dxa"/>
          </w:tcPr>
          <w:p>
            <w:pPr>
              <w:pStyle w:val="0"/>
              <w:jc w:val="center"/>
            </w:pPr>
            <w:r>
              <w:rPr>
                <w:sz w:val="20"/>
              </w:rPr>
              <w:t xml:space="preserve">30912</w:t>
            </w:r>
          </w:p>
        </w:tc>
      </w:tr>
      <w:tr>
        <w:tc>
          <w:tcPr>
            <w:tcW w:w="2948" w:type="dxa"/>
          </w:tcPr>
          <w:p>
            <w:pPr>
              <w:pStyle w:val="0"/>
            </w:pPr>
            <w:r>
              <w:rPr>
                <w:sz w:val="20"/>
              </w:rPr>
              <w:t xml:space="preserve">J: Финансовая деятельность</w:t>
            </w:r>
          </w:p>
        </w:tc>
        <w:tc>
          <w:tcPr>
            <w:tcW w:w="803" w:type="dxa"/>
          </w:tcPr>
          <w:p>
            <w:pPr>
              <w:pStyle w:val="0"/>
              <w:jc w:val="center"/>
            </w:pPr>
            <w:r>
              <w:rPr>
                <w:sz w:val="20"/>
              </w:rPr>
              <w:t xml:space="preserve">5442</w:t>
            </w:r>
          </w:p>
        </w:tc>
        <w:tc>
          <w:tcPr>
            <w:tcW w:w="803" w:type="dxa"/>
          </w:tcPr>
          <w:p>
            <w:pPr>
              <w:pStyle w:val="0"/>
              <w:jc w:val="center"/>
            </w:pPr>
            <w:r>
              <w:rPr>
                <w:sz w:val="20"/>
              </w:rPr>
              <w:t xml:space="preserve">5410</w:t>
            </w:r>
          </w:p>
        </w:tc>
        <w:tc>
          <w:tcPr>
            <w:tcW w:w="803" w:type="dxa"/>
          </w:tcPr>
          <w:p>
            <w:pPr>
              <w:pStyle w:val="0"/>
              <w:jc w:val="center"/>
            </w:pPr>
            <w:r>
              <w:rPr>
                <w:sz w:val="20"/>
              </w:rPr>
              <w:t xml:space="preserve">5370</w:t>
            </w:r>
          </w:p>
        </w:tc>
        <w:tc>
          <w:tcPr>
            <w:tcW w:w="804" w:type="dxa"/>
          </w:tcPr>
          <w:p>
            <w:pPr>
              <w:pStyle w:val="0"/>
              <w:jc w:val="center"/>
            </w:pPr>
            <w:r>
              <w:rPr>
                <w:sz w:val="20"/>
              </w:rPr>
              <w:t xml:space="preserve">5335</w:t>
            </w:r>
          </w:p>
        </w:tc>
        <w:tc>
          <w:tcPr>
            <w:tcW w:w="803" w:type="dxa"/>
          </w:tcPr>
          <w:p>
            <w:pPr>
              <w:pStyle w:val="0"/>
              <w:jc w:val="center"/>
            </w:pPr>
            <w:r>
              <w:rPr>
                <w:sz w:val="20"/>
              </w:rPr>
              <w:t xml:space="preserve">5299</w:t>
            </w:r>
          </w:p>
        </w:tc>
        <w:tc>
          <w:tcPr>
            <w:tcW w:w="803" w:type="dxa"/>
          </w:tcPr>
          <w:p>
            <w:pPr>
              <w:pStyle w:val="0"/>
              <w:jc w:val="center"/>
            </w:pPr>
            <w:r>
              <w:rPr>
                <w:sz w:val="20"/>
              </w:rPr>
              <w:t xml:space="preserve">5264</w:t>
            </w:r>
          </w:p>
        </w:tc>
        <w:tc>
          <w:tcPr>
            <w:tcW w:w="803" w:type="dxa"/>
          </w:tcPr>
          <w:p>
            <w:pPr>
              <w:pStyle w:val="0"/>
              <w:jc w:val="center"/>
            </w:pPr>
            <w:r>
              <w:rPr>
                <w:sz w:val="20"/>
              </w:rPr>
              <w:t xml:space="preserve">5226</w:t>
            </w:r>
          </w:p>
        </w:tc>
        <w:tc>
          <w:tcPr>
            <w:tcW w:w="804" w:type="dxa"/>
          </w:tcPr>
          <w:p>
            <w:pPr>
              <w:pStyle w:val="0"/>
              <w:jc w:val="center"/>
            </w:pPr>
            <w:r>
              <w:rPr>
                <w:sz w:val="20"/>
              </w:rPr>
              <w:t xml:space="preserve">5191</w:t>
            </w:r>
          </w:p>
        </w:tc>
        <w:tc>
          <w:tcPr>
            <w:tcW w:w="803" w:type="dxa"/>
          </w:tcPr>
          <w:p>
            <w:pPr>
              <w:pStyle w:val="0"/>
              <w:jc w:val="center"/>
            </w:pPr>
            <w:r>
              <w:rPr>
                <w:sz w:val="20"/>
              </w:rPr>
              <w:t xml:space="preserve">5160</w:t>
            </w:r>
          </w:p>
        </w:tc>
        <w:tc>
          <w:tcPr>
            <w:tcW w:w="803" w:type="dxa"/>
          </w:tcPr>
          <w:p>
            <w:pPr>
              <w:pStyle w:val="0"/>
              <w:jc w:val="center"/>
            </w:pPr>
            <w:r>
              <w:rPr>
                <w:sz w:val="20"/>
              </w:rPr>
              <w:t xml:space="preserve">5121</w:t>
            </w:r>
          </w:p>
        </w:tc>
        <w:tc>
          <w:tcPr>
            <w:tcW w:w="803" w:type="dxa"/>
          </w:tcPr>
          <w:p>
            <w:pPr>
              <w:pStyle w:val="0"/>
              <w:jc w:val="center"/>
            </w:pPr>
            <w:r>
              <w:rPr>
                <w:sz w:val="20"/>
              </w:rPr>
              <w:t xml:space="preserve">5087</w:t>
            </w:r>
          </w:p>
        </w:tc>
        <w:tc>
          <w:tcPr>
            <w:tcW w:w="804" w:type="dxa"/>
          </w:tcPr>
          <w:p>
            <w:pPr>
              <w:pStyle w:val="0"/>
              <w:jc w:val="center"/>
            </w:pPr>
            <w:r>
              <w:rPr>
                <w:sz w:val="20"/>
              </w:rPr>
              <w:t xml:space="preserve">5053</w:t>
            </w:r>
          </w:p>
        </w:tc>
      </w:tr>
      <w:tr>
        <w:tc>
          <w:tcPr>
            <w:tcW w:w="2948" w:type="dxa"/>
          </w:tcPr>
          <w:p>
            <w:pPr>
              <w:pStyle w:val="0"/>
            </w:pPr>
            <w:r>
              <w:rPr>
                <w:sz w:val="20"/>
              </w:rPr>
              <w:t xml:space="preserve">K: Операции с недвижимым имуществом, аренда и предоставление услуг</w:t>
            </w:r>
          </w:p>
        </w:tc>
        <w:tc>
          <w:tcPr>
            <w:tcW w:w="803" w:type="dxa"/>
          </w:tcPr>
          <w:p>
            <w:pPr>
              <w:pStyle w:val="0"/>
              <w:jc w:val="center"/>
            </w:pPr>
            <w:r>
              <w:rPr>
                <w:sz w:val="20"/>
              </w:rPr>
              <w:t xml:space="preserve">29941</w:t>
            </w:r>
          </w:p>
        </w:tc>
        <w:tc>
          <w:tcPr>
            <w:tcW w:w="803" w:type="dxa"/>
          </w:tcPr>
          <w:p>
            <w:pPr>
              <w:pStyle w:val="0"/>
              <w:jc w:val="center"/>
            </w:pPr>
            <w:r>
              <w:rPr>
                <w:sz w:val="20"/>
              </w:rPr>
              <w:t xml:space="preserve">28671</w:t>
            </w:r>
          </w:p>
        </w:tc>
        <w:tc>
          <w:tcPr>
            <w:tcW w:w="803" w:type="dxa"/>
          </w:tcPr>
          <w:p>
            <w:pPr>
              <w:pStyle w:val="0"/>
              <w:jc w:val="center"/>
            </w:pPr>
            <w:r>
              <w:rPr>
                <w:sz w:val="20"/>
              </w:rPr>
              <w:t xml:space="preserve">27774</w:t>
            </w:r>
          </w:p>
        </w:tc>
        <w:tc>
          <w:tcPr>
            <w:tcW w:w="804" w:type="dxa"/>
          </w:tcPr>
          <w:p>
            <w:pPr>
              <w:pStyle w:val="0"/>
              <w:jc w:val="center"/>
            </w:pPr>
            <w:r>
              <w:rPr>
                <w:sz w:val="20"/>
              </w:rPr>
              <w:t xml:space="preserve">27136</w:t>
            </w:r>
          </w:p>
        </w:tc>
        <w:tc>
          <w:tcPr>
            <w:tcW w:w="803" w:type="dxa"/>
          </w:tcPr>
          <w:p>
            <w:pPr>
              <w:pStyle w:val="0"/>
              <w:jc w:val="center"/>
            </w:pPr>
            <w:r>
              <w:rPr>
                <w:sz w:val="20"/>
              </w:rPr>
              <w:t xml:space="preserve">26781</w:t>
            </w:r>
          </w:p>
        </w:tc>
        <w:tc>
          <w:tcPr>
            <w:tcW w:w="803" w:type="dxa"/>
          </w:tcPr>
          <w:p>
            <w:pPr>
              <w:pStyle w:val="0"/>
              <w:jc w:val="center"/>
            </w:pPr>
            <w:r>
              <w:rPr>
                <w:sz w:val="20"/>
              </w:rPr>
              <w:t xml:space="preserve">26587</w:t>
            </w:r>
          </w:p>
        </w:tc>
        <w:tc>
          <w:tcPr>
            <w:tcW w:w="803" w:type="dxa"/>
          </w:tcPr>
          <w:p>
            <w:pPr>
              <w:pStyle w:val="0"/>
              <w:jc w:val="center"/>
            </w:pPr>
            <w:r>
              <w:rPr>
                <w:sz w:val="20"/>
              </w:rPr>
              <w:t xml:space="preserve">26499</w:t>
            </w:r>
          </w:p>
        </w:tc>
        <w:tc>
          <w:tcPr>
            <w:tcW w:w="804" w:type="dxa"/>
          </w:tcPr>
          <w:p>
            <w:pPr>
              <w:pStyle w:val="0"/>
              <w:jc w:val="center"/>
            </w:pPr>
            <w:r>
              <w:rPr>
                <w:sz w:val="20"/>
              </w:rPr>
              <w:t xml:space="preserve">26459</w:t>
            </w:r>
          </w:p>
        </w:tc>
        <w:tc>
          <w:tcPr>
            <w:tcW w:w="803" w:type="dxa"/>
          </w:tcPr>
          <w:p>
            <w:pPr>
              <w:pStyle w:val="0"/>
              <w:jc w:val="center"/>
            </w:pPr>
            <w:r>
              <w:rPr>
                <w:sz w:val="20"/>
              </w:rPr>
              <w:t xml:space="preserve">26462</w:t>
            </w:r>
          </w:p>
        </w:tc>
        <w:tc>
          <w:tcPr>
            <w:tcW w:w="803" w:type="dxa"/>
          </w:tcPr>
          <w:p>
            <w:pPr>
              <w:pStyle w:val="0"/>
              <w:jc w:val="center"/>
            </w:pPr>
            <w:r>
              <w:rPr>
                <w:sz w:val="20"/>
              </w:rPr>
              <w:t xml:space="preserve">26510</w:t>
            </w:r>
          </w:p>
        </w:tc>
        <w:tc>
          <w:tcPr>
            <w:tcW w:w="803" w:type="dxa"/>
          </w:tcPr>
          <w:p>
            <w:pPr>
              <w:pStyle w:val="0"/>
              <w:jc w:val="center"/>
            </w:pPr>
            <w:r>
              <w:rPr>
                <w:sz w:val="20"/>
              </w:rPr>
              <w:t xml:space="preserve">26569</w:t>
            </w:r>
          </w:p>
        </w:tc>
        <w:tc>
          <w:tcPr>
            <w:tcW w:w="804" w:type="dxa"/>
          </w:tcPr>
          <w:p>
            <w:pPr>
              <w:pStyle w:val="0"/>
              <w:jc w:val="center"/>
            </w:pPr>
            <w:r>
              <w:rPr>
                <w:sz w:val="20"/>
              </w:rPr>
              <w:t xml:space="preserve">26618</w:t>
            </w:r>
          </w:p>
        </w:tc>
      </w:tr>
      <w:tr>
        <w:tc>
          <w:tcPr>
            <w:tcW w:w="2948" w:type="dxa"/>
          </w:tcPr>
          <w:p>
            <w:pPr>
              <w:pStyle w:val="0"/>
            </w:pPr>
            <w:r>
              <w:rPr>
                <w:sz w:val="20"/>
              </w:rPr>
              <w:t xml:space="preserve">L: Государственное управление и обеспечение военной безопасности; обязательное социальное обеспечение</w:t>
            </w:r>
          </w:p>
        </w:tc>
        <w:tc>
          <w:tcPr>
            <w:tcW w:w="803" w:type="dxa"/>
          </w:tcPr>
          <w:p>
            <w:pPr>
              <w:pStyle w:val="0"/>
              <w:jc w:val="center"/>
            </w:pPr>
            <w:r>
              <w:rPr>
                <w:sz w:val="20"/>
              </w:rPr>
              <w:t xml:space="preserve">37053</w:t>
            </w:r>
          </w:p>
        </w:tc>
        <w:tc>
          <w:tcPr>
            <w:tcW w:w="803" w:type="dxa"/>
          </w:tcPr>
          <w:p>
            <w:pPr>
              <w:pStyle w:val="0"/>
              <w:jc w:val="center"/>
            </w:pPr>
            <w:r>
              <w:rPr>
                <w:sz w:val="20"/>
              </w:rPr>
              <w:t xml:space="preserve">36648</w:t>
            </w:r>
          </w:p>
        </w:tc>
        <w:tc>
          <w:tcPr>
            <w:tcW w:w="803" w:type="dxa"/>
          </w:tcPr>
          <w:p>
            <w:pPr>
              <w:pStyle w:val="0"/>
              <w:jc w:val="center"/>
            </w:pPr>
            <w:r>
              <w:rPr>
                <w:sz w:val="20"/>
              </w:rPr>
              <w:t xml:space="preserve">35710</w:t>
            </w:r>
          </w:p>
        </w:tc>
        <w:tc>
          <w:tcPr>
            <w:tcW w:w="804" w:type="dxa"/>
          </w:tcPr>
          <w:p>
            <w:pPr>
              <w:pStyle w:val="0"/>
              <w:jc w:val="center"/>
            </w:pPr>
            <w:r>
              <w:rPr>
                <w:sz w:val="20"/>
              </w:rPr>
              <w:t xml:space="preserve">34741</w:t>
            </w:r>
          </w:p>
        </w:tc>
        <w:tc>
          <w:tcPr>
            <w:tcW w:w="803" w:type="dxa"/>
          </w:tcPr>
          <w:p>
            <w:pPr>
              <w:pStyle w:val="0"/>
              <w:jc w:val="center"/>
            </w:pPr>
            <w:r>
              <w:rPr>
                <w:sz w:val="20"/>
              </w:rPr>
              <w:t xml:space="preserve">33762</w:t>
            </w:r>
          </w:p>
        </w:tc>
        <w:tc>
          <w:tcPr>
            <w:tcW w:w="803" w:type="dxa"/>
          </w:tcPr>
          <w:p>
            <w:pPr>
              <w:pStyle w:val="0"/>
              <w:jc w:val="center"/>
            </w:pPr>
            <w:r>
              <w:rPr>
                <w:sz w:val="20"/>
              </w:rPr>
              <w:t xml:space="preserve">32934</w:t>
            </w:r>
          </w:p>
        </w:tc>
        <w:tc>
          <w:tcPr>
            <w:tcW w:w="803" w:type="dxa"/>
          </w:tcPr>
          <w:p>
            <w:pPr>
              <w:pStyle w:val="0"/>
              <w:jc w:val="center"/>
            </w:pPr>
            <w:r>
              <w:rPr>
                <w:sz w:val="20"/>
              </w:rPr>
              <w:t xml:space="preserve">32202</w:t>
            </w:r>
          </w:p>
        </w:tc>
        <w:tc>
          <w:tcPr>
            <w:tcW w:w="804" w:type="dxa"/>
          </w:tcPr>
          <w:p>
            <w:pPr>
              <w:pStyle w:val="0"/>
              <w:jc w:val="center"/>
            </w:pPr>
            <w:r>
              <w:rPr>
                <w:sz w:val="20"/>
              </w:rPr>
              <w:t xml:space="preserve">31581</w:t>
            </w:r>
          </w:p>
        </w:tc>
        <w:tc>
          <w:tcPr>
            <w:tcW w:w="803" w:type="dxa"/>
          </w:tcPr>
          <w:p>
            <w:pPr>
              <w:pStyle w:val="0"/>
              <w:jc w:val="center"/>
            </w:pPr>
            <w:r>
              <w:rPr>
                <w:sz w:val="20"/>
              </w:rPr>
              <w:t xml:space="preserve">31008</w:t>
            </w:r>
          </w:p>
        </w:tc>
        <w:tc>
          <w:tcPr>
            <w:tcW w:w="803" w:type="dxa"/>
          </w:tcPr>
          <w:p>
            <w:pPr>
              <w:pStyle w:val="0"/>
              <w:jc w:val="center"/>
            </w:pPr>
            <w:r>
              <w:rPr>
                <w:sz w:val="20"/>
              </w:rPr>
              <w:t xml:space="preserve">30520</w:t>
            </w:r>
          </w:p>
        </w:tc>
        <w:tc>
          <w:tcPr>
            <w:tcW w:w="803" w:type="dxa"/>
          </w:tcPr>
          <w:p>
            <w:pPr>
              <w:pStyle w:val="0"/>
              <w:jc w:val="center"/>
            </w:pPr>
            <w:r>
              <w:rPr>
                <w:sz w:val="20"/>
              </w:rPr>
              <w:t xml:space="preserve">30033</w:t>
            </w:r>
          </w:p>
        </w:tc>
        <w:tc>
          <w:tcPr>
            <w:tcW w:w="804" w:type="dxa"/>
          </w:tcPr>
          <w:p>
            <w:pPr>
              <w:pStyle w:val="0"/>
              <w:jc w:val="center"/>
            </w:pPr>
            <w:r>
              <w:rPr>
                <w:sz w:val="20"/>
              </w:rPr>
              <w:t xml:space="preserve">29569</w:t>
            </w:r>
          </w:p>
        </w:tc>
      </w:tr>
      <w:tr>
        <w:tc>
          <w:tcPr>
            <w:tcW w:w="2948" w:type="dxa"/>
          </w:tcPr>
          <w:p>
            <w:pPr>
              <w:pStyle w:val="0"/>
            </w:pPr>
            <w:r>
              <w:rPr>
                <w:sz w:val="20"/>
              </w:rPr>
              <w:t xml:space="preserve">M: Образование</w:t>
            </w:r>
          </w:p>
        </w:tc>
        <w:tc>
          <w:tcPr>
            <w:tcW w:w="803" w:type="dxa"/>
          </w:tcPr>
          <w:p>
            <w:pPr>
              <w:pStyle w:val="0"/>
              <w:jc w:val="center"/>
            </w:pPr>
            <w:r>
              <w:rPr>
                <w:sz w:val="20"/>
              </w:rPr>
              <w:t xml:space="preserve">57295</w:t>
            </w:r>
          </w:p>
        </w:tc>
        <w:tc>
          <w:tcPr>
            <w:tcW w:w="803" w:type="dxa"/>
          </w:tcPr>
          <w:p>
            <w:pPr>
              <w:pStyle w:val="0"/>
              <w:jc w:val="center"/>
            </w:pPr>
            <w:r>
              <w:rPr>
                <w:sz w:val="20"/>
              </w:rPr>
              <w:t xml:space="preserve">59827</w:t>
            </w:r>
          </w:p>
        </w:tc>
        <w:tc>
          <w:tcPr>
            <w:tcW w:w="803" w:type="dxa"/>
          </w:tcPr>
          <w:p>
            <w:pPr>
              <w:pStyle w:val="0"/>
              <w:jc w:val="center"/>
            </w:pPr>
            <w:r>
              <w:rPr>
                <w:sz w:val="20"/>
              </w:rPr>
              <w:t xml:space="preserve">61973</w:t>
            </w:r>
          </w:p>
        </w:tc>
        <w:tc>
          <w:tcPr>
            <w:tcW w:w="804" w:type="dxa"/>
          </w:tcPr>
          <w:p>
            <w:pPr>
              <w:pStyle w:val="0"/>
              <w:jc w:val="center"/>
            </w:pPr>
            <w:r>
              <w:rPr>
                <w:sz w:val="20"/>
              </w:rPr>
              <w:t xml:space="preserve">63876</w:t>
            </w:r>
          </w:p>
        </w:tc>
        <w:tc>
          <w:tcPr>
            <w:tcW w:w="803" w:type="dxa"/>
          </w:tcPr>
          <w:p>
            <w:pPr>
              <w:pStyle w:val="0"/>
              <w:jc w:val="center"/>
            </w:pPr>
            <w:r>
              <w:rPr>
                <w:sz w:val="20"/>
              </w:rPr>
              <w:t xml:space="preserve">65358</w:t>
            </w:r>
          </w:p>
        </w:tc>
        <w:tc>
          <w:tcPr>
            <w:tcW w:w="803" w:type="dxa"/>
          </w:tcPr>
          <w:p>
            <w:pPr>
              <w:pStyle w:val="0"/>
              <w:jc w:val="center"/>
            </w:pPr>
            <w:r>
              <w:rPr>
                <w:sz w:val="20"/>
              </w:rPr>
              <w:t xml:space="preserve">66527</w:t>
            </w:r>
          </w:p>
        </w:tc>
        <w:tc>
          <w:tcPr>
            <w:tcW w:w="803" w:type="dxa"/>
          </w:tcPr>
          <w:p>
            <w:pPr>
              <w:pStyle w:val="0"/>
              <w:jc w:val="center"/>
            </w:pPr>
            <w:r>
              <w:rPr>
                <w:sz w:val="20"/>
              </w:rPr>
              <w:t xml:space="preserve">67467</w:t>
            </w:r>
          </w:p>
        </w:tc>
        <w:tc>
          <w:tcPr>
            <w:tcW w:w="804" w:type="dxa"/>
          </w:tcPr>
          <w:p>
            <w:pPr>
              <w:pStyle w:val="0"/>
              <w:jc w:val="center"/>
            </w:pPr>
            <w:r>
              <w:rPr>
                <w:sz w:val="20"/>
              </w:rPr>
              <w:t xml:space="preserve">67957</w:t>
            </w:r>
          </w:p>
        </w:tc>
        <w:tc>
          <w:tcPr>
            <w:tcW w:w="803" w:type="dxa"/>
          </w:tcPr>
          <w:p>
            <w:pPr>
              <w:pStyle w:val="0"/>
              <w:jc w:val="center"/>
            </w:pPr>
            <w:r>
              <w:rPr>
                <w:sz w:val="20"/>
              </w:rPr>
              <w:t xml:space="preserve">68099</w:t>
            </w:r>
          </w:p>
        </w:tc>
        <w:tc>
          <w:tcPr>
            <w:tcW w:w="803" w:type="dxa"/>
          </w:tcPr>
          <w:p>
            <w:pPr>
              <w:pStyle w:val="0"/>
              <w:jc w:val="center"/>
            </w:pPr>
            <w:r>
              <w:rPr>
                <w:sz w:val="20"/>
              </w:rPr>
              <w:t xml:space="preserve">68179</w:t>
            </w:r>
          </w:p>
        </w:tc>
        <w:tc>
          <w:tcPr>
            <w:tcW w:w="803" w:type="dxa"/>
          </w:tcPr>
          <w:p>
            <w:pPr>
              <w:pStyle w:val="0"/>
              <w:jc w:val="center"/>
            </w:pPr>
            <w:r>
              <w:rPr>
                <w:sz w:val="20"/>
              </w:rPr>
              <w:t xml:space="preserve">67964</w:t>
            </w:r>
          </w:p>
        </w:tc>
        <w:tc>
          <w:tcPr>
            <w:tcW w:w="804" w:type="dxa"/>
          </w:tcPr>
          <w:p>
            <w:pPr>
              <w:pStyle w:val="0"/>
              <w:jc w:val="center"/>
            </w:pPr>
            <w:r>
              <w:rPr>
                <w:sz w:val="20"/>
              </w:rPr>
              <w:t xml:space="preserve">67589</w:t>
            </w:r>
          </w:p>
        </w:tc>
      </w:tr>
      <w:tr>
        <w:tc>
          <w:tcPr>
            <w:tcW w:w="2948" w:type="dxa"/>
          </w:tcPr>
          <w:p>
            <w:pPr>
              <w:pStyle w:val="0"/>
            </w:pPr>
            <w:r>
              <w:rPr>
                <w:sz w:val="20"/>
              </w:rPr>
              <w:t xml:space="preserve">N: Здравоохранение и предоставление социальных услуг</w:t>
            </w:r>
          </w:p>
        </w:tc>
        <w:tc>
          <w:tcPr>
            <w:tcW w:w="803" w:type="dxa"/>
          </w:tcPr>
          <w:p>
            <w:pPr>
              <w:pStyle w:val="0"/>
              <w:jc w:val="center"/>
            </w:pPr>
            <w:r>
              <w:rPr>
                <w:sz w:val="20"/>
              </w:rPr>
              <w:t xml:space="preserve">33605</w:t>
            </w:r>
          </w:p>
        </w:tc>
        <w:tc>
          <w:tcPr>
            <w:tcW w:w="803" w:type="dxa"/>
          </w:tcPr>
          <w:p>
            <w:pPr>
              <w:pStyle w:val="0"/>
              <w:jc w:val="center"/>
            </w:pPr>
            <w:r>
              <w:rPr>
                <w:sz w:val="20"/>
              </w:rPr>
              <w:t xml:space="preserve">33113</w:t>
            </w:r>
          </w:p>
        </w:tc>
        <w:tc>
          <w:tcPr>
            <w:tcW w:w="803" w:type="dxa"/>
          </w:tcPr>
          <w:p>
            <w:pPr>
              <w:pStyle w:val="0"/>
              <w:jc w:val="center"/>
            </w:pPr>
            <w:r>
              <w:rPr>
                <w:sz w:val="20"/>
              </w:rPr>
              <w:t xml:space="preserve">32695</w:t>
            </w:r>
          </w:p>
        </w:tc>
        <w:tc>
          <w:tcPr>
            <w:tcW w:w="804" w:type="dxa"/>
          </w:tcPr>
          <w:p>
            <w:pPr>
              <w:pStyle w:val="0"/>
              <w:jc w:val="center"/>
            </w:pPr>
            <w:r>
              <w:rPr>
                <w:sz w:val="20"/>
              </w:rPr>
              <w:t xml:space="preserve">32426</w:t>
            </w:r>
          </w:p>
        </w:tc>
        <w:tc>
          <w:tcPr>
            <w:tcW w:w="803" w:type="dxa"/>
          </w:tcPr>
          <w:p>
            <w:pPr>
              <w:pStyle w:val="0"/>
              <w:jc w:val="center"/>
            </w:pPr>
            <w:r>
              <w:rPr>
                <w:sz w:val="20"/>
              </w:rPr>
              <w:t xml:space="preserve">32328</w:t>
            </w:r>
          </w:p>
        </w:tc>
        <w:tc>
          <w:tcPr>
            <w:tcW w:w="803" w:type="dxa"/>
          </w:tcPr>
          <w:p>
            <w:pPr>
              <w:pStyle w:val="0"/>
              <w:jc w:val="center"/>
            </w:pPr>
            <w:r>
              <w:rPr>
                <w:sz w:val="20"/>
              </w:rPr>
              <w:t xml:space="preserve">32448</w:t>
            </w:r>
          </w:p>
        </w:tc>
        <w:tc>
          <w:tcPr>
            <w:tcW w:w="803" w:type="dxa"/>
          </w:tcPr>
          <w:p>
            <w:pPr>
              <w:pStyle w:val="0"/>
              <w:jc w:val="center"/>
            </w:pPr>
            <w:r>
              <w:rPr>
                <w:sz w:val="20"/>
              </w:rPr>
              <w:t xml:space="preserve">32772</w:t>
            </w:r>
          </w:p>
        </w:tc>
        <w:tc>
          <w:tcPr>
            <w:tcW w:w="804" w:type="dxa"/>
          </w:tcPr>
          <w:p>
            <w:pPr>
              <w:pStyle w:val="0"/>
              <w:jc w:val="center"/>
            </w:pPr>
            <w:r>
              <w:rPr>
                <w:sz w:val="20"/>
              </w:rPr>
              <w:t xml:space="preserve">33227</w:t>
            </w:r>
          </w:p>
        </w:tc>
        <w:tc>
          <w:tcPr>
            <w:tcW w:w="803" w:type="dxa"/>
          </w:tcPr>
          <w:p>
            <w:pPr>
              <w:pStyle w:val="0"/>
              <w:jc w:val="center"/>
            </w:pPr>
            <w:r>
              <w:rPr>
                <w:sz w:val="20"/>
              </w:rPr>
              <w:t xml:space="preserve">33747</w:t>
            </w:r>
          </w:p>
        </w:tc>
        <w:tc>
          <w:tcPr>
            <w:tcW w:w="803" w:type="dxa"/>
          </w:tcPr>
          <w:p>
            <w:pPr>
              <w:pStyle w:val="0"/>
              <w:jc w:val="center"/>
            </w:pPr>
            <w:r>
              <w:rPr>
                <w:sz w:val="20"/>
              </w:rPr>
              <w:t xml:space="preserve">34336</w:t>
            </w:r>
          </w:p>
        </w:tc>
        <w:tc>
          <w:tcPr>
            <w:tcW w:w="803" w:type="dxa"/>
          </w:tcPr>
          <w:p>
            <w:pPr>
              <w:pStyle w:val="0"/>
              <w:jc w:val="center"/>
            </w:pPr>
            <w:r>
              <w:rPr>
                <w:sz w:val="20"/>
              </w:rPr>
              <w:t xml:space="preserve">34904</w:t>
            </w:r>
          </w:p>
        </w:tc>
        <w:tc>
          <w:tcPr>
            <w:tcW w:w="804" w:type="dxa"/>
          </w:tcPr>
          <w:p>
            <w:pPr>
              <w:pStyle w:val="0"/>
              <w:jc w:val="center"/>
            </w:pPr>
            <w:r>
              <w:rPr>
                <w:sz w:val="20"/>
              </w:rPr>
              <w:t xml:space="preserve">35419</w:t>
            </w:r>
          </w:p>
        </w:tc>
      </w:tr>
      <w:tr>
        <w:tc>
          <w:tcPr>
            <w:tcW w:w="2948" w:type="dxa"/>
          </w:tcPr>
          <w:p>
            <w:pPr>
              <w:pStyle w:val="0"/>
            </w:pPr>
            <w:r>
              <w:rPr>
                <w:sz w:val="20"/>
              </w:rPr>
              <w:t xml:space="preserve">O: Предоставление прочих коммунальных, социальных и персональных услуг</w:t>
            </w:r>
          </w:p>
        </w:tc>
        <w:tc>
          <w:tcPr>
            <w:tcW w:w="803" w:type="dxa"/>
          </w:tcPr>
          <w:p>
            <w:pPr>
              <w:pStyle w:val="0"/>
              <w:jc w:val="center"/>
            </w:pPr>
            <w:r>
              <w:rPr>
                <w:sz w:val="20"/>
              </w:rPr>
              <w:t xml:space="preserve">18341</w:t>
            </w:r>
          </w:p>
        </w:tc>
        <w:tc>
          <w:tcPr>
            <w:tcW w:w="803" w:type="dxa"/>
          </w:tcPr>
          <w:p>
            <w:pPr>
              <w:pStyle w:val="0"/>
              <w:jc w:val="center"/>
            </w:pPr>
            <w:r>
              <w:rPr>
                <w:sz w:val="20"/>
              </w:rPr>
              <w:t xml:space="preserve">19225</w:t>
            </w:r>
          </w:p>
        </w:tc>
        <w:tc>
          <w:tcPr>
            <w:tcW w:w="803" w:type="dxa"/>
          </w:tcPr>
          <w:p>
            <w:pPr>
              <w:pStyle w:val="0"/>
              <w:jc w:val="center"/>
            </w:pPr>
            <w:r>
              <w:rPr>
                <w:sz w:val="20"/>
              </w:rPr>
              <w:t xml:space="preserve">20169</w:t>
            </w:r>
          </w:p>
        </w:tc>
        <w:tc>
          <w:tcPr>
            <w:tcW w:w="804" w:type="dxa"/>
          </w:tcPr>
          <w:p>
            <w:pPr>
              <w:pStyle w:val="0"/>
              <w:jc w:val="center"/>
            </w:pPr>
            <w:r>
              <w:rPr>
                <w:sz w:val="20"/>
              </w:rPr>
              <w:t xml:space="preserve">21158</w:t>
            </w:r>
          </w:p>
        </w:tc>
        <w:tc>
          <w:tcPr>
            <w:tcW w:w="803" w:type="dxa"/>
          </w:tcPr>
          <w:p>
            <w:pPr>
              <w:pStyle w:val="0"/>
              <w:jc w:val="center"/>
            </w:pPr>
            <w:r>
              <w:rPr>
                <w:sz w:val="20"/>
              </w:rPr>
              <w:t xml:space="preserve">22217</w:t>
            </w:r>
          </w:p>
        </w:tc>
        <w:tc>
          <w:tcPr>
            <w:tcW w:w="803" w:type="dxa"/>
          </w:tcPr>
          <w:p>
            <w:pPr>
              <w:pStyle w:val="0"/>
              <w:jc w:val="center"/>
            </w:pPr>
            <w:r>
              <w:rPr>
                <w:sz w:val="20"/>
              </w:rPr>
              <w:t xml:space="preserve">23338</w:t>
            </w:r>
          </w:p>
        </w:tc>
        <w:tc>
          <w:tcPr>
            <w:tcW w:w="803" w:type="dxa"/>
          </w:tcPr>
          <w:p>
            <w:pPr>
              <w:pStyle w:val="0"/>
              <w:jc w:val="center"/>
            </w:pPr>
            <w:r>
              <w:rPr>
                <w:sz w:val="20"/>
              </w:rPr>
              <w:t xml:space="preserve">24559</w:t>
            </w:r>
          </w:p>
        </w:tc>
        <w:tc>
          <w:tcPr>
            <w:tcW w:w="804" w:type="dxa"/>
          </w:tcPr>
          <w:p>
            <w:pPr>
              <w:pStyle w:val="0"/>
              <w:jc w:val="center"/>
            </w:pPr>
            <w:r>
              <w:rPr>
                <w:sz w:val="20"/>
              </w:rPr>
              <w:t xml:space="preserve">25836</w:t>
            </w:r>
          </w:p>
        </w:tc>
        <w:tc>
          <w:tcPr>
            <w:tcW w:w="803" w:type="dxa"/>
          </w:tcPr>
          <w:p>
            <w:pPr>
              <w:pStyle w:val="0"/>
              <w:jc w:val="center"/>
            </w:pPr>
            <w:r>
              <w:rPr>
                <w:sz w:val="20"/>
              </w:rPr>
              <w:t xml:space="preserve">27225</w:t>
            </w:r>
          </w:p>
        </w:tc>
        <w:tc>
          <w:tcPr>
            <w:tcW w:w="803" w:type="dxa"/>
          </w:tcPr>
          <w:p>
            <w:pPr>
              <w:pStyle w:val="0"/>
              <w:jc w:val="center"/>
            </w:pPr>
            <w:r>
              <w:rPr>
                <w:sz w:val="20"/>
              </w:rPr>
              <w:t xml:space="preserve">28696</w:t>
            </w:r>
          </w:p>
        </w:tc>
        <w:tc>
          <w:tcPr>
            <w:tcW w:w="803" w:type="dxa"/>
          </w:tcPr>
          <w:p>
            <w:pPr>
              <w:pStyle w:val="0"/>
              <w:jc w:val="center"/>
            </w:pPr>
            <w:r>
              <w:rPr>
                <w:sz w:val="20"/>
              </w:rPr>
              <w:t xml:space="preserve">30259</w:t>
            </w:r>
          </w:p>
        </w:tc>
        <w:tc>
          <w:tcPr>
            <w:tcW w:w="804" w:type="dxa"/>
          </w:tcPr>
          <w:p>
            <w:pPr>
              <w:pStyle w:val="0"/>
              <w:jc w:val="center"/>
            </w:pPr>
            <w:r>
              <w:rPr>
                <w:sz w:val="20"/>
              </w:rPr>
              <w:t xml:space="preserve">31945</w:t>
            </w: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Закон Курской области от 14.12.2020 N 100-ЗКО</w:t>
            <w:br/>
            <w:t>(ред. от 06.10.2023)</w:t>
            <w:br/>
            <w:t>"О Стратегии социально-экономического развития Курско...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19.11.2023</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Закон Курской области от 14.12.2020 N 100-ЗКО</w:t>
            <w:br/>
            <w:t>(ред. от 06.10.2023)</w:t>
            <w:br/>
            <w:t>"О Стратегии социально-экономического развития Курско...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19.11.2023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3F33A0A99B5FCD2A6E5EC2E665B9640BAFBE488B2973C2EFB3E9A86BED81191282CD4B18DA01FC1A253E408AB8549B016C22693D33323E3F0C7DF423w906O" TargetMode = "External"/>
	<Relationship Id="rId8" Type="http://schemas.openxmlformats.org/officeDocument/2006/relationships/hyperlink" Target="consultantplus://offline/ref=3F33A0A99B5FCD2A6E5EC2E665B9640BAFBE488B2972C4EEB7E8A86BED81191282CD4B18DA01FC1A253E408AB8549B016C22693D33323E3F0C7DF423w906O" TargetMode = "External"/>
	<Relationship Id="rId9" Type="http://schemas.openxmlformats.org/officeDocument/2006/relationships/hyperlink" Target="consultantplus://offline/ref=3F33A0A99B5FCD2A6E5EC2E665B9640BAFBE488B2972C0ECBEEEA86BED81191282CD4B18DA01FC1A253E408AB7549B016C22693D33323E3F0C7DF423w906O" TargetMode = "External"/>
	<Relationship Id="rId10" Type="http://schemas.openxmlformats.org/officeDocument/2006/relationships/hyperlink" Target="consultantplus://offline/ref=3F33A0A99B5FCD2A6E5EC2E665B9640BAFBE488B2973C2EFB3E9A86BED81191282CD4B18DA01FC1A253E408AB9549B016C22693D33323E3F0C7DF423w906O" TargetMode = "External"/>
	<Relationship Id="rId11" Type="http://schemas.openxmlformats.org/officeDocument/2006/relationships/hyperlink" Target="consultantplus://offline/ref=3F33A0A99B5FCD2A6E5EC2E665B9640BAFBE488B2972C4EEB7E8A86BED81191282CD4B18DA01FC1A253E408AB8549B016C22693D33323E3F0C7DF423w906O" TargetMode = "External"/>
	<Relationship Id="rId12" Type="http://schemas.openxmlformats.org/officeDocument/2006/relationships/hyperlink" Target="consultantplus://offline/ref=3F33A0A99B5FCD2A6E5EC2E665B9640BAFBE488B2972C0ECBEEEA86BED81191282CD4B18DA01FC1A253E408AB7549B016C22693D33323E3F0C7DF423w906O" TargetMode = "External"/>
	<Relationship Id="rId13" Type="http://schemas.openxmlformats.org/officeDocument/2006/relationships/hyperlink" Target="consultantplus://offline/ref=3F33A0A99B5FCD2A6E5EDCEB73D53E07AABD1183232598BABAEEA039BA814557D4C441458744F005273E42w809O" TargetMode = "External"/>
	<Relationship Id="rId14" Type="http://schemas.openxmlformats.org/officeDocument/2006/relationships/hyperlink" Target="consultantplus://offline/ref=3F33A0A99B5FCD2A6E5EDCEB73D53E07ACB61F8F2F74CFB8EBBBAE3CB2D11F47D08D1541984CEF1A2420428AB2w50CO" TargetMode = "External"/>
	<Relationship Id="rId15" Type="http://schemas.openxmlformats.org/officeDocument/2006/relationships/hyperlink" Target="consultantplus://offline/ref=3F33A0A99B5FCD2A6E5EDCEB73D53E07A9B71F852C70CFB8EBBBAE3CB2D11F47D08D1541984CEF1A2420428AB2w50CO" TargetMode = "External"/>
	<Relationship Id="rId16" Type="http://schemas.openxmlformats.org/officeDocument/2006/relationships/hyperlink" Target="consultantplus://offline/ref=3F33A0A99B5FCD2A6E5EDCEB73D53E07A9B71F852C77CFB8EBBBAE3CB2D11F47D08D1541984CEF1A2420428AB2w50CO" TargetMode = "External"/>
	<Relationship Id="rId17" Type="http://schemas.openxmlformats.org/officeDocument/2006/relationships/hyperlink" Target="consultantplus://offline/ref=3F33A0A99B5FCD2A6E5EDCEB73D53E07A9B71F852C76CFB8EBBBAE3CB2D11F47D08D1541984CEF1A2420428AB2w50CO" TargetMode = "External"/>
	<Relationship Id="rId18" Type="http://schemas.openxmlformats.org/officeDocument/2006/relationships/hyperlink" Target="consultantplus://offline/ref=3F33A0A99B5FCD2A6E5EDCEB73D53E07A9B71F852C75CFB8EBBBAE3CB2D11F47D08D1541984CEF1A2420428AB2w50CO" TargetMode = "External"/>
	<Relationship Id="rId19" Type="http://schemas.openxmlformats.org/officeDocument/2006/relationships/hyperlink" Target="consultantplus://offline/ref=3F33A0A99B5FCD2A6E5EDCEB73D53E07A9B71F852B76CFB8EBBBAE3CB2D11F47D08D1541984CEF1A2420428AB2w50CO" TargetMode = "External"/>
	<Relationship Id="rId20" Type="http://schemas.openxmlformats.org/officeDocument/2006/relationships/hyperlink" Target="consultantplus://offline/ref=3F33A0A99B5FCD2A6E5EDCEB73D53E07A9B71F852B75CFB8EBBBAE3CB2D11F47D08D1541984CEF1A2420428AB2w50CO" TargetMode = "External"/>
	<Relationship Id="rId21" Type="http://schemas.openxmlformats.org/officeDocument/2006/relationships/hyperlink" Target="consultantplus://offline/ref=3F33A0A99B5FCD2A6E5EDCEB73D53E07ACB611822E70CFB8EBBBAE3CB2D11F47D08D1541984CEF1A2420428AB2w50CO" TargetMode = "External"/>
	<Relationship Id="rId22" Type="http://schemas.openxmlformats.org/officeDocument/2006/relationships/hyperlink" Target="consultantplus://offline/ref=CF11BE4F51DBE2F84B10C0D80A3B9E82F4A3A098A69A1999E2A63B29CF60D8C72B037553E4F0293926D715BBE7xD03O" TargetMode = "External"/>
	<Relationship Id="rId23" Type="http://schemas.openxmlformats.org/officeDocument/2006/relationships/hyperlink" Target="consultantplus://offline/ref=CF11BE4F51DBE2F84B10C0D80A3B9E82F4AAAB93A59A1999E2A63B29CF60D8C72B037553E4F0293926D715BBE7xD03O" TargetMode = "External"/>
	<Relationship Id="rId24" Type="http://schemas.openxmlformats.org/officeDocument/2006/relationships/hyperlink" Target="consultantplus://offline/ref=CF11BE4F51DBE2F84B10DED51C57C48EF0A9FC9CA39B14CEBAF43D7E9030DE9279432B0AA6BD3A3927C917BAE5DB43A32F8F4B0B05298EE9513428F4xE0FO" TargetMode = "External"/>
	<Relationship Id="rId25" Type="http://schemas.openxmlformats.org/officeDocument/2006/relationships/hyperlink" Target="consultantplus://offline/ref=CF11BE4F51DBE2F84B10C0D80A3B9E82F3A6A194A69B1999E2A63B29CF60D8C72B037553E4F0293926D715BBE7xD03O" TargetMode = "External"/>
	<Relationship Id="rId26" Type="http://schemas.openxmlformats.org/officeDocument/2006/relationships/hyperlink" Target="consultantplus://offline/ref=CF11BE4F51DBE2F84B10DED51C57C48EF0A9FC9CA39A16CDB7F33D7E9030DE9279432B0AA6BD3A3927C917BBEDDB43A32F8F4B0B05298EE9513428F4xE0FO" TargetMode = "External"/>
	<Relationship Id="rId27" Type="http://schemas.openxmlformats.org/officeDocument/2006/relationships/hyperlink" Target="consultantplus://offline/ref=CF11BE4F51DBE2F84B10C0D80A3B9E82F4A5AB92A69F1999E2A63B29CF60D8C72B037553E4F0293926D715BBE7xD03O" TargetMode = "External"/>
	<Relationship Id="rId28" Type="http://schemas.openxmlformats.org/officeDocument/2006/relationships/hyperlink" Target="consultantplus://offline/ref=CF11BE4F51DBE2F84B10C0D80A3B9E82F5A3A298A49C1999E2A63B29CF60D8C72B037553E4F0293926D715BBE7xD03O" TargetMode = "External"/>
	<Relationship Id="rId29" Type="http://schemas.openxmlformats.org/officeDocument/2006/relationships/hyperlink" Target="consultantplus://offline/ref=CF11BE4F51DBE2F84B10C0D80A3B9E82F5A3A492A4981999E2A63B29CF60D8C72B037553E4F0293926D715BBE7xD03O" TargetMode = "External"/>
	<Relationship Id="rId30" Type="http://schemas.openxmlformats.org/officeDocument/2006/relationships/hyperlink" Target="consultantplus://offline/ref=CF11BE4F51DBE2F84B10C0D80A3B9E82F5A3A497A0921999E2A63B29CF60D8C72B037553E4F0293926D715BBE7xD03O" TargetMode = "External"/>
	<Relationship Id="rId31" Type="http://schemas.openxmlformats.org/officeDocument/2006/relationships/hyperlink" Target="consultantplus://offline/ref=CF11BE4F51DBE2F84B10C0D80A3B9E82F5AAA499AA931999E2A63B29CF60D8C72B037553E4F0293926D715BBE7xD03O" TargetMode = "External"/>
	<Relationship Id="rId32" Type="http://schemas.openxmlformats.org/officeDocument/2006/relationships/hyperlink" Target="consultantplus://offline/ref=CF11BE4F51DBE2F84B10C0D80A3B9E82F4A7AA91A09D1999E2A63B29CF60D8C72B037553E4F0293926D715BBE7xD03O" TargetMode = "External"/>
	<Relationship Id="rId33" Type="http://schemas.openxmlformats.org/officeDocument/2006/relationships/hyperlink" Target="consultantplus://offline/ref=CF11BE4F51DBE2F84B10C0D80A3B9E82F3A6A191A59C1999E2A63B29CF60D8C72B037553E4F0293926D715BBE7xD03O" TargetMode = "External"/>
	<Relationship Id="rId34" Type="http://schemas.openxmlformats.org/officeDocument/2006/relationships/hyperlink" Target="consultantplus://offline/ref=CF11BE4F51DBE2F84B10C0D80A3B9E82F4A7A598A09C1999E2A63B29CF60D8C72B037553E4F0293926D715BBE7xD03O" TargetMode = "External"/>
	<Relationship Id="rId35" Type="http://schemas.openxmlformats.org/officeDocument/2006/relationships/hyperlink" Target="consultantplus://offline/ref=CF11BE4F51DBE2F84B10C0D80A3B9E82F5A3A390A3991999E2A63B29CF60D8C739032D5FE5F937382EC243EAA1851AF362C4470B12358FEAx40CO" TargetMode = "External"/>
	<Relationship Id="rId36" Type="http://schemas.openxmlformats.org/officeDocument/2006/relationships/hyperlink" Target="consultantplus://offline/ref=CF11BE4F51DBE2F84B10C0D80A3B9E82F5ABA699A09E1999E2A63B29CF60D8C739032D5FE5F937382EC243EAA1851AF362C4470B12358FEAx40CO" TargetMode = "External"/>
	<Relationship Id="rId37" Type="http://schemas.openxmlformats.org/officeDocument/2006/relationships/hyperlink" Target="consultantplus://offline/ref=CF11BE4F51DBE2F84B10C0D80A3B9E82F5ABA697AB9D1999E2A63B29CF60D8C739032D5FE5F9373927C243EAA1851AF362C4470B12358FEAx40CO" TargetMode = "External"/>
	<Relationship Id="rId38" Type="http://schemas.openxmlformats.org/officeDocument/2006/relationships/hyperlink" Target="consultantplus://offline/ref=CF11BE4F51DBE2F84B10C0D80A3B9E82F5A5AA98A2981999E2A63B29CF60D8C739032D5FE5F9373926C243EAA1851AF362C4470B12358FEAx40CO" TargetMode = "External"/>
	<Relationship Id="rId39" Type="http://schemas.openxmlformats.org/officeDocument/2006/relationships/hyperlink" Target="consultantplus://offline/ref=CF11BE4F51DBE2F84B10C0D80A3B9E82F3A0AB93A49E1999E2A63B29CF60D8C739032D5FE5F9373925C243EAA1851AF362C4470B12358FEAx40CO" TargetMode = "External"/>
	<Relationship Id="rId40" Type="http://schemas.openxmlformats.org/officeDocument/2006/relationships/hyperlink" Target="consultantplus://offline/ref=CF11BE4F51DBE2F84B10C0D80A3B9E82F4A5A590A4991999E2A63B29CF60D8C739032D5FE5F9373923C243EAA1851AF362C4470B12358FEAx40CO" TargetMode = "External"/>
	<Relationship Id="rId41" Type="http://schemas.openxmlformats.org/officeDocument/2006/relationships/hyperlink" Target="consultantplus://offline/ref=CF11BE4F51DBE2F84B10DED51C57C48EF0A9FC9CA39B14CEBAF43D7E9030DE9279432B0AA6BD3A3927C917BAE7DB43A32F8F4B0B05298EE9513428F4xE0FO" TargetMode = "External"/>
	<Relationship Id="rId42" Type="http://schemas.openxmlformats.org/officeDocument/2006/relationships/hyperlink" Target="consultantplus://offline/ref=CF11BE4F51DBE2F84B10C0D80A3B9E82F4A3A697A29E1999E2A63B29CF60D8C739032D5FE5F937382EC243EAA1851AF362C4470B12358FEAx40CO" TargetMode = "External"/>
	<Relationship Id="rId43" Type="http://schemas.openxmlformats.org/officeDocument/2006/relationships/hyperlink" Target="consultantplus://offline/ref=CF11BE4F51DBE2F84B10C0D80A3B9E82F3A0AA93A39A1999E2A63B29CF60D8C739032D5FE5F937382EC243EAA1851AF362C4470B12358FEAx40CO" TargetMode = "External"/>
	<Relationship Id="rId44" Type="http://schemas.openxmlformats.org/officeDocument/2006/relationships/hyperlink" Target="consultantplus://offline/ref=CF11BE4F51DBE2F84B10C0D80A3B9E82F3A2AB90A79B1999E2A63B29CF60D8C739032D5FE5F9373925C243EAA1851AF362C4470B12358FEAx40CO" TargetMode = "External"/>
	<Relationship Id="rId45" Type="http://schemas.openxmlformats.org/officeDocument/2006/relationships/hyperlink" Target="consultantplus://offline/ref=CF11BE4F51DBE2F84B10C0D80A3B9E82F6A0AB90A39C1999E2A63B29CF60D8C72B037553E4F0293926D715BBE7xD03O" TargetMode = "External"/>
	<Relationship Id="rId46" Type="http://schemas.openxmlformats.org/officeDocument/2006/relationships/hyperlink" Target="consultantplus://offline/ref=CF11BE4F51DBE2F84B10DED51C57C48EF0A9FC9CA39B16CDBBF13D7E9030DE9279432B0AB4BD623526C009BAE4CE15F269xD09O" TargetMode = "External"/>
	<Relationship Id="rId47" Type="http://schemas.openxmlformats.org/officeDocument/2006/relationships/hyperlink" Target="consultantplus://offline/ref=CF11BE4F51DBE2F84B10C0D80A3B9E82F3A3A293A3981999E2A63B29CF60D8C739032D5FE5F937382FC243EAA1851AF362C4470B12358FEAx40CO" TargetMode = "External"/>
	<Relationship Id="rId48" Type="http://schemas.openxmlformats.org/officeDocument/2006/relationships/image" Target="media/image2.jpeg"/>
	<Relationship Id="rId49" Type="http://schemas.openxmlformats.org/officeDocument/2006/relationships/hyperlink" Target="consultantplus://offline/ref=CF11BE4F51DBE2F84B10DED51C57C48EF0A9FC9CA39B14CEBAF43D7E9030DE9279432B0AA6BD3A3927C917BAE3DB43A32F8F4B0B05298EE9513428F4xE0FO" TargetMode = "External"/>
	<Relationship Id="rId50" Type="http://schemas.openxmlformats.org/officeDocument/2006/relationships/hyperlink" Target="consultantplus://offline/ref=CF11BE4F51DBE2F84B10DED51C57C48EF0A9FC9CA39B14CEBAF43D7E9030DE9279432B0AA6BD3A3927C917BAE2DB43A32F8F4B0B05298EE9513428F4xE0FO" TargetMode = "External"/>
	<Relationship Id="rId51" Type="http://schemas.openxmlformats.org/officeDocument/2006/relationships/image" Target="media/image3.jpeg"/>
	<Relationship Id="rId52" Type="http://schemas.openxmlformats.org/officeDocument/2006/relationships/image" Target="media/image4.jpeg"/>
	<Relationship Id="rId53" Type="http://schemas.openxmlformats.org/officeDocument/2006/relationships/image" Target="media/image5.jpeg"/>
	<Relationship Id="rId54" Type="http://schemas.openxmlformats.org/officeDocument/2006/relationships/image" Target="media/image6.jpeg"/>
	<Relationship Id="rId55" Type="http://schemas.openxmlformats.org/officeDocument/2006/relationships/hyperlink" Target="consultantplus://offline/ref=CF11BE4F51DBE2F84B10C0D80A3B9E82FFA6A590A7904493EAFF372BC86F87C23E122D5FECE7363939CB17B9xE06O" TargetMode = "External"/>
	<Relationship Id="rId56" Type="http://schemas.openxmlformats.org/officeDocument/2006/relationships/hyperlink" Target="consultantplus://offline/ref=CF11BE4F51DBE2F84B10DED51C57C48EF0A9FC9CA39B14CEBAF43D7E9030DE9279432B0AA6BD3A3927C917BAEDDB43A32F8F4B0B05298EE9513428F4xE0FO" TargetMode = "External"/>
	<Relationship Id="rId57" Type="http://schemas.openxmlformats.org/officeDocument/2006/relationships/hyperlink" Target="consultantplus://offline/ref=CF11BE4F51DBE2F84B10C0D80A3B9E82F6A6A799A09D1999E2A63B29CF60D8C72B037553E4F0293926D715BBE7xD03O" TargetMode = "External"/>
	<Relationship Id="rId58" Type="http://schemas.openxmlformats.org/officeDocument/2006/relationships/hyperlink" Target="consultantplus://offline/ref=B26A71188AFB25462E8D404678DADABE4AEB132E858D66A261C14F59B4B3810BCB5F99CC7E3E89D971520C88A9y90FO" TargetMode = "External"/>
	<Relationship Id="rId59" Type="http://schemas.openxmlformats.org/officeDocument/2006/relationships/hyperlink" Target="consultantplus://offline/ref=B26A71188AFB25462E8D5E4B6EB680B249E24D26878C6BF53993490EEBE3875E991FC7953C739AD9704C0E8AAB977EEC53BE604858ED7F43443D2A07y303O" TargetMode = "External"/>
	<Relationship Id="rId60" Type="http://schemas.openxmlformats.org/officeDocument/2006/relationships/image" Target="media/image7.jpeg"/>
	<Relationship Id="rId61" Type="http://schemas.openxmlformats.org/officeDocument/2006/relationships/hyperlink" Target="consultantplus://offline/ref=B26A71188AFB25462E8D5E4B6EB680B249E24D26878C6BF53993490EEBE3875E991FC7953C739AD9704C0E8AAA977EEC53BE604858ED7F43443D2A07y303O" TargetMode = "External"/>
	<Relationship Id="rId62" Type="http://schemas.openxmlformats.org/officeDocument/2006/relationships/image" Target="media/image8.jpeg"/>
	<Relationship Id="rId63" Type="http://schemas.openxmlformats.org/officeDocument/2006/relationships/image" Target="media/image9.jpeg"/>
	<Relationship Id="rId64" Type="http://schemas.openxmlformats.org/officeDocument/2006/relationships/image" Target="media/image10.jpeg"/>
	<Relationship Id="rId65" Type="http://schemas.openxmlformats.org/officeDocument/2006/relationships/image" Target="media/image11.jpeg"/>
	<Relationship Id="rId66" Type="http://schemas.openxmlformats.org/officeDocument/2006/relationships/image" Target="media/image12.jpeg"/>
	<Relationship Id="rId67" Type="http://schemas.openxmlformats.org/officeDocument/2006/relationships/hyperlink" Target="consultantplus://offline/ref=B26A71188AFB25462E8D404678DADABE4CE0172D8F8A66A261C14F59B4B3810BD95FC1C07F3797D970475AD9EFC927BC1EF56C484FF17E40y509O" TargetMode = "External"/>
	<Relationship Id="rId68" Type="http://schemas.openxmlformats.org/officeDocument/2006/relationships/hyperlink" Target="consultantplus://offline/ref=B26A71188AFB25462E8D404678DADABE4DEC1B2B848A66A261C14F59B4B3810BCB5F99CC7E3E89D971520C88A9y90FO" TargetMode = "External"/>
	<Relationship Id="rId69" Type="http://schemas.openxmlformats.org/officeDocument/2006/relationships/hyperlink" Target="consultantplus://offline/ref=B26A71188AFB25462E8D404678DADABE4DEC1B2B848A66A261C14F59B4B3810BCB5F99CC7E3E89D971520C88A9y90FO" TargetMode = "External"/>
	<Relationship Id="rId70" Type="http://schemas.openxmlformats.org/officeDocument/2006/relationships/hyperlink" Target="consultantplus://offline/ref=B26A71188AFB25462E8D404678DADABE4DEC1B2B848A66A261C14F59B4B3810BCB5F99CC7E3E89D971520C88A9y90FO" TargetMode = "External"/>
	<Relationship Id="rId71" Type="http://schemas.openxmlformats.org/officeDocument/2006/relationships/hyperlink" Target="consultantplus://offline/ref=B26A71188AFB25462E8D404678DADABE4DEC1B2B848A66A261C14F59B4B3810BCB5F99CC7E3E89D971520C88A9y90FO" TargetMode = "External"/>
	<Relationship Id="rId72" Type="http://schemas.openxmlformats.org/officeDocument/2006/relationships/hyperlink" Target="consultantplus://offline/ref=B26A71188AFB25462E8D5E4B6EB680B249E24D268F8A6DF136C31E0CBAB6895B914F8F85723697D8704C0B83FFCD6EE81AEA645750F260405A3Dy209O" TargetMode = "External"/>
	<Relationship Id="rId73" Type="http://schemas.openxmlformats.org/officeDocument/2006/relationships/hyperlink" Target="consultantplus://offline/ref=B26A71188AFB25462E8D404678DADABE4AEA1A22818B66A261C14F59B4B3810BCB5F99CC7E3E89D971520C88A9y90FO" TargetMode = "External"/>
	<Relationship Id="rId74" Type="http://schemas.openxmlformats.org/officeDocument/2006/relationships/hyperlink" Target="consultantplus://offline/ref=B26A71188AFB25462E8D5E4B6EB680B249E24D26878C6BF53993490EEBE3875E991FC7953C739AD9704C0E8AAF977EEC53BE604858ED7F43443D2A07y303O" TargetMode = "External"/>
	<Relationship Id="rId75" Type="http://schemas.openxmlformats.org/officeDocument/2006/relationships/hyperlink" Target="consultantplus://offline/ref=B26A71188AFB25462E8D5E4B6EB680B249E24D26878C6BF53993490EEBE3875E991FC7953C739AD9704C0E8AAE977EEC53BE604858ED7F43443D2A07y303O" TargetMode = "External"/>
	<Relationship Id="rId76" Type="http://schemas.openxmlformats.org/officeDocument/2006/relationships/hyperlink" Target="consultantplus://offline/ref=B26A71188AFB25462E8D5E4B6EB680B249E24D26878D6DF43D92490EEBE3875E991FC7953C739AD9704C0E88A2977EEC53BE604858ED7F43443D2A07y303O" TargetMode = "External"/>
	<Relationship Id="rId77" Type="http://schemas.openxmlformats.org/officeDocument/2006/relationships/hyperlink" Target="consultantplus://offline/ref=B26A71188AFB25462E8D5E4B6EB680B249E24D26878D6DF43D92490EEBE3875E991FC7953C739AD9704C0E8DAB977EEC53BE604858ED7F43443D2A07y303O" TargetMode = "External"/>
	<Relationship Id="rId78" Type="http://schemas.openxmlformats.org/officeDocument/2006/relationships/hyperlink" Target="consultantplus://offline/ref=B26A71188AFB25462E8D5E4B6EB680B249E24D26878D6DF43D92490EEBE3875E991FC7953C739AD9704C0E88A2977EEC53BE604858ED7F43443D2A07y303O" TargetMode = "External"/>
	<Relationship Id="rId79" Type="http://schemas.openxmlformats.org/officeDocument/2006/relationships/hyperlink" Target="consultantplus://offline/ref=B26A71188AFB25462E8D404678DADABE4AED152B808466A261C14F59B4B3810BCB5F99CC7E3E89D971520C88A9y90FO" TargetMode = "External"/>
	<Relationship Id="rId80" Type="http://schemas.openxmlformats.org/officeDocument/2006/relationships/hyperlink" Target="consultantplus://offline/ref=B26A71188AFB25462E8D5E4B6EB680B249E24D26878C6BF53993490EEBE3875E991FC7953C739AD9704C0E8AA3977EEC53BE604858ED7F43443D2A07y303O" TargetMode = "External"/>
	<Relationship Id="rId81" Type="http://schemas.openxmlformats.org/officeDocument/2006/relationships/hyperlink" Target="consultantplus://offline/ref=B26A71188AFB25462E8D5E4B6EB680B249E24D26878C6BF53993490EEBE3875E991FC7953C739AD9704C0E8AA2977EEC53BE604858ED7F43443D2A07y303O" TargetMode = "External"/>
	<Relationship Id="rId82" Type="http://schemas.openxmlformats.org/officeDocument/2006/relationships/hyperlink" Target="consultantplus://offline/ref=B26A71188AFB25462E8D5E4B6EB680B249E24D26878C6EFD3F94490EEBE3875E991FC7952E73C2D571451089AA8228BD15yE08O" TargetMode = "External"/>
	<Relationship Id="rId83" Type="http://schemas.openxmlformats.org/officeDocument/2006/relationships/hyperlink" Target="consultantplus://offline/ref=B26A71188AFB25462E8D5E4B6EB680B249E24D26878C6BF53993490EEBE3875E991FC7953C739AD9704C0E8BAA977EEC53BE604858ED7F43443D2A07y303O" TargetMode = "External"/>
	<Relationship Id="rId84" Type="http://schemas.openxmlformats.org/officeDocument/2006/relationships/hyperlink" Target="consultantplus://offline/ref=B26A71188AFB25462E8D5E4B6EB680B249E24D26878C6BF53993490EEBE3875E991FC7953C739AD9704C0E8BA9977EEC53BE604858ED7F43443D2A07y303O" TargetMode = "External"/>
	<Relationship Id="rId85" Type="http://schemas.openxmlformats.org/officeDocument/2006/relationships/hyperlink" Target="consultantplus://offline/ref=B26A71188AFB25462E8D5E4B6EB680B249E24D26878C6BF53993490EEBE3875E991FC7953C739AD9704C0E8BA8977EEC53BE604858ED7F43443D2A07y303O" TargetMode = "External"/>
	<Relationship Id="rId86" Type="http://schemas.openxmlformats.org/officeDocument/2006/relationships/hyperlink" Target="consultantplus://offline/ref=B26A71188AFB25462E8D5E4B6EB680B249E24D26878C6BF53993490EEBE3875E991FC7953C739AD9704C0E8BAF977EEC53BE604858ED7F43443D2A07y303O" TargetMode = "External"/>
	<Relationship Id="rId87" Type="http://schemas.openxmlformats.org/officeDocument/2006/relationships/hyperlink" Target="consultantplus://offline/ref=B26A71188AFB25462E8D5E4B6EB680B249E24D26808D6DFD389E1404E3BA8B5C9E1098903B629AD979520F89B59E2ABFy104O" TargetMode = "External"/>
	<Relationship Id="rId88" Type="http://schemas.openxmlformats.org/officeDocument/2006/relationships/hyperlink" Target="consultantplus://offline/ref=B26A71188AFB25462E8D5E4B6EB680B249E24D26878C6BF53993490EEBE3875E991FC7953C739AD9704C0E8BAE977EEC53BE604858ED7F43443D2A07y303O" TargetMode = "External"/>
	<Relationship Id="rId89" Type="http://schemas.openxmlformats.org/officeDocument/2006/relationships/hyperlink" Target="consultantplus://offline/ref=B26A71188AFB25462E8D404678DADABE4CE91A29818C66A261C14F59B4B3810BD95FC1C07F3797D973475AD9EFC927BC1EF56C484FF17E40y509O" TargetMode = "External"/>
	<Relationship Id="rId90" Type="http://schemas.openxmlformats.org/officeDocument/2006/relationships/hyperlink" Target="consultantplus://offline/ref=B26A71188AFB25462E8D404678DADABE4CE1142D858566A261C14F59B4B3810BD95FC1C07F3797D973475AD9EFC927BC1EF56C484FF17E40y509O" TargetMode = "External"/>
	<Relationship Id="rId91" Type="http://schemas.openxmlformats.org/officeDocument/2006/relationships/hyperlink" Target="consultantplus://offline/ref=B26A71188AFB25462E8D404678DADABE4CE115238E8466A261C14F59B4B3810BD95FC1C07F3797D973475AD9EFC927BC1EF56C484FF17E40y509O" TargetMode = "External"/>
	<Relationship Id="rId92" Type="http://schemas.openxmlformats.org/officeDocument/2006/relationships/hyperlink" Target="consultantplus://offline/ref=B26A71188AFB25462E8D404678DADABE4FE01129878E66A261C14F59B4B3810BD95FC1C07F3797D971475AD9EFC927BC1EF56C484FF17E40y509O" TargetMode = "External"/>
	<Relationship Id="rId93" Type="http://schemas.openxmlformats.org/officeDocument/2006/relationships/image" Target="media/image13.jpeg"/>
	<Relationship Id="rId94" Type="http://schemas.openxmlformats.org/officeDocument/2006/relationships/image" Target="media/image14.jpeg"/>
	<Relationship Id="rId95" Type="http://schemas.openxmlformats.org/officeDocument/2006/relationships/image" Target="media/image15.jpeg"/>
	<Relationship Id="rId96" Type="http://schemas.openxmlformats.org/officeDocument/2006/relationships/image" Target="media/image16.jpeg"/>
	<Relationship Id="rId97" Type="http://schemas.openxmlformats.org/officeDocument/2006/relationships/image" Target="media/image17.jpeg"/>
	<Relationship Id="rId98" Type="http://schemas.openxmlformats.org/officeDocument/2006/relationships/image" Target="media/image18.png"/>
	<Relationship Id="rId99" Type="http://schemas.openxmlformats.org/officeDocument/2006/relationships/hyperlink" Target="consultantplus://offline/ref=B26A71188AFB25462E8D404678DADABE4DEC1B2B848A66A261C14F59B4B3810BCB5F99CC7E3E89D971520C88A9y90FO" TargetMode = "External"/>
	<Relationship Id="rId100" Type="http://schemas.openxmlformats.org/officeDocument/2006/relationships/hyperlink" Target="consultantplus://offline/ref=B26A71188AFB25462E8D404678DADABE4DEC1B2B848A66A261C14F59B4B3810BCB5F99CC7E3E89D971520C88A9y90FO" TargetMode = "External"/>
	<Relationship Id="rId101" Type="http://schemas.openxmlformats.org/officeDocument/2006/relationships/hyperlink" Target="consultantplus://offline/ref=B26A71188AFB25462E8D404678DADABE4DEC1B2B848A66A261C14F59B4B3810BCB5F99CC7E3E89D971520C88A9y90FO" TargetMode = "External"/>
	<Relationship Id="rId102" Type="http://schemas.openxmlformats.org/officeDocument/2006/relationships/hyperlink" Target="consultantplus://offline/ref=B26A71188AFB25462E8D5E4B6EB680B249E24D26878C64F4359D490EEBE3875E991FC7952E73C2D571451089AA8228BD15yE08O" TargetMode = "External"/>
	<Relationship Id="rId103" Type="http://schemas.openxmlformats.org/officeDocument/2006/relationships/hyperlink" Target="consultantplus://offline/ref=B26A71188AFB25462E8D5E4B6EB680B249E24D26878C6BF53993490EEBE3875E991FC7953C739AD9704C0E8BAC977EEC53BE604858ED7F43443D2A07y303O" TargetMode = "External"/>
	<Relationship Id="rId104" Type="http://schemas.openxmlformats.org/officeDocument/2006/relationships/hyperlink" Target="consultantplus://offline/ref=B26A71188AFB25462E8D5E4B6EB680B249E24D26878C6BF53993490EEBE3875E991FC7953C739AD9704C0E8BA3977EEC53BE604858ED7F43443D2A07y303O" TargetMode = "External"/>
	<Relationship Id="rId105" Type="http://schemas.openxmlformats.org/officeDocument/2006/relationships/hyperlink" Target="consultantplus://offline/ref=B26A71188AFB25462E8D5E4B6EB680B249E24D26878C6BF53993490EEBE3875E991FC7953C739AD9704C0E8BA2977EEC53BE604858ED7F43443D2A07y303O" TargetMode = "External"/>
	<Relationship Id="rId106" Type="http://schemas.openxmlformats.org/officeDocument/2006/relationships/image" Target="media/image19.jpeg"/>
	<Relationship Id="rId107" Type="http://schemas.openxmlformats.org/officeDocument/2006/relationships/image" Target="media/image20.jpeg"/>
	<Relationship Id="rId108" Type="http://schemas.openxmlformats.org/officeDocument/2006/relationships/header" Target="header2.xml"/>
	<Relationship Id="rId109" Type="http://schemas.openxmlformats.org/officeDocument/2006/relationships/footer" Target="footer2.xml"/>
	<Relationship Id="rId110" Type="http://schemas.openxmlformats.org/officeDocument/2006/relationships/hyperlink" Target="consultantplus://offline/ref=B26A71188AFB25462E8D5E4B6EB680B249E24D26878D69F63494490EEBE3875E991FC7953C739AD9704C0E89A9977EEC53BE604858ED7F43443D2A07y303O" TargetMode = "External"/>
	<Relationship Id="rId111" Type="http://schemas.openxmlformats.org/officeDocument/2006/relationships/hyperlink" Target="consultantplus://offline/ref=B26A71188AFB25462E8D5E4B6EB680B249E24D26878D69F63494490EEBE3875E991FC7953C739AD9704C0E8AAD977EEC53BE604858ED7F43443D2A07y303O" TargetMode = "External"/>
	<Relationship Id="rId112" Type="http://schemas.openxmlformats.org/officeDocument/2006/relationships/hyperlink" Target="consultantplus://offline/ref=B26A71188AFB25462E8D5E4B6EB680B249E24D26878D69F63494490EEBE3875E991FC7953C739AD9704C0E8CAA977EEC53BE604858ED7F43443D2A07y303O" TargetMode = "External"/>
	<Relationship Id="rId113" Type="http://schemas.openxmlformats.org/officeDocument/2006/relationships/hyperlink" Target="consultantplus://offline/ref=B26A71188AFB25462E8D5E4B6EB680B249E24D26878D69F63494490EEBE3875E991FC7953C739AD9704C0E8DAE977EEC53BE604858ED7F43443D2A07y303O" TargetMode = "External"/>
	<Relationship Id="rId114" Type="http://schemas.openxmlformats.org/officeDocument/2006/relationships/hyperlink" Target="consultantplus://offline/ref=B26A71188AFB25462E8D5E4B6EB680B249E24D26878D69F63494490EEBE3875E991FC7953C739AD9704C0E8FAB977EEC53BE604858ED7F43443D2A07y303O" TargetMode = "External"/>
	<Relationship Id="rId115" Type="http://schemas.openxmlformats.org/officeDocument/2006/relationships/hyperlink" Target="consultantplus://offline/ref=B26A71188AFB25462E8D5E4B6EB680B249E24D26878D69F63494490EEBE3875E991FC7953C739AD9704C0E80AF977EEC53BE604858ED7F43443D2A07y303O" TargetMode = "External"/>
	<Relationship Id="rId116" Type="http://schemas.openxmlformats.org/officeDocument/2006/relationships/hyperlink" Target="consultantplus://offline/ref=B26A71188AFB25462E8D5E4B6EB680B249E24D26878D6DF43D92490EEBE3875E991FC7953C739AD9704C0E89AB977EEC53BE604858ED7F43443D2A07y303O" TargetMode = "External"/>
	<Relationship Id="rId117" Type="http://schemas.openxmlformats.org/officeDocument/2006/relationships/hyperlink" Target="consultantplus://offline/ref=B26A71188AFB25462E8D5E4B6EB680B249E24D26878D6DF43D92490EEBE3875E991FC7953C739AD9704C0E89AA977EEC53BE604858ED7F43443D2A07y303O" TargetMode = "External"/>
	<Relationship Id="rId118" Type="http://schemas.openxmlformats.org/officeDocument/2006/relationships/hyperlink" Target="consultantplus://offline/ref=B26A71188AFB25462E8D5E4B6EB680B249E24D26878D6DF43D92490EEBE3875E991FC7953C739AD9704C0E89AA977EEC53BE604858ED7F43443D2A07y303O" TargetMode = "External"/>
	<Relationship Id="rId119" Type="http://schemas.openxmlformats.org/officeDocument/2006/relationships/hyperlink" Target="consultantplus://offline/ref=B26A71188AFB25462E8D5E4B6EB680B249E24D26878C6BF53993490EEBE3875E991FC7953C739AD9704C0E8CAA977EEC53BE604858ED7F43443D2A07y303O" TargetMode = "External"/>
	<Relationship Id="rId120" Type="http://schemas.openxmlformats.org/officeDocument/2006/relationships/hyperlink" Target="consultantplus://offline/ref=B26A71188AFB25462E8D5E4B6EB680B249E24D26878D6DF43D92490EEBE3875E991FC7953C739AD9704C0E8CAA977EEC53BE604858ED7F43443D2A07y303O" TargetMode = "External"/>
	<Relationship Id="rId121" Type="http://schemas.openxmlformats.org/officeDocument/2006/relationships/hyperlink" Target="consultantplus://offline/ref=B26A71188AFB25462E8D5E4B6EB680B249E24D26878D69F63494490EEBE3875E991FC7953C739AD9704C0E81A3977EEC53BE604858ED7F43443D2A07y303O" TargetMode = "External"/>
	<Relationship Id="rId122" Type="http://schemas.openxmlformats.org/officeDocument/2006/relationships/hyperlink" Target="consultantplus://offline/ref=B26A71188AFB25462E8D5E4B6EB680B249E24D26878D69F63494490EEBE3875E991FC7953C739AD9704C0F88AB977EEC53BE604858ED7F43443D2A07y303O" TargetMode = "External"/>
	<Relationship Id="rId123" Type="http://schemas.openxmlformats.org/officeDocument/2006/relationships/image" Target="media/image21.jpeg"/>
	<Relationship Id="rId124" Type="http://schemas.openxmlformats.org/officeDocument/2006/relationships/hyperlink" Target="consultantplus://offline/ref=B26A71188AFB25462E8D5E4B6EB680B249E24D26878D69F63494490EEBE3875E991FC7953C739AD9704C0F81AF977EEC53BE604858ED7F43443D2A07y303O" TargetMode = "External"/>
	<Relationship Id="rId125" Type="http://schemas.openxmlformats.org/officeDocument/2006/relationships/hyperlink" Target="consultantplus://offline/ref=B26A71188AFB25462E8D5E4B6EB680B249E24D26878D6DF43D92490EEBE3875E991FC7953C739AD9704C0E8CA9977EEC53BE604858ED7F43443D2A07y303O" TargetMode = "External"/>
	<Relationship Id="rId126" Type="http://schemas.openxmlformats.org/officeDocument/2006/relationships/hyperlink" Target="consultantplus://offline/ref=B26A71188AFB25462E8D5E4B6EB680B249E24D26878D6DF43D92490EEBE3875E991FC7953C739AD9704C0E8CAF977EEC53BE604858ED7F43443D2A07y303O" TargetMode = "External"/>
	<Relationship Id="rId127" Type="http://schemas.openxmlformats.org/officeDocument/2006/relationships/hyperlink" Target="consultantplus://offline/ref=B26A71188AFB25462E8D5E4B6EB680B249E24D26878D69F63494490EEBE3875E991FC7953C739AD9704C0F81AD977EEC53BE604858ED7F43443D2A07y303O" TargetMode = "External"/>
	<Relationship Id="rId128" Type="http://schemas.openxmlformats.org/officeDocument/2006/relationships/hyperlink" Target="consultantplus://offline/ref=B26A71188AFB25462E8D5E4B6EB680B249E24D26878D69F63494490EEBE3875E991FC7953C739AD9704C0F81AC977EEC53BE604858ED7F43443D2A07y303O" TargetMode = "External"/>
	<Relationship Id="rId129" Type="http://schemas.openxmlformats.org/officeDocument/2006/relationships/hyperlink" Target="consultantplus://offline/ref=B26A71188AFB25462E8D5E4B6EB680B249E24D26878D69F63494490EEBE3875E991FC7953C739AD9704C0F81A2977EEC53BE604858ED7F43443D2A07y303O" TargetMode = "External"/>
	<Relationship Id="rId130" Type="http://schemas.openxmlformats.org/officeDocument/2006/relationships/hyperlink" Target="consultantplus://offline/ref=B26A71188AFB25462E8D5E4B6EB680B249E24D26878D69F63494490EEBE3875E991FC7953C739AD9704C0C88AB977EEC53BE604858ED7F43443D2A07y303O" TargetMode = "External"/>
	<Relationship Id="rId131" Type="http://schemas.openxmlformats.org/officeDocument/2006/relationships/image" Target="media/image22.jpeg"/>
	<Relationship Id="rId132" Type="http://schemas.openxmlformats.org/officeDocument/2006/relationships/hyperlink" Target="consultantplus://offline/ref=B26A71188AFB25462E8D5E4B6EB680B249E24D26878D69F63494490EEBE3875E991FC7953C739AD9704C0C88A8977EEC53BE604858ED7F43443D2A07y303O" TargetMode = "External"/>
	<Relationship Id="rId133" Type="http://schemas.openxmlformats.org/officeDocument/2006/relationships/hyperlink" Target="consultantplus://offline/ref=B26A71188AFB25462E8D5E4B6EB680B249E24D26878D69F63494490EEBE3875E991FC7953C739AD9704C0C88AF977EEC53BE604858ED7F43443D2A07y303O" TargetMode = "External"/>
	<Relationship Id="rId134" Type="http://schemas.openxmlformats.org/officeDocument/2006/relationships/hyperlink" Target="consultantplus://offline/ref=B26A71188AFB25462E8D5E4B6EB680B249E24D26878D69F63494490EEBE3875E991FC7953C739AD9704C0C88AD977EEC53BE604858ED7F43443D2A07y303O" TargetMode = "External"/>
	<Relationship Id="rId135" Type="http://schemas.openxmlformats.org/officeDocument/2006/relationships/hyperlink" Target="consultantplus://offline/ref=B26A71188AFB25462E8D5E4B6EB680B249E24D26878D69F63494490EEBE3875E991FC7953C739AD9704C0C88AC977EEC53BE604858ED7F43443D2A07y303O" TargetMode = "External"/>
	<Relationship Id="rId136" Type="http://schemas.openxmlformats.org/officeDocument/2006/relationships/hyperlink" Target="consultantplus://offline/ref=B26A71188AFB25462E8D5E4B6EB680B249E24D26878D69F63494490EEBE3875E991FC7953C739AD9704C0C88A2977EEC53BE604858ED7F43443D2A07y303O" TargetMode = "External"/>
	<Relationship Id="rId137" Type="http://schemas.openxmlformats.org/officeDocument/2006/relationships/hyperlink" Target="consultantplus://offline/ref=B26A71188AFB25462E8D5E4B6EB680B249E24D26878D69F63494490EEBE3875E991FC7953C739AD9704C0C89AB977EEC53BE604858ED7F43443D2A07y303O" TargetMode = "External"/>
	<Relationship Id="rId138" Type="http://schemas.openxmlformats.org/officeDocument/2006/relationships/hyperlink" Target="consultantplus://offline/ref=B26A71188AFB25462E8D5E4B6EB680B249E24D26878D69F63494490EEBE3875E991FC7953C739AD9704C0C89AA977EEC53BE604858ED7F43443D2A07y303O" TargetMode = "External"/>
	<Relationship Id="rId139" Type="http://schemas.openxmlformats.org/officeDocument/2006/relationships/hyperlink" Target="consultantplus://offline/ref=B26A71188AFB25462E8D5E4B6EB680B249E24D26878D69F63494490EEBE3875E991FC7953C739AD9704C0C89A9977EEC53BE604858ED7F43443D2A07y303O" TargetMode = "External"/>
	<Relationship Id="rId140" Type="http://schemas.openxmlformats.org/officeDocument/2006/relationships/hyperlink" Target="consultantplus://offline/ref=B26A71188AFB25462E8D5E4B6EB680B249E24D26878D69F63494490EEBE3875E991FC7953C739AD9704C0C89A8977EEC53BE604858ED7F43443D2A07y303O" TargetMode = "External"/>
	<Relationship Id="rId141" Type="http://schemas.openxmlformats.org/officeDocument/2006/relationships/hyperlink" Target="consultantplus://offline/ref=B26A71188AFB25462E8D5E4B6EB680B249E24D26878D69F63494490EEBE3875E991FC7953C739AD9704C0C89AE977EEC53BE604858ED7F43443D2A07y303O" TargetMode = "External"/>
	<Relationship Id="rId142" Type="http://schemas.openxmlformats.org/officeDocument/2006/relationships/hyperlink" Target="consultantplus://offline/ref=B26A71188AFB25462E8D5E4B6EB680B249E24D26878D69F63494490EEBE3875E991FC7953C739AD9704C0C89AD977EEC53BE604858ED7F43443D2A07y303O" TargetMode = "External"/>
	<Relationship Id="rId143" Type="http://schemas.openxmlformats.org/officeDocument/2006/relationships/hyperlink" Target="consultantplus://offline/ref=B26A71188AFB25462E8D5E4B6EB680B249E24D26878D69F63494490EEBE3875E991FC7953C739AD9704C0C89AC977EEC53BE604858ED7F43443D2A07y303O" TargetMode = "External"/>
	<Relationship Id="rId144" Type="http://schemas.openxmlformats.org/officeDocument/2006/relationships/hyperlink" Target="consultantplus://offline/ref=B26A71188AFB25462E8D5E4B6EB680B249E24D26878D69F63494490EEBE3875E991FC7953C739AD9704C0C89A2977EEC53BE604858ED7F43443D2A07y303O" TargetMode = "External"/>
	<Relationship Id="rId145" Type="http://schemas.openxmlformats.org/officeDocument/2006/relationships/hyperlink" Target="consultantplus://offline/ref=B26A71188AFB25462E8D5E4B6EB680B249E24D26878D69F63494490EEBE3875E991FC7953C739AD9704C0C8AAB977EEC53BE604858ED7F43443D2A07y303O" TargetMode = "External"/>
	<Relationship Id="rId146" Type="http://schemas.openxmlformats.org/officeDocument/2006/relationships/hyperlink" Target="consultantplus://offline/ref=B26A71188AFB25462E8D5E4B6EB680B249E24D26878D69F63494490EEBE3875E991FC7953C739AD9704C0C8AA9977EEC53BE604858ED7F43443D2A07y303O" TargetMode = "External"/>
	<Relationship Id="rId147" Type="http://schemas.openxmlformats.org/officeDocument/2006/relationships/hyperlink" Target="consultantplus://offline/ref=B26A71188AFB25462E8D5E4B6EB680B249E24D26878D69F63494490EEBE3875E991FC7953C739AD9704C0C8AAF977EEC53BE604858ED7F43443D2A07y303O" TargetMode = "External"/>
	<Relationship Id="rId148" Type="http://schemas.openxmlformats.org/officeDocument/2006/relationships/hyperlink" Target="consultantplus://offline/ref=B26A71188AFB25462E8D5E4B6EB680B249E24D26878D69F63494490EEBE3875E991FC7953C739AD9704C0C8AAD977EEC53BE604858ED7F43443D2A07y303O" TargetMode = "External"/>
	<Relationship Id="rId149" Type="http://schemas.openxmlformats.org/officeDocument/2006/relationships/hyperlink" Target="consultantplus://offline/ref=B26A71188AFB25462E8D5E4B6EB680B249E24D26878D69F63494490EEBE3875E991FC7953C739AD9704C0C8AAC977EEC53BE604858ED7F43443D2A07y303O" TargetMode = "External"/>
	<Relationship Id="rId150" Type="http://schemas.openxmlformats.org/officeDocument/2006/relationships/hyperlink" Target="consultantplus://offline/ref=B26A71188AFB25462E8D5E4B6EB680B249E24D26878D69F63494490EEBE3875E991FC7953C739AD9704C0C8BAB977EEC53BE604858ED7F43443D2A07y303O" TargetMode = "External"/>
	<Relationship Id="rId151" Type="http://schemas.openxmlformats.org/officeDocument/2006/relationships/hyperlink" Target="consultantplus://offline/ref=B26A71188AFB25462E8D5E4B6EB680B249E24D26878C6BF53993490EEBE3875E991FC7953C739AD9704C0E8CA9977EEC53BE604858ED7F43443D2A07y303O" TargetMode = "External"/>
	<Relationship Id="rId152" Type="http://schemas.openxmlformats.org/officeDocument/2006/relationships/hyperlink" Target="consultantplus://offline/ref=B26A71188AFB25462E8D5E4B6EB680B249E24D26878D69F63494490EEBE3875E991FC7953C739AD9704C0C8BAB977EEC53BE604858ED7F43443D2A07y303O" TargetMode = "External"/>
	<Relationship Id="rId153" Type="http://schemas.openxmlformats.org/officeDocument/2006/relationships/hyperlink" Target="consultantplus://offline/ref=B26A71188AFB25462E8D5E4B6EB680B249E24D26878D69F63494490EEBE3875E991FC7953C739AD9704C0C8BA9977EEC53BE604858ED7F43443D2A07y303O" TargetMode = "External"/>
	<Relationship Id="rId154" Type="http://schemas.openxmlformats.org/officeDocument/2006/relationships/hyperlink" Target="consultantplus://offline/ref=B26A71188AFB25462E8D404678DADABE4DEC1422848B66A261C14F59B4B3810BCB5F99CC7E3E89D971520C88A9y90FO" TargetMode = "External"/>
	<Relationship Id="rId155" Type="http://schemas.openxmlformats.org/officeDocument/2006/relationships/hyperlink" Target="consultantplus://offline/ref=B26A71188AFB25462E8D5E4B6EB680B249E24D26878D6DF23C9C490EEBE3875E991FC7953C739AD9734F0980AE977EEC53BE604858ED7F43443D2A07y303O" TargetMode = "External"/>
	<Relationship Id="rId156" Type="http://schemas.openxmlformats.org/officeDocument/2006/relationships/hyperlink" Target="consultantplus://offline/ref=B26A71188AFB25462E8D5E4B6EB680B249E24D26878C64F33B96490EEBE3875E991FC7953C739ADE784D05DCFAD87FB016E2734850ED7C4258y30CO" TargetMode = "External"/>
	<Relationship Id="rId157" Type="http://schemas.openxmlformats.org/officeDocument/2006/relationships/hyperlink" Target="consultantplus://offline/ref=B26A71188AFB25462E8D5E4B6EB680B249E24D26878D6DFD3A93490EEBE3875E991FC7953C739AD9704C0E89A9977EEC53BE604858ED7F43443D2A07y303O" TargetMode = "External"/>
	<Relationship Id="rId158" Type="http://schemas.openxmlformats.org/officeDocument/2006/relationships/hyperlink" Target="consultantplus://offline/ref=B26A71188AFB25462E8D5E4B6EB680B249E24D26878D69F63494490EEBE3875E991FC7953C739AD9704C0C8FAA977EEC53BE604858ED7F43443D2A07y303O" TargetMode = "External"/>
	<Relationship Id="rId159" Type="http://schemas.openxmlformats.org/officeDocument/2006/relationships/hyperlink" Target="consultantplus://offline/ref=B26A71188AFB25462E8D5E4B6EB680B249E24D26878D69F63494490EEBE3875E991FC7953C739AD9704C0C8FA8977EEC53BE604858ED7F43443D2A07y303O" TargetMode = "External"/>
	<Relationship Id="rId160" Type="http://schemas.openxmlformats.org/officeDocument/2006/relationships/hyperlink" Target="consultantplus://offline/ref=B26A71188AFB25462E8D404678DADABE4DEC1422848B66A261C14F59B4B3810BCB5F99CC7E3E89D971520C88A9y90FO" TargetMode = "External"/>
	<Relationship Id="rId161" Type="http://schemas.openxmlformats.org/officeDocument/2006/relationships/hyperlink" Target="consultantplus://offline/ref=B26A71188AFB25462E8D5E4B6EB680B249E24D26878D69F63494490EEBE3875E991FC7953C739AD9704C0A8BAB977EEC53BE604858ED7F43443D2A07y303O" TargetMode = "External"/>
	<Relationship Id="rId162" Type="http://schemas.openxmlformats.org/officeDocument/2006/relationships/hyperlink" Target="consultantplus://offline/ref=B26A71188AFB25462E8D5E4B6EB680B249E24D26878C6BF53993490EEBE3875E991FC7953C739AD9704C0E8CAE977EEC53BE604858ED7F43443D2A07y303O" TargetMode = "External"/>
	<Relationship Id="rId163" Type="http://schemas.openxmlformats.org/officeDocument/2006/relationships/hyperlink" Target="consultantplus://offline/ref=B26A71188AFB25462E8D5E4B6EB680B249E24D26878C6BF53993490EEBE3875E991FC7953C739AD9704C0E8CAD977EEC53BE604858ED7F43443D2A07y303O" TargetMode = "External"/>
	<Relationship Id="rId164" Type="http://schemas.openxmlformats.org/officeDocument/2006/relationships/hyperlink" Target="consultantplus://offline/ref=B26A71188AFB25462E8D5E4B6EB680B249E24D26878C6BF53993490EEBE3875E991FC7953C739AD9704C0E8CAC977EEC53BE604858ED7F43443D2A07y303O" TargetMode = "External"/>
	<Relationship Id="rId165" Type="http://schemas.openxmlformats.org/officeDocument/2006/relationships/hyperlink" Target="consultantplus://offline/ref=B26A71188AFB25462E8D5E4B6EB680B249E24D26878C6BF53993490EEBE3875E991FC7953C739AD9704C0E8CA2977EEC53BE604858ED7F43443D2A07y303O" TargetMode = "External"/>
	<Relationship Id="rId166" Type="http://schemas.openxmlformats.org/officeDocument/2006/relationships/hyperlink" Target="consultantplus://offline/ref=B26A71188AFB25462E8D5E4B6EB680B249E24D26878D69F63494490EEBE3875E991FC7953C739AD9704C0A8BA9977EEC53BE604858ED7F43443D2A07y303O" TargetMode = "External"/>
	<Relationship Id="rId167" Type="http://schemas.openxmlformats.org/officeDocument/2006/relationships/hyperlink" Target="consultantplus://offline/ref=B26A71188AFB25462E8D5E4B6EB680B249E24D26878D69F63494490EEBE3875E991FC7953C739AD9704C0A8BA8977EEC53BE604858ED7F43443D2A07y303O" TargetMode = "External"/>
	<Relationship Id="rId168" Type="http://schemas.openxmlformats.org/officeDocument/2006/relationships/hyperlink" Target="consultantplus://offline/ref=B26A71188AFB25462E8D5E4B6EB680B249E24D26878D69F63494490EEBE3875E991FC7953C739AD9704C0A8BAE977EEC53BE604858ED7F43443D2A07y303O" TargetMode = "External"/>
	<Relationship Id="rId169" Type="http://schemas.openxmlformats.org/officeDocument/2006/relationships/hyperlink" Target="consultantplus://offline/ref=B26A71188AFB25462E8D5E4B6EB680B249E24D26878D69F63494490EEBE3875E991FC7953C739AD9704C0A8BAC977EEC53BE604858ED7F43443D2A07y303O" TargetMode = "External"/>
	<Relationship Id="rId170" Type="http://schemas.openxmlformats.org/officeDocument/2006/relationships/hyperlink" Target="consultantplus://offline/ref=B26A71188AFB25462E8D5E4B6EB680B249E24D26878D69F63494490EEBE3875E991FC7953C739AD9704C0A8BA3977EEC53BE604858ED7F43443D2A07y303O" TargetMode = "External"/>
	<Relationship Id="rId171" Type="http://schemas.openxmlformats.org/officeDocument/2006/relationships/image" Target="media/image23.wmf"/>
	<Relationship Id="rId172" Type="http://schemas.openxmlformats.org/officeDocument/2006/relationships/hyperlink" Target="consultantplus://offline/ref=B26A71188AFB25462E8D5E4B6EB680B249E24D26878C6BF53993490EEBE3875E991FC7953C739AD9704C0E8DAA977EEC53BE604858ED7F43443D2A07y303O" TargetMode = "External"/>
	<Relationship Id="rId173" Type="http://schemas.openxmlformats.org/officeDocument/2006/relationships/hyperlink" Target="consultantplus://offline/ref=B26A71188AFB25462E8D5E4B6EB680B249E24D26878C6BF53993490EEBE3875E991FC7953C739AD9704C0E8DAA977EEC53BE604858ED7F43443D2A07y303O" TargetMode = "External"/>
	<Relationship Id="rId174" Type="http://schemas.openxmlformats.org/officeDocument/2006/relationships/hyperlink" Target="consultantplus://offline/ref=B26A71188AFB25462E8D404678DADABE4DEC1B2B848A66A261C14F59B4B3810BCB5F99CC7E3E89D971520C88A9y90FO"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4023.00.09</Application>
  <Company>КонсультантПлюс Версия 4023.00.09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 Курской области от 14.12.2020 N 100-ЗКО
(ред. от 06.10.2023)
"О Стратегии социально-экономического развития Курской области на период до 2030 года"
(принят Курской областной Думой 11.12.2020)</dc:title>
  <dcterms:created xsi:type="dcterms:W3CDTF">2023-11-19T14:52:47Z</dcterms:created>
</cp:coreProperties>
</file>