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Липецкой обл. от 16.02.2023 N 18-од</w:t>
              <w:br/>
              <w:t xml:space="preserve">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МОЛОДЕЖНОЙ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февраля 2023 г. N 18-од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ДЕТСКОГО И МОЛОДЕЖНОГО</w:t>
      </w:r>
    </w:p>
    <w:p>
      <w:pPr>
        <w:pStyle w:val="2"/>
        <w:jc w:val="center"/>
      </w:pPr>
      <w:r>
        <w:rPr>
          <w:sz w:val="20"/>
        </w:rPr>
        <w:t xml:space="preserve">ОБЩЕСТВЕННОГО ДВИЖЕНИЯ, ПОДДЕРЖКУ ДЕТСКИХ, МОЛОДЕЖНЫХ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И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Е.И.ЩУКИНА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</w:t>
      </w:r>
    </w:p>
    <w:p>
      <w:pPr>
        <w:pStyle w:val="0"/>
        <w:jc w:val="right"/>
      </w:pPr>
      <w:r>
        <w:rPr>
          <w:sz w:val="20"/>
        </w:rPr>
        <w:t xml:space="preserve">с детьми и молодежью"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РАЗВИТИЕ ДЕТСКОГО И МОЛОДЕЖНОГО ОБЩЕСТВЕННОГО ДВИЖЕНИЯ,</w:t>
      </w:r>
    </w:p>
    <w:p>
      <w:pPr>
        <w:pStyle w:val="2"/>
        <w:jc w:val="center"/>
      </w:pPr>
      <w:r>
        <w:rPr>
          <w:sz w:val="20"/>
        </w:rPr>
        <w:t xml:space="preserve">ПОДДЕРЖКУ ДЕТСКИХ, МОЛОДЕЖНЫХ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И ОБЩЕСТВЕННЫХ ОБЪЕДИНЕНИЙ, 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(далее - субсидия),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регионального проекта "Социальная активность", обеспечивающего достижение целей, результатов и показателей федерального </w:t>
      </w:r>
      <w:hyperlink w:history="0" r:id="rId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национального </w:t>
      </w:r>
      <w:hyperlink w:history="0" r:id="rId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и государственной </w:t>
      </w:r>
      <w:hyperlink w:history="0" r:id="rId12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молодежной политики Липецкой области (далее - Управление) в соответствии с условиями и требованиями, установленными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сайте Управления (</w:t>
      </w:r>
      <w:r>
        <w:rPr>
          <w:sz w:val="20"/>
        </w:rPr>
        <w:t xml:space="preserve">http://www.областьбудущего.рф/</w:t>
      </w:r>
      <w:r>
        <w:rPr>
          <w:sz w:val="20"/>
        </w:rPr>
        <w:t xml:space="preserve">) в информационно-телекоммуникационной сети Интернет (далее - интернет-портал).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организациям, соответствующим условиям и требованиям, установленным в Законе об областном бюджете (далее - претенденты на участие в конкурсе), и прошедшим конкурс. Отбор осуществляется Управлением способом проведения конкурса исходя из наилучших условий достижения результата предоставления субсидии (далее - конкурс).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конкурса Управление не позднее 30 апреля текущего года размещает на едином портале и на интернет-портале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конкурса, даты начала подачи или окончания приема предложений (заявок)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претендентам на участие в конкурсе, указанных в Законе об областном бюджете, и перечня документов, представляемых претендентами на участие в конкурсе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67" w:tooltip="6. Претендент на участие в конкурсе в сроки, указанные в объявлении о проведении конкурса, размещенном на едином портале и на интернет-портале в соответствии с пунктом 5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на участие в конкурсе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конкурса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едином портале, а также на интернет-портале, которая не может быть позднее 14-го календарного дня, следующего за днем определения победителей конкурса.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Претендент на участие в конкурсе в сроки, указанные в объявлении о проведении конкурса, размещенном на едином портале и на интернет-портале в соответствии с </w:t>
      </w:r>
      <w:hyperlink w:history="0" w:anchor="P54" w:tooltip="5. В целях проведения конкурса Управление не позднее 30 апреля текущего года размещает на едином портале и на интернет-портале объявление о проведении конкурс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8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устава претендента на участие в конкурсе;</w:t>
      </w:r>
    </w:p>
    <w:p>
      <w:pPr>
        <w:pStyle w:val="0"/>
        <w:spacing w:before="200" w:line-rule="auto"/>
        <w:ind w:firstLine="540"/>
        <w:jc w:val="both"/>
      </w:pPr>
      <w:hyperlink w:history="0" w:anchor="P243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претенденте на участие в конкурсе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55" w:tooltip="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 реализацию которого запрашивается субсидия из областного бюджета,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592" w:tooltip="                                   СМЕТА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на реализацию проекта по форме согласно приложению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перед сотрудниками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претендента на участие в конкурсе на публикацию (размещение) на едином портале и на интернет-портале информации об участнике конкурса, о подаваемой участником конкурса заявке и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(копии документов) должны быть прошиты, страницы пронумерованы, подписаны руководителем и заверены печатью претендента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претендент на участие в конкурсе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претендентом на участие в конкурсе предъявляется документ, удостоверяющий его личность. При представлении документов представителем претендента на участие в конкурсе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данном пункте, осуществляется в день их поступления должностным лицом, уполномоченным приказом Управления на прием документов, в день их поступления в порядке очередности поступления.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претендент на участие в конкурсе не находится в процессе реорганизации, ликвидации, в отношении претендента на участие в конкурсе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участие в конкурсе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10 рабочих дней со дня, следующего за днем окончания срока подачи заявок, указанного в объявлении о проведении конкурса: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67" w:tooltip="6. Претендент на участие в конкурсе в сроки, указанные в объявлении о проведении конкурса, размещенном на едином портале и на интернет-портале в соответствии с пунктом 5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8" w:tooltip="7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осуществляет проверку документов и претендента на участие в конкурсе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(об отказе в допуске) претендентов на участие в конкурсе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принятое решение актом о рассмотрении документов, указанных в </w:t>
      </w:r>
      <w:hyperlink w:history="0" w:anchor="P67" w:tooltip="6. Претендент на участие в конкурсе в сроки, указанные в объявлении о проведении конкурса, размещенном на едином портале и на интернет-портале в соответствии с пунктом 5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8" w:tooltip="7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допущены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87" w:tooltip="1) уполномоченное лицо:">
        <w:r>
          <w:rPr>
            <w:sz w:val="20"/>
            <w:color w:val="0000ff"/>
          </w:rPr>
          <w:t xml:space="preserve">подпункта 1 пункта 8</w:t>
        </w:r>
      </w:hyperlink>
      <w:r>
        <w:rPr>
          <w:sz w:val="20"/>
        </w:rPr>
        <w:t xml:space="preserve"> настоящего Порядка (далее - приказ об утверждении перечня участников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участников конкурса на интернет-портале и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претендентам на участие в конкурсе, не допущенным к участию в конкурсе, уведомления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на участие в конкурсе в заявке, позволяющим установить получение уведомления претендентом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допуске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на участие в конкурсе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указанных в </w:t>
      </w:r>
      <w:hyperlink w:history="0" w:anchor="P67" w:tooltip="6. Претендент на участие в конкурсе в сроки, указанные в объявлении о проведении конкурса, размещенном на едином портале и на интернет-портале в соответствии с пунктом 5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претендентом на участие в конкурсе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претендентом на участие в конкурсе заявки после даты и (или) времени, определенных для подачи заявок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Уполномоченное лицо в течение 3 рабочих дней со дня, следующего за днем размещения на едином портале и интернет-портале приказа об утверждении перечня участников конкурса, передает документы претендентов на участие в конкурсе, допущенных к участию в конкурсе (далее - участники конкурса),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Конкурсная комиссия формируется из лиц, замещающих должности государственной гражданской службы в Управлении, представителей исполнительных органов государственной власти Липецкой области, подведомственных им учреждений,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составлять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утверждаются приказом Управления.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в течение 10 рабочих дней со дня, следующего за днем получения документов, проводит их оценку по </w:t>
      </w:r>
      <w:hyperlink w:history="0" w:anchor="P684" w:tooltip="КРИТЕРИИ ОЦЕНК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с учетом весового значения в общей оценке, установленным приложением 5 к настоящему Порядку, определяет победителей конкурса в порядке, установленном </w:t>
      </w:r>
      <w:hyperlink w:history="0" w:anchor="P110" w:tooltip="13. Конкурс осуществляется по балльной системе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и оформляет свое решение протоколом.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 осуществляется по 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выставляет участнику конкурса по каждому критерию оценки соответствующий балл, который умножается на весовое значение по данному критерию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участников конкурса членами конкурсной комиссии выполняется расчет среднего балла каждого участника конкурса с округлением до двух знаков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этого сумма баллов, выставленных всеми членами конкурсной комиссии по всем критериям оценки с учетом весового значения соответствующему участнику конкурса, делится на число членов конкурсной комиссии, оценивавших заявку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среднего балла формируется рейтинг участников конкурса, начиная с участника конкурса, получившего наибольший средний балл. Участник, получивший наибольший средний балл, получает наименьший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участника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 = ОКБ / N,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 - минимальное значение рейтинга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ОКБ - сумма средних баллов, набранных всеми участниками;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средний балл которых превышает или равен минимальному значению рейтинга участников, признаются победителями конкурса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Протокол, указанный в </w:t>
      </w:r>
      <w:hyperlink w:history="0" w:anchor="P109" w:tooltip="12. Конкурсная комиссия в течение 10 рабочих дней со дня, следующего за днем получения документов, проводит их оценку по критериям оценки с учетом весового значения в общей оценке, установленным приложением 5 к настоящему Порядку, определяет победителей конкурса в порядке, установленном пунктом 13 настоящего Порядка, и оформляет свое решение протоколом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 (далее - протокол), в течение 1 рабочего дня со дня, следующего за днем его подписания, передается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5 рабочих дней со дня, следующего за днем получения протокола: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подготавливает проект приказа о предоставлении субсидий из областного бюджета победителям конкурса (далее - приказ о предоставлении субсидий), который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конкурса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оценены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участника конкурса,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 предоставлении субсидий на интернет-портале и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получателю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получателем субсидии Соглашение в день его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вовлечение молодежи, молодежных и детских общественных объединений и организаций в социальные практики по основным направлениям реализации государственной молодежной политики, формирование и развитие способностей, личных компетенций для самореализации и профессионального развития, значение которых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(характеристика устанавливается, если в реализации проекта участвуют добровольцы (волонтеры);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о проводимых мероприятиях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Субсидия предоставляется в размере, указанном в расчете необходимого объема субсидии, представленном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9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(далее - субсидия), в пределах средств, предусмотренных на эти цели в Законе Липецкой области об областном бюджете на соответствующий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субсидий каждому из получателей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002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соответствующий финансовый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2 рабочих дней со дня, следующего за днем заключения с получателями субсидий соглашений: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подготавливает проект приказа о выплате субсидий в разрезе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подписывает приказ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указанных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Получатели субсидии представляют в Управление ежеквартально, не позднее 15 числа месяца (включительно), следующего за отчетным кварталом, а за год - до 23 декабря года предоставления субсидий отчет о достижении результата предоставления субсидий и характеристик по форме, установленной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увеличении объема средств, предусмотренных Законом об областном бюджете на указанные в настоящем Порядке цели, а также при наличии нераспределенных субсидий Управление проводит новый конкурс в соответствии с настоящим Порядком. Управление размещает объявление о проведении нового конкурса на едином портале и интернет-портале с указанием даты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нового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Проверки соблюдения получателями субсидий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Возврат средств субсидии в случае нарушения получателем субсидий порядка и условий, установленных при предоставлении субсидий, недостижения значений результатов предоставления субсидий,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детского</w:t>
      </w:r>
    </w:p>
    <w:p>
      <w:pPr>
        <w:pStyle w:val="0"/>
        <w:jc w:val="right"/>
      </w:pPr>
      <w:r>
        <w:rPr>
          <w:sz w:val="20"/>
        </w:rPr>
        <w:t xml:space="preserve">и молодежного общественного движения,</w:t>
      </w:r>
    </w:p>
    <w:p>
      <w:pPr>
        <w:pStyle w:val="0"/>
        <w:jc w:val="right"/>
      </w:pPr>
      <w:r>
        <w:rPr>
          <w:sz w:val="20"/>
        </w:rPr>
        <w:t xml:space="preserve">поддержку детских,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и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644"/>
        <w:gridCol w:w="340"/>
        <w:gridCol w:w="2835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2" w:name="P182"/>
          <w:bookmarkEnd w:id="18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претендента на участие в конкурсе на предоставление субсидии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претендента на участие в конкурсе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заявку на участие в конкурсе на предоставление субсидии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молодежью, с целью получения субсидии из областного бюджета на реализацию проекта:</w:t>
            </w:r>
          </w:p>
        </w:tc>
      </w:tr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gridSpan w:val="5"/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Запрашиваемый объем финансирования из бюджета области составляет: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запрашиваемая сумма цифрами и прописью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Согласен на осуществление Управлением проверки соблюдения порядка и условий предоставления субсидий, в том числе в части достижения результатов их предоставления, а также на осуществление проверки органом государственного финансового контроля в соответствии со </w:t>
            </w:r>
      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представленной в составе заявки, а также отсутствие просроченной задолженности по возврату в областной бюджет субсидий, грантов в форме субсидий, бюджетных инвестиций, просроченной (неурегулированной) задолженности перед областным бюджетом, подтверждаю.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Отсутствие в составе учредителей организации политической партии, отсутствие в уставе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 в течение последних трех лет подтверждаю.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Подтверждаю, что не являюсь получателем средств областного бюджета в соответствии с иными нормативными правовыми актами области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молодежью, в текущем финансовом году.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Подтверждаю, что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 наличие опыта в привлечении средств и ресурсов из других источников для реализации социально значимых проектов.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Подтверждаю, что претендент на участие в конкурсе ознакомлен с положениями Федерального </w:t>
            </w:r>
            <w:hyperlink w:history="0" r:id="rId19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 июля 2006 года N 152-ФЗ "О персональных данных", права и обязанности в области защиты персональных данных разъяснены.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Прошу все необходимые уведомления направлять указанным способом: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Приложения: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копия устава претендента на участие в конкурсе на ___ листах в ___ экземпляре;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 претенденте на участие в конкурсе на ___ листах в ___ экземпляре;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проект, на реализацию которого запрашивается субсидия из областного бюджета, на ___ листах в ___ экземпляре;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смета расходов на реализацию проекта на ___ листах в ___ экземпляре;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справка об отсутствии задолженности по заработной плате перед сотрудниками на дату подачи заявки на ___ листах в ___ экземпляре;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согласие претендента на участие в конкурсе на публикацию (размещение) на едином портале и на интернет-портале информации о претенденте на участие в конкурсе, о подаваемой претендентом на участие в конкурсе заявке и иной информации о претенденте на участие в конкурсе, связанной с конкурсом, на ___ листах в ___ экземпляре.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 20__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детского</w:t>
      </w:r>
    </w:p>
    <w:p>
      <w:pPr>
        <w:pStyle w:val="0"/>
        <w:jc w:val="right"/>
      </w:pPr>
      <w:r>
        <w:rPr>
          <w:sz w:val="20"/>
        </w:rPr>
        <w:t xml:space="preserve">и молодежного общественного движения,</w:t>
      </w:r>
    </w:p>
    <w:p>
      <w:pPr>
        <w:pStyle w:val="0"/>
        <w:jc w:val="right"/>
      </w:pPr>
      <w:r>
        <w:rPr>
          <w:sz w:val="20"/>
        </w:rPr>
        <w:t xml:space="preserve">поддержку детских,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и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3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43" w:name="P243"/>
          <w:bookmarkEnd w:id="24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претенденте на участие в конкурсе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</w:t>
            </w:r>
            <w:r>
              <w:rPr>
                <w:sz w:val="20"/>
              </w:rPr>
              <w:t xml:space="preserve"> Полное название претендента на участие в конкурсе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(в строгом соответствии со свидетельством о внесении записи в ЕГРЮЛ)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</w:t>
            </w:r>
            <w:r>
              <w:rPr>
                <w:sz w:val="20"/>
              </w:rPr>
              <w:t xml:space="preserve"> Сокращенное наименование претендента на участие в конкурсе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(в строгом соответствии со свидетельством о внесении записи в ЕГРЮЛ)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</w:t>
            </w:r>
            <w:r>
              <w:rPr>
                <w:sz w:val="20"/>
              </w:rPr>
              <w:t xml:space="preserve"> Организационно-правовая форма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</w:t>
            </w:r>
            <w:r>
              <w:rPr>
                <w:sz w:val="20"/>
              </w:rPr>
              <w:t xml:space="preserve"> Дата регистрации (при создании до 1 июля 2002 года)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</w:t>
            </w:r>
            <w:r>
              <w:rPr>
                <w:sz w:val="20"/>
              </w:rPr>
              <w:t xml:space="preserve">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</w:t>
            </w:r>
            <w:r>
              <w:rPr>
                <w:sz w:val="20"/>
              </w:rPr>
              <w:t xml:space="preserve"> Основной государственный регистрационный номер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</w:t>
            </w:r>
            <w:r>
              <w:rPr>
                <w:sz w:val="20"/>
              </w:rPr>
              <w:t xml:space="preserve"> Код по общероссийскому классификатору продукции (ОКПО)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8.</w:t>
            </w:r>
            <w:r>
              <w:rPr>
                <w:sz w:val="20"/>
              </w:rPr>
              <w:t xml:space="preserve"> Код(ы) по общероссийскому классификатору внешнеэкономической деятельности </w:t>
            </w: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</w:t>
            </w:r>
            <w:r>
              <w:rPr>
                <w:sz w:val="20"/>
              </w:rPr>
              <w:t xml:space="preserve"> Индивидуальный номер налогоплательщика (ИНН)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</w:t>
            </w:r>
            <w:r>
              <w:rPr>
                <w:sz w:val="20"/>
              </w:rPr>
              <w:t xml:space="preserve"> Код причины постановки на учет (КПП)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</w:t>
            </w:r>
            <w:r>
              <w:rPr>
                <w:sz w:val="20"/>
              </w:rPr>
              <w:t xml:space="preserve"> Адрес (место нахождения) постоянно действующего органа организации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</w:t>
            </w:r>
            <w:r>
              <w:rPr>
                <w:sz w:val="20"/>
              </w:rPr>
              <w:t xml:space="preserve"> Почтовый адрес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13.</w:t>
            </w:r>
            <w:r>
              <w:rPr>
                <w:sz w:val="20"/>
              </w:rPr>
              <w:t xml:space="preserve"> Телефон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14.</w:t>
            </w:r>
            <w:r>
              <w:rPr>
                <w:sz w:val="20"/>
              </w:rPr>
              <w:t xml:space="preserve"> Сайт в сети Интернет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15.</w:t>
            </w:r>
            <w:r>
              <w:rPr>
                <w:sz w:val="20"/>
              </w:rPr>
              <w:t xml:space="preserve"> Адрес электронной почты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16.</w:t>
            </w:r>
            <w:r>
              <w:rPr>
                <w:sz w:val="20"/>
              </w:rPr>
              <w:t xml:space="preserve"> Наименование должности руководителя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17.</w:t>
            </w:r>
            <w:r>
              <w:rPr>
                <w:sz w:val="20"/>
              </w:rPr>
              <w:t xml:space="preserve"> Фамилия, имя, отчество руководителя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18.</w:t>
            </w:r>
            <w:r>
              <w:rPr>
                <w:sz w:val="20"/>
              </w:rPr>
              <w:t xml:space="preserve"> 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19.</w:t>
            </w:r>
            <w:r>
              <w:rPr>
                <w:sz w:val="20"/>
              </w:rPr>
              <w:t xml:space="preserve"> Численность членов (для общественных организаций)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20.</w:t>
            </w:r>
            <w:r>
              <w:rPr>
                <w:sz w:val="20"/>
              </w:rPr>
              <w:t xml:space="preserve"> Численность добровольцев, привлеченных в 2022 году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21.</w:t>
            </w:r>
            <w:r>
              <w:rPr>
                <w:sz w:val="20"/>
              </w:rPr>
              <w:t xml:space="preserve"> Общая сумма денежных средств, полученных претендентом на участие в конкурсе в 2022 году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Из них: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предоставленные бюджетные средства (с указанием источника)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22.</w:t>
            </w:r>
            <w:r>
              <w:rPr>
                <w:sz w:val="20"/>
              </w:rPr>
              <w:t xml:space="preserve"> Информация о видах деятельности, осуществляемых претендентом на участие в конкурсе в соответствии с уставными документами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23. Основные реализованные проекты/мероприятия по заявленному приоритетному направлению: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Таблица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"/>
        <w:gridCol w:w="1814"/>
        <w:gridCol w:w="1134"/>
        <w:gridCol w:w="2098"/>
        <w:gridCol w:w="27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результаты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3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КРАТКАЯ 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проекте, представляемом в составе заявки претендента на участие в конкурсе на предоставление субсидии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</w:t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направление, по которому подается проект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управления претендента на участие в конкурсе, утвердившего проект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утверждения проекта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</w:t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 - дд.мм.гггг</w:t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 - дд.мм.гггг</w:t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(руб.)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(руб.)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проекта (руб.)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64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детского</w:t>
      </w:r>
    </w:p>
    <w:p>
      <w:pPr>
        <w:pStyle w:val="0"/>
        <w:jc w:val="right"/>
      </w:pPr>
      <w:r>
        <w:rPr>
          <w:sz w:val="20"/>
        </w:rPr>
        <w:t xml:space="preserve">и молодежного общественного движения,</w:t>
      </w:r>
    </w:p>
    <w:p>
      <w:pPr>
        <w:pStyle w:val="0"/>
        <w:jc w:val="right"/>
      </w:pPr>
      <w:r>
        <w:rPr>
          <w:sz w:val="20"/>
        </w:rPr>
        <w:t xml:space="preserve">поддержку детских,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и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55" w:name="P455"/>
          <w:bookmarkEnd w:id="45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ПРОЕКТ,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реализацию которого запрашивается субсидия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из областного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 Название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 Обоснование социальной значимости проекта, описание основных проблем, на решение которых направлен проект: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 Цели и задачи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 Целевая аудитория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 География проекта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(перечислить все муниципальные районы и городские округа Липецкой области, на территории которых планируется реализация проекта):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 Описание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 Календарный план реализации проекта: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Таблица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58"/>
        <w:gridCol w:w="2125"/>
        <w:gridCol w:w="28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в рамках этапа</w:t>
            </w:r>
          </w:p>
        </w:tc>
        <w:tc>
          <w:tcPr>
            <w:tcW w:w="2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начала и окончания (мес., год)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мероприятия</w:t>
            </w:r>
          </w:p>
        </w:tc>
      </w:tr>
      <w:tr>
        <w:tc>
          <w:tcPr>
            <w:gridSpan w:val="4"/>
            <w:tcW w:w="904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 этап: название этапа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N этап: название этапа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8. Описание позитивных изменений, которые произойдут в результате реализации проекта (проведения мероприятия):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 Качественные и количественные показатели оценки планируемых результатов: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Таблица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88"/>
        <w:gridCol w:w="2608"/>
        <w:gridCol w:w="260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 Организации и учреждения, привлекаемые для реализации проекта: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Таблица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09"/>
        <w:gridCol w:w="419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привлекаемой организации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Функционал (кратко)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3"/>
      </w:tblGrid>
      <w:tr>
        <w:tc>
          <w:tcPr>
            <w:tcW w:w="34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 Информация о дальнейшем ходе реализации проекта в будущих периодах</w:t>
            </w:r>
          </w:p>
        </w:tc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64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детского</w:t>
      </w:r>
    </w:p>
    <w:p>
      <w:pPr>
        <w:pStyle w:val="0"/>
        <w:jc w:val="right"/>
      </w:pPr>
      <w:r>
        <w:rPr>
          <w:sz w:val="20"/>
        </w:rPr>
        <w:t xml:space="preserve">и молодежного общественного движения,</w:t>
      </w:r>
    </w:p>
    <w:p>
      <w:pPr>
        <w:pStyle w:val="0"/>
        <w:jc w:val="right"/>
      </w:pPr>
      <w:r>
        <w:rPr>
          <w:sz w:val="20"/>
        </w:rPr>
        <w:t xml:space="preserve">поддержку детских,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и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bookmarkStart w:id="592" w:name="P592"/>
    <w:bookmarkEnd w:id="592"/>
    <w:p>
      <w:pPr>
        <w:pStyle w:val="1"/>
        <w:jc w:val="both"/>
      </w:pPr>
      <w:r>
        <w:rPr>
          <w:sz w:val="20"/>
        </w:rPr>
        <w:t xml:space="preserve">                                   </w:t>
      </w:r>
      <w:r>
        <w:rPr>
          <w:sz w:val="20"/>
          <w:b w:val="on"/>
        </w:rPr>
        <w:t xml:space="preserve">СМЕТА</w:t>
      </w:r>
    </w:p>
    <w:p>
      <w:pPr>
        <w:pStyle w:val="1"/>
        <w:jc w:val="both"/>
      </w:pPr>
      <w:r>
        <w:rPr>
          <w:sz w:val="20"/>
        </w:rPr>
        <w:t xml:space="preserve">                       </w:t>
      </w:r>
      <w:r>
        <w:rPr>
          <w:sz w:val="20"/>
          <w:b w:val="on"/>
        </w:rPr>
        <w:t xml:space="preserve">необходимого объема субсидий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наименование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87"/>
        <w:gridCol w:w="1587"/>
        <w:gridCol w:w="1361"/>
        <w:gridCol w:w="1361"/>
        <w:gridCol w:w="1417"/>
        <w:gridCol w:w="11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проекта (руб.)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 (руб.)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1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64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 детского</w:t>
      </w:r>
    </w:p>
    <w:p>
      <w:pPr>
        <w:pStyle w:val="0"/>
        <w:jc w:val="right"/>
      </w:pPr>
      <w:r>
        <w:rPr>
          <w:sz w:val="20"/>
        </w:rPr>
        <w:t xml:space="preserve">и молодежного общественного движения,</w:t>
      </w:r>
    </w:p>
    <w:p>
      <w:pPr>
        <w:pStyle w:val="0"/>
        <w:jc w:val="right"/>
      </w:pPr>
      <w:r>
        <w:rPr>
          <w:sz w:val="20"/>
        </w:rPr>
        <w:t xml:space="preserve">поддержку детских, молодежных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right"/>
      </w:pPr>
      <w:r>
        <w:rPr>
          <w:sz w:val="20"/>
        </w:rPr>
        <w:t xml:space="preserve">и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работающих с детьми и молодежью</w:t>
      </w:r>
    </w:p>
    <w:p>
      <w:pPr>
        <w:pStyle w:val="0"/>
        <w:jc w:val="both"/>
      </w:pPr>
      <w:r>
        <w:rPr>
          <w:sz w:val="20"/>
        </w:rPr>
      </w:r>
    </w:p>
    <w:bookmarkStart w:id="684" w:name="P684"/>
    <w:bookmarkEnd w:id="684"/>
    <w:p>
      <w:pPr>
        <w:pStyle w:val="2"/>
        <w:jc w:val="center"/>
      </w:pPr>
      <w:r>
        <w:rPr>
          <w:sz w:val="20"/>
        </w:rPr>
        <w:t xml:space="preserve">КРИТЕРИИ ОЦЕНКИ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4"/>
        <w:gridCol w:w="4535"/>
        <w:gridCol w:w="1361"/>
        <w:gridCol w:w="1928"/>
      </w:tblGrid>
      <w:tr>
        <w:tc>
          <w:tcPr>
            <w:gridSpan w:val="2"/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в общей оценке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"Эффективность"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"Социальная эффективность"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80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Вклад проекта в развитие социальной политики Липецкой области, важность проекта для позитивных изменений в решении социально значимых проблем, указанных в проекте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Потенциал улучшения состояния целевой группы в результате реализации проекта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проекта на решение других социально значимых проблем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новых подходов и методов в решении заявленных проблем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Вероятность негативных последствий, а также их возможный масштаб в случае отказа от реализации мероприятий проекта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Нацеленность на получение социального эффекта: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проведение единовременного мероприятия;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50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получение отсроченного результата (изменения в поведении целевой группы);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получение долгосрочного устойчивого эффекта (изменения к лучшему в структуре проблемы целевой группы)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"Экономическая эффективность"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0 до 20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затрат и предполагаемых результатов (в случае, если такая оценка возможна)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"Реалистичность"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Подготовленность претендента на участие в конкурсе для реализации проекта (опыт претендента на участие в конкурсе в управлении проектами, свидетельствующий о способностях выполнить заявленные мероприятия в запланированном масштабе с запланированным бюджетом)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потенциал претендента на участие в конкурсе, необходимый для выполнения мероприятий проекта,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у претендента на участие в конкурсе собственных сотрудников, имеющих опыт и квалификацию, необходимые для выполнения мероприятий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способность претендента на участие в конкурсе привлечь в необходимом объеме специалистов и добровольцев для выполнения заявленных мероприятий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софинансирования претендентом на участие в конкурсе проекта (включая финансовые средства, денежную оценку имущества, труда добровольцев)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Свыше 60% планируемых расходов на реализацию проекта - 40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 до 60% - 30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50% - 20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30% - 10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10% - 0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"Обоснованность"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запрашиваемых средств на реализацию мероприятий проекта его задачам, масштабу мероприятий и планируемым результатам, экономичность предложенных затрат (отсутствие излишних затрат и завышенных расходов)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достаточность обоснований, расчетов, а также системность и логическая последовательность заявленных мероприятий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достижимость качественных и количественных показателей изменений в целевых группах населения в результате реализации мероприятий проекта, четкость формулировки планируемых результатов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Открытость и прозрачность деятельности претендента на участие в конкурсе (наличие информации о претенденте на участие в конкурсе в сети Интернет (в том числе финансовой отчетности), количество публикаций в СМИ, опыт в проведении публичных мероприятий)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проектной сети (отделений, филиалов, представительств в муниципальных образованиях)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1 баллу за каждое структурное подразделение,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10 и более - максимальное значение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"Уровень охвата муниципальных образований (городских округов, городских и сельских поселений)/жителей муниципальных образований при реализации социального проекта"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50% от общего количества МО - 100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50% - 80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20 до 30% - 60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20% - 40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 до 10% - 20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2,5 до 5% - 10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2,5% - 0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"Актуальность"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Важность для Липецкой области сферы общественных отношений и актуальность проекта в рамках направления поддержки (в том числе по сравнению с иными заявками, представленными по данному направлению)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Уникальность проекта: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повторяет функционал госучреждений;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50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дополняет функционал госучреждений;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предлагает мероприятия, не проводимые госучреждениями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Востребованность мероприятий проекта у населения области, подтвержденная исследованиями, опросами, анализом состояния целевой аудитории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Липецкой обл. от 16.02.2023 N 18-од</w:t>
            <w:br/>
            <w:t>"Об утверждении порядка определения объема 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3FA601438944048E46BC55B789F943B16EE77280432A8E90D6C15A094D0F1B556341498E57D510946DEDF1FBC117317B7769E010D5s3tCM" TargetMode = "External"/>
	<Relationship Id="rId8" Type="http://schemas.openxmlformats.org/officeDocument/2006/relationships/hyperlink" Target="consultantplus://offline/ref=AB3FA601438944048E46A258A1E5A54CB566BB7D824221D8C984C70D561D094E15234718C413DD1AC03CA9A4F3CB417E3F247AE312C93F67D4BD3B16s9t6M" TargetMode = "External"/>
	<Relationship Id="rId9" Type="http://schemas.openxmlformats.org/officeDocument/2006/relationships/hyperlink" Target="consultantplus://offline/ref=AB3FA601438944048E46A258A1E5A54CB566BB7D824126D0C984C70D561D094E15234718C413DD1AC03BABA4F2CB417E3F247AE312C93F67D4BD3B16s9t6M" TargetMode = "External"/>
	<Relationship Id="rId10" Type="http://schemas.openxmlformats.org/officeDocument/2006/relationships/hyperlink" Target="consultantplus://offline/ref=AB3FA601438944048E46BC55B789F943B66CEC73834B2A8E90D6C15A094D0F1B5563414D8757D913C137FDF5B295182E796F77E40ED53F63sCt9M" TargetMode = "External"/>
	<Relationship Id="rId11" Type="http://schemas.openxmlformats.org/officeDocument/2006/relationships/hyperlink" Target="consultantplus://offline/ref=AB3FA601438944048E46BC55B789F943B66CEC73834B2A8E90D6C15A094D0F1B476319418655CE1BC622ABA4F4sCt3M" TargetMode = "External"/>
	<Relationship Id="rId12" Type="http://schemas.openxmlformats.org/officeDocument/2006/relationships/hyperlink" Target="consultantplus://offline/ref=AB3FA601438944048E46A258A1E5A54CB566BB7D824126D0C984C70D561D094E15234718C413DD1AC03BABA4F2CB417E3F247AE312C93F67D4BD3B16s9t6M" TargetMode = "External"/>
	<Relationship Id="rId13" Type="http://schemas.openxmlformats.org/officeDocument/2006/relationships/image" Target="media/image2.wmf"/>
	<Relationship Id="rId14" Type="http://schemas.openxmlformats.org/officeDocument/2006/relationships/image" Target="media/image3.wmf"/>
	<Relationship Id="rId15" Type="http://schemas.openxmlformats.org/officeDocument/2006/relationships/hyperlink" Target="consultantplus://offline/ref=AB3FA601438944048E46BC55B789F943B16EE77280432A8E90D6C15A094D0F1B5563414F8057D410946DEDF1FBC117317B7769E010D5s3tCM" TargetMode = "External"/>
	<Relationship Id="rId16" Type="http://schemas.openxmlformats.org/officeDocument/2006/relationships/hyperlink" Target="consultantplus://offline/ref=AB3FA601438944048E46BC55B789F943B16EE77280432A8E90D6C15A094D0F1B5563414F8055D210946DEDF1FBC117317B7769E010D5s3tCM" TargetMode = "External"/>
	<Relationship Id="rId17" Type="http://schemas.openxmlformats.org/officeDocument/2006/relationships/hyperlink" Target="consultantplus://offline/ref=AB3FA601438944048E46BC55B789F943B16EE77280432A8E90D6C15A094D0F1B5563414F8057D410946DEDF1FBC117317B7769E010D5s3tCM" TargetMode = "External"/>
	<Relationship Id="rId18" Type="http://schemas.openxmlformats.org/officeDocument/2006/relationships/hyperlink" Target="consultantplus://offline/ref=AB3FA601438944048E46BC55B789F943B16EE77280432A8E90D6C15A094D0F1B5563414F8055D210946DEDF1FBC117317B7769E010D5s3tCM" TargetMode = "External"/>
	<Relationship Id="rId19" Type="http://schemas.openxmlformats.org/officeDocument/2006/relationships/hyperlink" Target="consultantplus://offline/ref=AB3FA601438944048E46BC55B789F943B16EEC7283422A8E90D6C15A094D0F1B476319418655CE1BC622ABA4F4sCt3M" TargetMode = "External"/>
	<Relationship Id="rId20" Type="http://schemas.openxmlformats.org/officeDocument/2006/relationships/hyperlink" Target="consultantplus://offline/ref=AB3FA601438944048E46BC55B789F943B169E273834A2A8E90D6C15A094D0F1B476319418655CE1BC622ABA4F4sCt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Липецкой обл. от 16.02.2023 N 18-од
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молодежью"</dc:title>
  <dcterms:created xsi:type="dcterms:W3CDTF">2023-06-12T12:45:44Z</dcterms:created>
</cp:coreProperties>
</file>