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10.02.2023 N 66</w:t>
              <w:br/>
              <w:t xml:space="preserve">"Об утверждении Порядка формирования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февраля 2023 г. N 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ЕЖЕГОДНОГО РЕЙТИНГА</w:t>
      </w:r>
    </w:p>
    <w:p>
      <w:pPr>
        <w:pStyle w:val="2"/>
        <w:jc w:val="center"/>
      </w:pPr>
      <w:r>
        <w:rPr>
          <w:sz w:val="20"/>
        </w:rPr>
        <w:t xml:space="preserve">ДЕЯТЕЛЬНОСТИ ОРГАНОВ МЕСТНОГО САМОУПРАВЛЕНИЯ ГОРОДСКОГО</w:t>
      </w:r>
    </w:p>
    <w:p>
      <w:pPr>
        <w:pStyle w:val="2"/>
        <w:jc w:val="center"/>
      </w:pPr>
      <w:r>
        <w:rPr>
          <w:sz w:val="20"/>
        </w:rPr>
        <w:t xml:space="preserve">ОКРУГА, МУНИЦИПАЛЬНЫХ РАЙОНОВ И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НОВГОРОДСКОЙ ОБЛАСТИ ПО РАЗВИТИЮ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Областной закон Новгородской области от 04.04.2019 N 394-ОЗ (ред. от 02.05.2023) &quot;О Стратегии социально-экономического развития Новгородской области до 2026 года&quot; (принят Постановлением Новгородской областной Думы от 27.03.2019 N 724-ОД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Новгородской области до 2026 года, утвержденной областным законом от 04.04.2019 N 394-ОЗ, повышения эффективности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10.02.2023 N 66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ЕЖЕГОДНОГО РЕЙТИНГА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ГОРОДСКОГО ОКРУГА,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 И МУНИЦИПАЛЬНЫХ ОКРУГОВ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формирования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(далее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формирования рейтинга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принимаемых мер по развитию инициативного бюджетирования в городском округе, муниципальных районах и муниципальных округах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вовлеченности граждан в осуществление местного самоуправления по развитию инициативного бюджетирования в городском округе, муниципальных районах и муниципальных округах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муниципальных практик, которые позволяют добиться наилучших результатов по развитию инициативного бюджетирования;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мотивация и стимулирование органов местного самоуправления городского округа, муниципальных районов и муниципальных округов Новгородской области к реализации комплексной политики по развитию инициативного бюджетирования с применением лучших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исполнительной власти Новгородской области, ответственным за формирование рейтинга, является комитет по внутренней политике Новгородской области (далее комитет).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формирования рейтинга министерство жилищно-коммунального хозяйства и топливно-энергетического комплекса Новгородской области, министерство транспорта и дорожного хозяйства Новгородской области, министерство финансов Новгородской области, органы местного самоуправления городского округа, муниципальных районов и муниципальных округов Новгородской области ежегодно до 15 марта года, следующего за отчетным, представляют в государственное областное казенное учреждение "Центр муниципальной правовой информации" (далее ГОКУ "ЦМПИ") информацию о достижении показателей, предусмотренных </w:t>
      </w:r>
      <w:hyperlink w:history="0" w:anchor="P135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показателей для комплексной оценки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бюджетирования, определенным в приложении к настоящему Порядку (далее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ГОКУ "ЦМПИ" на основании информации, указанной в </w:t>
      </w:r>
      <w:hyperlink w:history="0" w:anchor="P41" w:tooltip="4. Для формирования рейтинга министерство жилищно-коммунального хозяйства и топливно-энергетического комплекса Новгородской области, министерство транспорта и дорожного хозяйства Новгородской области, министерство финансов Новгородской области, органы местного самоуправления городского округа, муниципальных районов и муниципальных округов Новгородской области ежегодно до 15 марта года, следующего за отчетным, представляют в государственное областное казенное учреждение &quot;Центр муниципальной правовой инфор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в соответствии с </w:t>
      </w:r>
      <w:hyperlink w:history="0" w:anchor="P43" w:tooltip="6. Комплексная оценк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рассчитывается по формуле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 и Перечнем осуществляет комплексную оценку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и направляет результаты в форме информационного письма в комитет до 1 апреля года, следующего за отчетным.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Комплексная оценка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35814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40"/>
        <w:gridCol w:w="7994"/>
      </w:tblGrid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комплексная оценка деятельности i-го органа местного самоуправления городского округа, муниципального района, муниципального округа Новгородской области по развитию инициативного бюджетирования;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"Количество проектов (инициатив граждан), отобранных населением городского округа Великий Новгород, муниципальных районов, муниципальных округов, городских и сельских поселений Новгородской области (далее муниципальное образование) на собрании (конференции) граждан и направленных на вовлечение граждан в решение вопросов местного значения муниципального образования, реализуемых в рамках региональных, муниципальных проектов (программ) в отчетном году (ед.)", в соответствии с </w:t>
            </w:r>
            <w:hyperlink w:history="0" w:anchor="P153" w:tooltip="1.">
              <w:r>
                <w:rPr>
                  <w:sz w:val="20"/>
                  <w:color w:val="0000ff"/>
                </w:rPr>
                <w:t xml:space="preserve">пунктом 1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"Исполнение условий соглашений о предоставлении субсидий на реализацию проектов (инициатив граждан), реализуемых в рамках региональных, муниципальных проектов (программ) в отчетном году (%)", в соответствии с </w:t>
            </w:r>
            <w:hyperlink w:history="0" w:anchor="P172" w:tooltip="2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благополучателей проектов (инициатив граждан), реализуемых в рамках региональных, муниципальных проектов (программ) в отчетном году (количество благополучателей проектов (инициатив граждан), реализуемых в рамках региональных, муниципальных проектов (программ) в отчетном году/количество жителей муниципального образования по состоянию на начало отчетного года) (%)", в соответствии с </w:t>
            </w:r>
            <w:hyperlink w:history="0" w:anchor="P184" w:tooltip="3.">
              <w:r>
                <w:rPr>
                  <w:sz w:val="20"/>
                  <w:color w:val="0000ff"/>
                </w:rPr>
                <w:t xml:space="preserve">пунктом 3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"Уровень финансовой поддержки проектов (инициатив граждан) в муниципальном образовании на одного человека в рамках реализации региональных, муниципальных проектов (программ) в отчетном году (объем бюджетных и внебюджетных средств, предусмотренный на финансовое обеспечение проектов (инициатив граждан), реализуемых в рамках региональных, муниципальных проектов (программ) в отчетном году/количество жителей муниципального образования по состоянию на начало отчетного года (руб.)", в соответствии с </w:t>
            </w:r>
            <w:hyperlink w:history="0" w:anchor="P204" w:tooltip="4.">
              <w:r>
                <w:rPr>
                  <w:sz w:val="20"/>
                  <w:color w:val="0000ff"/>
                </w:rPr>
                <w:t xml:space="preserve">пунктом 4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"Участие муниципального образования в приоритетном региональном проекте "Наш выбор" в отчетном году", в соответствии с </w:t>
            </w:r>
            <w:hyperlink w:history="0" w:anchor="P226" w:tooltip="5.">
              <w:r>
                <w:rPr>
                  <w:sz w:val="20"/>
                  <w:color w:val="0000ff"/>
                </w:rPr>
                <w:t xml:space="preserve">пунктом 5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муниципальных образований, участвующих в приоритетном региональном проекте "Проект поддержки местных инициатив (ППМИ) на территории Новгородской области" (далее ПРП ППМИ) в отчетном году (количество проектов (инициатив граждан), представленных на конкурсный отбор в соответствии с </w:t>
            </w:r>
            <w:hyperlink w:history="0" r:id="rId9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и методикой распределения субсидий бюджетам муниципальных округов, городских и сельских поселений Новгородской области на реализацию приоритетных проектов поддержки местных инициатив (приложение N 6 к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 (далее государственная программа)) (далее Порядок ППМИ)/максимально допустимое количество проектов (инициатив граждан), предусмотренных Порядком ППМИ для предоставления на конкурсный отбор) (%)", в соответствии с </w:t>
            </w:r>
            <w:hyperlink w:history="0" w:anchor="P234" w:tooltip="6.">
              <w:r>
                <w:rPr>
                  <w:sz w:val="20"/>
                  <w:color w:val="0000ff"/>
                </w:rPr>
                <w:t xml:space="preserve">пунктом 6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муниципальных образований, участвующих в приоритетном региональном проекте "Территориальное общественное самоуправление (ТОС) на территории Новгородской области" (количество проектов (инициатив граждан), представленных на конкурсный отбор в соответствии с </w:t>
            </w:r>
            <w:hyperlink w:history="0" r:id="rId10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и методикой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 (приложение N 5 к государственной программе) (далее Порядок ТОС)/максимально допустимое количество проектов (инициатив граждан), предусмотренных Порядком ТОС для предоставления на конкурсный отбор) (%)", в соответствии с </w:t>
            </w:r>
            <w:hyperlink w:history="0" w:anchor="P248" w:tooltip="7.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"Реализация проектов (инициатив граждан) в рамках муниципальных программ инициативного бюджетирования в отчетном году", в соответствии с </w:t>
            </w:r>
            <w:hyperlink w:history="0" w:anchor="P262" w:tooltip="8.">
              <w:r>
                <w:rPr>
                  <w:sz w:val="20"/>
                  <w:color w:val="0000ff"/>
                </w:rPr>
                <w:t xml:space="preserve">пунктом 8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"Количество проведенных муниципальных (городских, районных, окружных) мероприятий (семинары, "круглые столы", форумы, конкурсы), способствующих популяризации территориального общественного самоуправления в отчетном году (ед.)", в соответствии с </w:t>
            </w:r>
            <w:hyperlink w:history="0" w:anchor="P270" w:tooltip="9.">
              <w:r>
                <w:rPr>
                  <w:sz w:val="20"/>
                  <w:color w:val="0000ff"/>
                </w:rPr>
                <w:t xml:space="preserve">пунктом 9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"Количество участников ежеквартального опроса из числа жителей муниципального образования, проводимого ГОКУ "ЦМПИ", о проектах инициативного бюджетирования в отчетном году (чел.)", в соответствии с </w:t>
            </w:r>
            <w:hyperlink w:history="0" w:anchor="P280" w:tooltip="10.">
              <w:r>
                <w:rPr>
                  <w:sz w:val="20"/>
                  <w:color w:val="0000ff"/>
                </w:rPr>
                <w:t xml:space="preserve">пунктом 10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"Направление в отчетном году проектов (инициатив граждан) на Всероссийский конкурс проектов инициативного бюджетирования, проводимый федеральным государственным бюджетным учреждением "Научно-исследовательский финансовый институт Министерства финансов Российской Федерации", реализация которых осуществлялась в году, предшествующем отчетному", в соответствии с </w:t>
            </w:r>
            <w:hyperlink w:history="0" w:anchor="P294" w:tooltip="11.">
              <w:r>
                <w:rPr>
                  <w:sz w:val="20"/>
                  <w:color w:val="0000ff"/>
                </w:rPr>
                <w:t xml:space="preserve">пунктом 11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"Направление в отчетном году проектов (инициатив граждан) на Всероссийский конкурс "Лучшая практика территориального общественного самоуправления", проводимый общенациональной ассоциацией территориального общественного самоуправления, реализация которых осуществлялась в году, предшествующем отчетному", в соответствии с </w:t>
            </w:r>
            <w:hyperlink w:history="0" w:anchor="P306" w:tooltip="12.">
              <w:r>
                <w:rPr>
                  <w:sz w:val="20"/>
                  <w:color w:val="0000ff"/>
                </w:rPr>
                <w:t xml:space="preserve">пунктом 12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ПРП ППМИ в отчетном году (количество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ПРП ППМИ в отчетном году/количество жителей муниципального образования по состоянию на начало отчетного года) (%)" в соответствии с </w:t>
            </w:r>
            <w:hyperlink w:history="0" w:anchor="P316" w:tooltip="13.">
              <w:r>
                <w:rPr>
                  <w:sz w:val="20"/>
                  <w:color w:val="0000ff"/>
                </w:rPr>
                <w:t xml:space="preserve">пунктом 13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"Наш выбор" в отчетном году (количество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"Наш выбор" в отчетном году/количество жителей муниципального образования по состоянию на начало отчетного года) (%)", в соответствии с </w:t>
            </w:r>
            <w:hyperlink w:history="0" w:anchor="P334" w:tooltip="14.">
              <w:r>
                <w:rPr>
                  <w:sz w:val="20"/>
                  <w:color w:val="0000ff"/>
                </w:rPr>
                <w:t xml:space="preserve">пунктом 14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"Дорога к дому" в отчетном году (количество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"Дорога к дому" в отчетном году/количество жителей муниципального образования по состоянию на начало отчетного года) (%)", в соответствии с </w:t>
            </w:r>
            <w:hyperlink w:history="0" w:anchor="P352" w:tooltip="15.">
              <w:r>
                <w:rPr>
                  <w:sz w:val="20"/>
                  <w:color w:val="0000ff"/>
                </w:rPr>
                <w:t xml:space="preserve">пунктом 15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жителей муниципального образования, вовлеченных в процесс итогового определения проектов (инициатив граждан) в рамках ПРП ППМИ в отчетном году (количество жителей муниципального образования, вовлеченных в процесс итогового определения проектов (инициатив граждан) в рамках ПРП ППМИ в отчетном году/количество жителей муниципального образования, обладающих избирательным правом, по состоянию на начало отчетного года) (%)", в соответствии с </w:t>
            </w:r>
            <w:hyperlink w:history="0" w:anchor="P370" w:tooltip="16.">
              <w:r>
                <w:rPr>
                  <w:sz w:val="20"/>
                  <w:color w:val="0000ff"/>
                </w:rPr>
                <w:t xml:space="preserve">пунктом 16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"Наш выбор" в отчетном году (количество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"Наш выбор" в отчетном году/количество жителей муниципального образования, обладающих избирательным правом, по состоянию на начало отчетного года) (%)", в соответствии с </w:t>
            </w:r>
            <w:hyperlink w:history="0" w:anchor="P388" w:tooltip="17.">
              <w:r>
                <w:rPr>
                  <w:sz w:val="20"/>
                  <w:color w:val="0000ff"/>
                </w:rPr>
                <w:t xml:space="preserve">пунктом 17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"Дорога к дому" в отчетном году (количество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"Дорога к дому" в отчетном году/количество жителей муниципального образования, обладающих избирательным правом, по состоянию на начало отчетного года) (%)", в соответствии с </w:t>
            </w:r>
            <w:hyperlink w:history="0" w:anchor="P406" w:tooltip="18.">
              <w:r>
                <w:rPr>
                  <w:sz w:val="20"/>
                  <w:color w:val="0000ff"/>
                </w:rPr>
                <w:t xml:space="preserve">пунктом 18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реализованных в муниципальном образовании проектов (инициатив граждан) по созданию комфортной городской среды в рамках регионального проекта "Формирование комфортной городской среды на территории Новгородской области" в отчетном году (количество реализованных в муниципальном образовании проектов (инициатив граждан) по созданию комфортной городской среды в рамках регионального проекта "Формирование комфортной городской среды на территории Новгородской области" в отчетном году/количество проектов (инициатив граждан), утвержденных к реализации на собрании (конференции) граждан в отчетном году) (%)", в соответствии с </w:t>
            </w:r>
            <w:hyperlink w:history="0" w:anchor="P424" w:tooltip="19.">
              <w:r>
                <w:rPr>
                  <w:sz w:val="20"/>
                  <w:color w:val="0000ff"/>
                </w:rPr>
                <w:t xml:space="preserve">пунктом 19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 в отчетном году (количество граждан, принявших участие в решении вопросов развития городской среды (в том числе с использованием цифровых технологий) в отчетном году/общее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по состоянию на начало отчетного года) (%)", в соответствии с </w:t>
            </w:r>
            <w:hyperlink w:history="0" w:anchor="P436" w:tooltip="20.">
              <w:r>
                <w:rPr>
                  <w:sz w:val="20"/>
                  <w:color w:val="0000ff"/>
                </w:rPr>
                <w:t xml:space="preserve">пунктом 20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баллов, присвоенных i-му органу местного самоуправления городского округа, муниципального района, муниципального округа Новгородской области по показателю "Мониторинг реализации проектов (инициатив граждан) в рамках реализации региональных, муниципальных проектов (программ) путем осуществления личного контроля Главой городского округа, муниципального района, муниципального округа Новгородской области за выполнением работ с выездом на объект и размещение данной информации в средствах массовой информации и в информационно-телекоммуникационной сети "Интернет" (ед.)", в соответствии с </w:t>
            </w:r>
            <w:hyperlink w:history="0" w:anchor="P454" w:tooltip="21.">
              <w:r>
                <w:rPr>
                  <w:sz w:val="20"/>
                  <w:color w:val="0000ff"/>
                </w:rPr>
                <w:t xml:space="preserve">пунктом 21</w:t>
              </w:r>
            </w:hyperlink>
            <w:r>
              <w:rPr>
                <w:sz w:val="20"/>
              </w:rPr>
              <w:t xml:space="preserve"> Перечня;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R</w:t>
            </w:r>
            <w:r>
              <w:rPr>
                <w:sz w:val="20"/>
                <w:vertAlign w:val="subscript"/>
              </w:rPr>
              <w:t xml:space="preserve">max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максимально допустимое количество набранных баллов при оценке i-го органа местного самоуправления городского округа, муниципального района, муниципального округа Новгородской области по развитию инициативного бюджетирования без учета баллов показателя R</w:t>
            </w:r>
            <w:r>
              <w:rPr>
                <w:sz w:val="20"/>
                <w:vertAlign w:val="subscript"/>
              </w:rPr>
              <w:t xml:space="preserve">21</w:t>
            </w: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случае если органом местного самоуправления городского округа, муниципального района и муниципального округа Новгородской области в срок, установленный в </w:t>
      </w:r>
      <w:hyperlink w:history="0" w:anchor="P41" w:tooltip="4. Для формирования рейтинга министерство жилищно-коммунального хозяйства и топливно-энергетического комплекса Новгородской области, министерство транспорта и дорожного хозяйства Новгородской области, министерство финансов Новгородской области, органы местного самоуправления городского округа, муниципальных районов и муниципальных округов Новгородской области ежегодно до 15 марта года, следующего за отчетным, представляют в государственное областное казенное учреждение &quot;Центр муниципальной правовой инфор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не представлена информация о достижении показателей, предусмотренных Перечнем, комплексная оценка деятельности такого органа местного самоуправления не осуществляется.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Рейтинг формируется комитетом по результатам комплексной оценки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путем составления ранжированного списка органов местного самоуправления городского округа, муниципальных районов и муниципальных округов Новгородской области в порядке убывания до 15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формирования рейтинга в срок, указанный в </w:t>
      </w:r>
      <w:hyperlink w:history="0" w:anchor="P118" w:tooltip="8. Рейтинг формируется комитетом по результатам комплексной оценки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путем составления ранжированного списка органов местного самоуправления городского округа, муниципальных районов и муниципальных округов Новгородской области в порядке убывания до 15 апреля года, следующего за отчетным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комитет издает приказ о формировании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об итогах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до 1 мая года, следующего за отчетным, представляется комитетом заместителю Губернатора Новгородской области, координирующему деятельность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ежегодного рейтинга</w:t>
      </w:r>
    </w:p>
    <w:p>
      <w:pPr>
        <w:pStyle w:val="0"/>
        <w:jc w:val="right"/>
      </w:pPr>
      <w:r>
        <w:rPr>
          <w:sz w:val="20"/>
        </w:rPr>
        <w:t xml:space="preserve">деятельности органов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городского округа,</w:t>
      </w:r>
    </w:p>
    <w:p>
      <w:pPr>
        <w:pStyle w:val="0"/>
        <w:jc w:val="right"/>
      </w:pPr>
      <w:r>
        <w:rPr>
          <w:sz w:val="20"/>
        </w:rPr>
        <w:t xml:space="preserve">муниципальных районов и муниципальных</w:t>
      </w:r>
    </w:p>
    <w:p>
      <w:pPr>
        <w:pStyle w:val="0"/>
        <w:jc w:val="right"/>
      </w:pPr>
      <w:r>
        <w:rPr>
          <w:sz w:val="20"/>
        </w:rPr>
        <w:t xml:space="preserve">округов Новгородской области</w:t>
      </w:r>
    </w:p>
    <w:p>
      <w:pPr>
        <w:pStyle w:val="0"/>
        <w:jc w:val="right"/>
      </w:pPr>
      <w:r>
        <w:rPr>
          <w:sz w:val="20"/>
        </w:rPr>
        <w:t xml:space="preserve">по развитию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 ДЛЯ КОМПЛЕКСНОЙ ОЦЕНКИ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ГОРОДСКОГО ОКРУГА,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 И МУНИЦИПАЛЬНЫХ ОКРУГОВ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3685"/>
        <w:gridCol w:w="3628"/>
        <w:gridCol w:w="2381"/>
        <w:gridCol w:w="1928"/>
        <w:gridCol w:w="1361"/>
      </w:tblGrid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единица измерения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информации, необходимой для расчета показателя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8" w:type="dxa"/>
            <w:vMerge w:val="restart"/>
          </w:tcPr>
          <w:bookmarkStart w:id="153" w:name="P153"/>
          <w:bookmarkEnd w:id="153"/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 (инициатив граждан), отобранных населением городского округа Великий Новгород, муниципальных районов, муниципальных округов, городских и сельских поселений Новгородской области (далее муниципальное образование) на собрании (конференции) граждан и направленных на вовлечение граждан в решение вопросов местного значения муниципального образования, реализуемых в рамках региональных, муниципальных проектов (программ) в отчетном году (ед.)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и наименовании проектов (инициатив граждан), реализуемых в рамках региональных, муниципальных проектов (программ) в отчетном году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казенное учреждение "Центр муниципальной правовой информации" (далее ГОКУ "ЦМПИ")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проекты (инициативы граждан) не реализовывались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проект (инициатива граждан)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 проекта (инициативы граждан)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 проекта (инициативы граждан)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 проекта (инициативы граждан)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 проектов (инициатив граждан)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6 проектов (инициатив граждан)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8" w:type="dxa"/>
            <w:vMerge w:val="restart"/>
          </w:tcPr>
          <w:bookmarkStart w:id="172" w:name="P172"/>
          <w:bookmarkEnd w:id="172"/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Исполнение условий соглашений о предоставлении субсидий на реализацию проектов (инициатив граждан), реализуемых в рамках региональных, муниципальных проектов (программ) в отчетном году (%)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об исполнении условий соглашений о предоставлении субсидий на реализацию проектов (инициатив граждан), реализуемых в рамках региональных, муниципальных проектов (программ) в отчетном году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Новгородской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менее 100 %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исполнение 100 %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данные об исполнении условий соглашений о предоставлении субсидий на реализацию проектов (инициатив граждан), реализуемых в рамках регионального проекта "Формирование комфортной городской среды на территории Новгородской области" в отчетном году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и топливно-энергетического комплекса Новгородской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8" w:type="dxa"/>
            <w:vMerge w:val="restart"/>
          </w:tcPr>
          <w:bookmarkStart w:id="184" w:name="P184"/>
          <w:bookmarkEnd w:id="184"/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благополучателей проектов (инициатив граждан), реализуемых в рамках региональных, муниципальных проектов (программ) в отчетном году (количество благополучателей проектов (инициатив граждан), реализуемых в рамках региональных, муниципальных проектов (программ) в отчетном году/количество жителей муниципального образования по состоянию на начало отчетного года) (%)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благополучателей проектов (инициатив граждан), реализуемых в рамках региональных, муниципальных проектов (программ) в отчетном году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20 %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21 % до 30 %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 31 % до 40 % включительно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благополучателей проектов (инициатив граждан), реализуемых в рамках регионального проекта "Формирование комфортной городской среды на территории Новгородской области" в отчетном году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41 % до 50 %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51 % и более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 по состоянию на начало отчетного года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8" w:type="dxa"/>
            <w:vMerge w:val="restart"/>
          </w:tcPr>
          <w:bookmarkStart w:id="204" w:name="P204"/>
          <w:bookmarkEnd w:id="204"/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Уровень финансовой поддержки проектов (инициатив граждан) в муниципальном образовании на одного человека в рамках реализации региональных, муниципальных проектов (программ) в отчетном году (объем бюджетных и внебюджетных средств, предусмотренный на финансовое обеспечение проектов (инициатив граждан), реализуемых в рамках региональных, муниципальных проектов (программ) в отчетном году/количество жителей муниципального образования по состоянию на начало отчетного года (руб.)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об объеме бюджетных и внебюджетных средств, предусмотренном на финансовое обеспечение проектов (инициатив граждан), реализуемых в рамках региональных проектов (программ) в отчетном году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бюджетные ассигнования отсутствуют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199 рублей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 200 до 399 рублей включительно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об объеме бюджетных и внебюджетных средств, предусмотренном на финансовое обеспечение проектов (инициатив граждан), реализуемых в рамках регионального проекта "Формирование комфортной городской среды на территории Новгородской области" в отчетном году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и топливно-энергетического комплекса Новгородской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400 до 599 рублей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600 до 799 рублей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800 рублей и более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данные об объеме бюджетных и внебюджетных средств, предусмотренном на финансовое обеспечение проектов (инициатив граждан), реализуемых в рамках муниципальных проектов (программ) в отчетном году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 по состоянию на начало отчетного года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8" w:type="dxa"/>
            <w:vMerge w:val="restart"/>
          </w:tcPr>
          <w:bookmarkStart w:id="226" w:name="P226"/>
          <w:bookmarkEnd w:id="226"/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муниципального образования в приоритетном региональном проекте "Наш выбор" в отчетном году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об участии муниципального образования в приоритетном региональном проекте "Наш выбор" в отчетном году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не участвует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участвует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234" w:name="P234"/>
          <w:bookmarkEnd w:id="234"/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образований, участвующих в приоритетном региональном проекте "Проект поддержки местных инициатив (ППМИ) на территории Новгородской области" (далее ПРП ППМИ) в отчетном году (количество проектов (инициатив граждан), представленных на конкурсный отбор в соответствии с </w:t>
            </w:r>
            <w:hyperlink w:history="0" r:id="rId13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и методикой распределения субсидий бюджетам муниципальных округов, городских и сельских поселений Новгородской области на реализацию приоритетных проектов поддержки местных инициатив (приложение N 6 к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 (далее государственная программа)) (далее Порядок ППМИ)/максимально допустимое количество проектов (инициатив граждан), предусмотренных Порядком ППМИ для предоставления на конкурсный отбор)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проектов (инициатив граждан), представленных на конкурсный отбор в соответствии с Порядком ППМИ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максимально допустимом количестве проектов (инициатив граждан), предусмотренных Порядком ППМИ для представления на конкурсный отбор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50 %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50 % до 79 %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80 % до 99 %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248" w:name="P248"/>
          <w:bookmarkEnd w:id="248"/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образований, участвующих в приоритетном региональном проекте "Территориальное общественное самоуправление (ТОС) на территории Новгородской области" (количество проектов (инициатив граждан), представленных на конкурсный отбор в соответствии с </w:t>
            </w:r>
            <w:hyperlink w:history="0" r:id="rId14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и методикой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 (приложение N 5 к государственной программе) (далее Порядок ТОС)/максимально допустимое количество проектов (инициатив граждан), предусмотренных Порядком ТОС для предоставления на конкурсный отбор)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проектов (инициатив граждан), представленных на конкурсный отбор в соответствии с Порядком ТОС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максимально допустимом количестве проектов (инициатив граждан), предусмотренных Порядком ТОС для предоставления на конкурсный отбор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50 %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50 % до 79 %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80 % до 99 %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262" w:name="P262"/>
          <w:bookmarkEnd w:id="262"/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 (инициатив граждан) в рамках муниципальных программ инициативного бюджетирования в отчетном году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с указанием названия, цели муниципальной программы, объемов финансового обеспечения мероприятий муниципальной программы, количества участников проекта (инициативы граждан), количества благополучателей проекта (инициативы граждан) в отчетном году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270" w:name="P270"/>
          <w:bookmarkEnd w:id="270"/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муниципальных (городских, районных, окружных) мероприятий (семинары, "круглые столы", форумы, конкурсы), способствующих популяризации территориального общественного самоуправления в отчетном году (ед.)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количестве проведенных муниципальных (городских, районных, окружных) мероприятий (семинары, "круглые столы", форумы, конкурсы), способствующих популяризации территориального общественного самоуправления в отчетном году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280" w:name="P280"/>
          <w:bookmarkEnd w:id="280"/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ежеквартального опроса из числа жителей муниципального образования, проводимого ГОКУ "ЦМПИ", о проектах инициативного бюджетирования в отчетном году (чел.)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участников ежеквартального опроса из числа жителей муниципального образования, проводимого ГОКУ "ЦМПИ", о проектах инициативного бюджетирования в отчетном году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99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100 до 499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500 до 999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1000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294" w:name="P294"/>
          <w:bookmarkEnd w:id="294"/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Направление в отчетном году проектов (инициатив граждан) на Всероссийский конкурс проектов инициативного бюджетирования, проводимый федеральным государственным бюджетным учреждением "Научно-исследовательский финансовый институт Министерства финансов Российской Федерации" (далее ФГБУ "НИФИ Минфина России"), реализация которых осуществлялась в году, предшествующем отчетному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проектах (инициативах граждан), направленных в отчетном году на Всероссийский конкурс проектов инициативного бюджетирования, проводимый ФГБУ "НИФИ Минфина России", реализация которых осуществлялась в году, предшествующем отчетному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за каждый проект (инициативу граждан)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да (финалисты конкурса)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за каждый проект (инициативу граждан)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да (призеры конкурса)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 баллов за каждый проект (инициативу граждан)</w:t>
            </w:r>
          </w:p>
        </w:tc>
      </w:tr>
      <w:tr>
        <w:tc>
          <w:tcPr>
            <w:tcW w:w="568" w:type="dxa"/>
            <w:vMerge w:val="restart"/>
          </w:tcPr>
          <w:bookmarkStart w:id="306" w:name="P306"/>
          <w:bookmarkEnd w:id="306"/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Направление в отчетном году проектов (инициатив граждан) на Всероссийский конкурс "Лучшая практика территориального общественного самоуправления", проводимый общенациональной ассоциацией территориального общественного самоуправления (далее ОАТОС), реализация которых осуществлялась в году, предшествующем отчетному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проектах (инициативах граждан), направленных в отчетном году на Всероссийский конкурс "Лучшая практика территориального общественного самоуправления", проводимый ОАТОС, реализация которых осуществлялась в году, предшествующем отчетному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да (вошли в полуфинал/финал конкурса)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316" w:name="P316"/>
          <w:bookmarkEnd w:id="316"/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ПРП ППМИ в отчетном году (количество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ПРП ППМИ в отчетном году/количество жителей муниципального образования по состоянию на начало отчетного года)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ПРП ППМИ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 по состоянию на начало отчетного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19 %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20 % до 29 %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30 % до 39 %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50 %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334" w:name="P334"/>
          <w:bookmarkEnd w:id="334"/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"Наш выбор" в отчетном году (количество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"Наш выбор" в отчетном году/количество жителей муниципального образования по состоянию на начало отчетного года)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"Наш выбор"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 по состоянию на начало отчетного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19 %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20 % до 29 %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30 % до 39 %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50 %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352" w:name="P352"/>
          <w:bookmarkEnd w:id="352"/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"Дорога к дому" в отчетном году (количество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"Дорога к дому" в отчетном году/количество жителей муниципального образования по состоянию на начало отчетного года)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вовлеченных в процесс предварительного определения актуальной проблемы местного значения, реализация которой осуществлялась в рамках приоритетного регионального проекта "Дорога к дому"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 по состоянию на начало отчетного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19 %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20 % до 29 %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30 % до 39 %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50 %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370" w:name="P370"/>
          <w:bookmarkEnd w:id="370"/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жителей муниципального образования, вовлеченных в процесс итогового определения проектов (инициатив граждан) в рамках ПРП ППМИ в отчетном году (количество жителей муниципального образования, вовлеченных в процесс итогового определения проектов (инициатив граждан) в рамках ПРП ППМИ в отчетном году/количество жителей муниципального образования, обладающих избирательным правом, по состоянию на начало отчетного года)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вовлеченных в процесс итогового определения проектов (инициатив граждан) в рамках ПРП ППМИ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обладающих избирательным правом, по состоянию на начало отчетного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19 %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20 % до 29 %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30 % до 39 %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50 %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388" w:name="P388"/>
          <w:bookmarkEnd w:id="388"/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"Наш выбор" в отчетном году (количество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"Наш выбор" в отчетном году/количество жителей муниципального образования, обладающих избирательным правом, по состоянию на начало отчетного года)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"Наш выбор"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обладающих избирательным правом, по состоянию на начало отчетного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19 %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20 % до 29 %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30 % до 39 %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50 %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406" w:name="P406"/>
          <w:bookmarkEnd w:id="406"/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"Дорога к дому" в отчетном году (количество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"Дорога к дому" в отчетном году/количество жителей муниципального образования, обладающих избирательным правом, по состоянию на начало отчетного года)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жителей муниципального образования, вовлеченных в процесс итогового определения проектов (инициатив граждан) в рамках приоритетного регионального проекта "Дорога к дому"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жителей муниципального образования, обладающих избирательным правом, по состоянию на начало отчетного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19 %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20 % до 29 %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30 % до 39 %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50 %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424" w:name="P424"/>
          <w:bookmarkEnd w:id="424"/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реализованных в муниципальном образовании проектов (инициатив граждан) по созданию комфортной городской среды в рамках регионального проекта "Формирование комфортной городской среды на территории Новгородской области" в отчетном году (количество реализованных в муниципальном образовании проектов (инициатив граждан) по созданию комфортной городской среды в рамках регионального проекта "Формирование комфортной городской среды на территории Новгородской области" в отчетном году/количество проектов (инициатив граждан), утвержденных к реализации на собрании (конференции) граждан в отчетном году) (%)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реализованных в муниципальном образовании проектов (инициатив граждан) по созданию комфортной городской среды в рамках регионального проекта "Формирование комфортной городской среды на территории Новгородской области" в отчетном году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и топливно-энергетического комплекса Новгородской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50 % до 89 %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 90 % до 100 % включительно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 (инициатив граждан), утвержденных к реализации на собрании (конференции) граждан в отчетном году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ГОКУ "ЦМПИ"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8" w:type="dxa"/>
            <w:vMerge w:val="restart"/>
          </w:tcPr>
          <w:bookmarkStart w:id="436" w:name="P436"/>
          <w:bookmarkEnd w:id="436"/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 в отчетном году (количество граждан, принявших участие в решении вопросов развития городской среды (в том числе с использованием цифровых технологий) в отчетном году/общее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по состоянию на начало отчетного года) (%)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количество граждан, принявших участие в решении вопросов развития городской среды (в том числе с использованием цифровых технологий) в отчетном году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о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по состоянию на начало отчетного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и топливно-энергетического комплекса Новгородской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10 %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10 % до 19 %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20 % до 29 %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30 % до 39 %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40 % до 49 % включительно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50 %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8" w:type="dxa"/>
            <w:vMerge w:val="restart"/>
          </w:tcPr>
          <w:bookmarkStart w:id="454" w:name="P454"/>
          <w:bookmarkEnd w:id="454"/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проектов (инициатив граждан) в рамках реализации региональных, муниципальных проектов (программ) путем осуществления личного контроля Главой городского округа, муниципального района, муниципального округа Новгородской области за выполнением работ с выездом на объект и размещение данной информации в средствах массовой информации и в информационно-телекоммуникационной сети "Интернет" (ед.)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о количестве посещений объектов Главой городского округа, муниципального района, муниципального округа Новгородской области (подтверждаются представлением скриншотов и ссылок на публикации в средствах массовой информации и в информационно-телекоммуникационной сети "Интернет")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объекта с публикацией в средствах массовой информации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x N, где N - количество посещений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объекта с публикацией в информационно-телекоммуникационной сети "Интернет"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0,5 x N, где N - количество посещений объектов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Максимально допустимое количество набранных баллов без учета баллов показателя R</w:t>
      </w:r>
      <w:r>
        <w:rPr>
          <w:sz w:val="20"/>
          <w:vertAlign w:val="subscript"/>
        </w:rPr>
        <w:t xml:space="preserve">21</w:t>
      </w:r>
      <w:r>
        <w:rPr>
          <w:sz w:val="20"/>
        </w:rPr>
        <w:t xml:space="preserve"> - 105.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10.02.2023 N 66</w:t>
            <w:br/>
            <w:t>"Об утверждении Порядка формирования ежегодного рейт...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10.02.2023 N 66</w:t>
            <w:br/>
            <w:t>"Об утверждении Порядка формирования ежегодного рейт...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CE1598C6005CFCE2048494C8981B7E771A8037A42EF47D7EAFA02202DF20781DA4BB4DC6ACE2D23C8B45CB53B243202B527CCF80A2E163C07359133e1IAK" TargetMode = "External"/>
	<Relationship Id="rId8" Type="http://schemas.openxmlformats.org/officeDocument/2006/relationships/image" Target="media/image2.wmf"/>
	<Relationship Id="rId9" Type="http://schemas.openxmlformats.org/officeDocument/2006/relationships/hyperlink" Target="consultantplus://offline/ref=CCE1598C6005CFCE2048494C8981B7E771A8037A42EF44D5E8FE02202DF20781DA4BB4DC6ACE2D23C8B05FB23B243202B527CCF80A2E163C07359133e1IAK" TargetMode = "External"/>
	<Relationship Id="rId10" Type="http://schemas.openxmlformats.org/officeDocument/2006/relationships/hyperlink" Target="consultantplus://offline/ref=CCE1598C6005CFCE2048494C8981B7E771A8037A42EF44D5E8FE02202DF20781DA4BB4DC6ACE2D23C8B254B331243202B527CCF80A2E163C07359133e1IAK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CCE1598C6005CFCE2048494C8981B7E771A8037A42EF44D5E8FE02202DF20781DA4BB4DC6ACE2D23C8B05FB23B243202B527CCF80A2E163C07359133e1IAK" TargetMode = "External"/>
	<Relationship Id="rId14" Type="http://schemas.openxmlformats.org/officeDocument/2006/relationships/hyperlink" Target="consultantplus://offline/ref=CCE1598C6005CFCE2048494C8981B7E771A8037A42EF44D5E8FE02202DF20781DA4BB4DC6ACE2D23C8B254B331243202B527CCF80A2E163C07359133e1I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10.02.2023 N 66
"Об утверждении Порядка формирования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бюджетирования"</dc:title>
  <dcterms:created xsi:type="dcterms:W3CDTF">2023-06-17T10:08:30Z</dcterms:created>
</cp:coreProperties>
</file>