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Распоряжение Правительства Новгородской области от 26.07.2022 N 243-рг</w:t>
              <w:br/>
              <w:t xml:space="preserve">"О взаимодействии органов исполнительной власти Новгородской области и органов местного самоуправления Новгородской области при формировании и ведении реестров социально ориентированных некоммерческих организаций - получателей поддержки"</w:t>
              <w:br/>
              <w:t xml:space="preserve">(вместе с "Информацией о включении в реестр социально ориентированных некоммерческих организаций - получателей поддержки сведений о СОНКО или о внесении изменений в реестр социально ориентированных некоммерческих организаций - получателей поддержки в случае изменения сведений о СОНКО")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26 июля 2022 г. N 243-рг</w:t>
      </w:r>
    </w:p>
    <w:p>
      <w:pPr>
        <w:pStyle w:val="2"/>
        <w:jc w:val="center"/>
      </w:pPr>
      <w:r>
        <w:rPr>
          <w:sz w:val="20"/>
        </w:rPr>
      </w:r>
    </w:p>
    <w:p>
      <w:pPr>
        <w:pStyle w:val="2"/>
        <w:jc w:val="center"/>
      </w:pPr>
      <w:r>
        <w:rPr>
          <w:sz w:val="20"/>
        </w:rPr>
        <w:t xml:space="preserve">О ВЗАИМОДЕЙСТВИИ ОРГАНОВ ИСПОЛНИТЕЛЬНОЙ ВЛАСТИ</w:t>
      </w:r>
    </w:p>
    <w:p>
      <w:pPr>
        <w:pStyle w:val="2"/>
        <w:jc w:val="center"/>
      </w:pPr>
      <w:r>
        <w:rPr>
          <w:sz w:val="20"/>
        </w:rPr>
        <w:t xml:space="preserve">НОВГОРОДСКОЙ ОБЛАСТИ И ОРГАНОВ МЕСТНОГО САМОУПРАВЛЕНИЯ</w:t>
      </w:r>
    </w:p>
    <w:p>
      <w:pPr>
        <w:pStyle w:val="2"/>
        <w:jc w:val="center"/>
      </w:pPr>
      <w:r>
        <w:rPr>
          <w:sz w:val="20"/>
        </w:rPr>
        <w:t xml:space="preserve">НОВГОРОДСКОЙ ОБЛАСТИ ПРИ ФОРМИРОВАНИИ И ВЕДЕНИИ</w:t>
      </w:r>
    </w:p>
    <w:p>
      <w:pPr>
        <w:pStyle w:val="2"/>
        <w:jc w:val="center"/>
      </w:pPr>
      <w:r>
        <w:rPr>
          <w:sz w:val="20"/>
        </w:rPr>
        <w:t xml:space="preserve">РЕЕСТРОВ СОЦИАЛЬНО ОРИЕНТИРОВАННЫХ НЕКОММЕРЧЕСКИХ</w:t>
      </w:r>
    </w:p>
    <w:p>
      <w:pPr>
        <w:pStyle w:val="2"/>
        <w:jc w:val="center"/>
      </w:pPr>
      <w:r>
        <w:rPr>
          <w:sz w:val="20"/>
        </w:rPr>
        <w:t xml:space="preserve">ОРГАНИЗАЦИЙ - ПОЛУЧАТЕЛЕЙ ПОДДЕРЖКИ</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статьи 31.2</w:t>
        </w:r>
      </w:hyperlink>
      <w:r>
        <w:rPr>
          <w:sz w:val="20"/>
        </w:rPr>
        <w:t xml:space="preserve"> Федерального закона от 12 января 1996 года N 7-ФЗ "О некоммерческих организациях" (далее Федеральный закон N 7-ФЗ), </w:t>
      </w:r>
      <w:hyperlink w:history="0" r:id="rId8"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статьи 6</w:t>
        </w:r>
      </w:hyperlink>
      <w:r>
        <w:rPr>
          <w:sz w:val="20"/>
        </w:rPr>
        <w:t xml:space="preserve"> областного закона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p>
    <w:p>
      <w:pPr>
        <w:pStyle w:val="0"/>
        <w:spacing w:before="200" w:line-rule="auto"/>
        <w:ind w:firstLine="540"/>
        <w:jc w:val="both"/>
      </w:pPr>
      <w:r>
        <w:rPr>
          <w:sz w:val="20"/>
        </w:rPr>
        <w:t xml:space="preserve">1. Комитету по внутренней политике Новгородской области (далее комитет):</w:t>
      </w:r>
    </w:p>
    <w:p>
      <w:pPr>
        <w:pStyle w:val="0"/>
        <w:spacing w:before="200" w:line-rule="auto"/>
        <w:ind w:firstLine="540"/>
        <w:jc w:val="both"/>
      </w:pPr>
      <w:r>
        <w:rPr>
          <w:sz w:val="20"/>
        </w:rPr>
        <w:t xml:space="preserve">1.1. Осуществлять формирование и ведение реестра социально ориентированных некоммерческих организаций - получателей поддержки в Новгородской области (далее Реестр) в соответствии с </w:t>
      </w:r>
      <w:hyperlink w:history="0" r:id="rId9"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30 июля 2021 года N 1290 "О реестре социально ориентированных некоммерческих организаций" (далее постановление Правительства N 1290), </w:t>
      </w:r>
      <w:hyperlink w:history="0" r:id="rId10"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17 мая 2011 года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(далее приказ Минэкономразвития N 223);</w:t>
      </w:r>
    </w:p>
    <w:p>
      <w:pPr>
        <w:pStyle w:val="0"/>
        <w:spacing w:before="200" w:line-rule="auto"/>
        <w:ind w:firstLine="540"/>
        <w:jc w:val="both"/>
      </w:pPr>
      <w:r>
        <w:rPr>
          <w:sz w:val="20"/>
        </w:rPr>
        <w:t xml:space="preserve">1.2. Оказывать консультативную помощь органам исполнительной власти Новгородской области, оказывающим государственную поддержку социально ориентированным некоммерческим организациям (далее СОНКО), и органам местного самоуправления Новгородской области, оказывающим поддержку СОНКО, в работе по формированию и ведению реестров.</w:t>
      </w:r>
    </w:p>
    <w:p>
      <w:pPr>
        <w:pStyle w:val="0"/>
        <w:spacing w:before="200" w:line-rule="auto"/>
        <w:ind w:firstLine="540"/>
        <w:jc w:val="both"/>
      </w:pPr>
      <w:r>
        <w:rPr>
          <w:sz w:val="20"/>
        </w:rPr>
        <w:t xml:space="preserve">2. Органам исполнительной власти Новгородской области, оказывающим государственную поддержку СОНКО:</w:t>
      </w:r>
    </w:p>
    <w:bookmarkStart w:id="17" w:name="P17"/>
    <w:bookmarkEnd w:id="17"/>
    <w:p>
      <w:pPr>
        <w:pStyle w:val="0"/>
        <w:spacing w:before="200" w:line-rule="auto"/>
        <w:ind w:firstLine="540"/>
        <w:jc w:val="both"/>
      </w:pPr>
      <w:r>
        <w:rPr>
          <w:sz w:val="20"/>
        </w:rPr>
        <w:t xml:space="preserve">2.1. Осуществлять формирование и ведение Реестра в соответствии с </w:t>
      </w:r>
      <w:hyperlink w:history="0" r:id="rId11"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 Недействующая редакция {КонсультантПлюс}">
        <w:r>
          <w:rPr>
            <w:sz w:val="20"/>
            <w:color w:val="0000ff"/>
          </w:rPr>
          <w:t xml:space="preserve">постановлением</w:t>
        </w:r>
      </w:hyperlink>
      <w:r>
        <w:rPr>
          <w:sz w:val="20"/>
        </w:rPr>
        <w:t xml:space="preserve"> Правительства N 1290, </w:t>
      </w:r>
      <w:hyperlink w:history="0" r:id="rId12"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Минэкономразвития N 223;</w:t>
      </w:r>
    </w:p>
    <w:p>
      <w:pPr>
        <w:pStyle w:val="0"/>
        <w:spacing w:before="200" w:line-rule="auto"/>
        <w:ind w:firstLine="540"/>
        <w:jc w:val="both"/>
      </w:pPr>
      <w:r>
        <w:rPr>
          <w:sz w:val="20"/>
        </w:rPr>
        <w:t xml:space="preserve">2.2. Определить лиц, ответственных за формирование и ведение Реестра, и представить в комитет до 15 августа 2022 года соответствующую информацию с указанием фамилии, имени, отчества, должности, контактного телефона и адреса электронной почты;</w:t>
      </w:r>
    </w:p>
    <w:p>
      <w:pPr>
        <w:pStyle w:val="0"/>
        <w:spacing w:before="200" w:line-rule="auto"/>
        <w:ind w:firstLine="540"/>
        <w:jc w:val="both"/>
      </w:pPr>
      <w:r>
        <w:rPr>
          <w:sz w:val="20"/>
        </w:rPr>
        <w:t xml:space="preserve">2.3. В целях реализации </w:t>
      </w:r>
      <w:hyperlink w:history="0" w:anchor="P17" w:tooltip="2.1. Осуществлять формирование и ведение Реестра в соответствии с постановлением Правительства N 1290, приказом Минэкономразвития N 223;">
        <w:r>
          <w:rPr>
            <w:sz w:val="20"/>
            <w:color w:val="0000ff"/>
          </w:rPr>
          <w:t xml:space="preserve">подпункта 2.1</w:t>
        </w:r>
      </w:hyperlink>
      <w:r>
        <w:rPr>
          <w:sz w:val="20"/>
        </w:rPr>
        <w:t xml:space="preserve"> распоряжения:</w:t>
      </w:r>
    </w:p>
    <w:p>
      <w:pPr>
        <w:pStyle w:val="0"/>
        <w:spacing w:before="200" w:line-rule="auto"/>
        <w:ind w:firstLine="540"/>
        <w:jc w:val="both"/>
      </w:pPr>
      <w:r>
        <w:rPr>
          <w:sz w:val="20"/>
        </w:rPr>
        <w:t xml:space="preserve">2.3.1. Осуществлять включение в Реестр сведений о СОНКО, предусмотренных </w:t>
      </w:r>
      <w:hyperlink w:history="0" r:id="rId13"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 принятия решения об оказании государственной поддержки;</w:t>
      </w:r>
    </w:p>
    <w:p>
      <w:pPr>
        <w:pStyle w:val="0"/>
        <w:spacing w:before="200" w:line-rule="auto"/>
        <w:ind w:firstLine="540"/>
        <w:jc w:val="both"/>
      </w:pPr>
      <w:r>
        <w:rPr>
          <w:sz w:val="20"/>
        </w:rPr>
        <w:t xml:space="preserve">2.3.2. Осуществлять внесение изменений в Реестр в случае изменения сведений о СОНКО, предусмотренных </w:t>
      </w:r>
      <w:hyperlink w:history="0" r:id="rId14"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 поступления информации об их изменении;</w:t>
      </w:r>
    </w:p>
    <w:p>
      <w:pPr>
        <w:pStyle w:val="0"/>
        <w:spacing w:before="200" w:line-rule="auto"/>
        <w:ind w:firstLine="540"/>
        <w:jc w:val="both"/>
      </w:pPr>
      <w:r>
        <w:rPr>
          <w:sz w:val="20"/>
        </w:rPr>
        <w:t xml:space="preserve">2.3.3. Осуществлять исключение из Реестра сведений о СОНКО, предусмотренных </w:t>
      </w:r>
      <w:hyperlink w:history="0" r:id="rId15"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w:t>
      </w:r>
    </w:p>
    <w:p>
      <w:pPr>
        <w:pStyle w:val="0"/>
        <w:spacing w:before="200" w:line-rule="auto"/>
        <w:ind w:firstLine="540"/>
        <w:jc w:val="both"/>
      </w:pPr>
      <w:r>
        <w:rPr>
          <w:sz w:val="20"/>
        </w:rPr>
        <w:t xml:space="preserve">истечения 3 лет с даты включения СОНКО в Реестр;</w:t>
      </w:r>
    </w:p>
    <w:p>
      <w:pPr>
        <w:pStyle w:val="0"/>
        <w:spacing w:before="200" w:line-rule="auto"/>
        <w:ind w:firstLine="540"/>
        <w:jc w:val="both"/>
      </w:pPr>
      <w:r>
        <w:rPr>
          <w:sz w:val="20"/>
        </w:rPr>
        <w:t xml:space="preserve">выявления несоответствия данных о СОНКО в части даты принятия решения об оказании государственной поддержки, полного и сокращенного (при наличии) наименования СОНКО, наименования органа исполнительной власти Новгородской области, предоставившего государственную поддержку, сведениям, содержащимся в Реестре, за исключением технических ошибок или опечаток;</w:t>
      </w:r>
    </w:p>
    <w:p>
      <w:pPr>
        <w:pStyle w:val="0"/>
        <w:spacing w:before="200" w:line-rule="auto"/>
        <w:ind w:firstLine="540"/>
        <w:jc w:val="both"/>
      </w:pPr>
      <w:r>
        <w:rPr>
          <w:sz w:val="20"/>
        </w:rPr>
        <w:t xml:space="preserve">получения информации о нарушении СОНКО существенных условий соглашения о предоставлении субсидии либо гранта (цели и условия предоставления субсидии (гранта), достижения значений показателей результативности), установленном на основании проверки, проведенной органами государственного финансового контроля, органами исполнительной власти Новгородской области (в случае получения субсидий или грантов из нескольких источников СОНКО исключается из Реестра при нарушении существенных условий одного соглашения);</w:t>
      </w:r>
    </w:p>
    <w:p>
      <w:pPr>
        <w:pStyle w:val="0"/>
        <w:spacing w:before="200" w:line-rule="auto"/>
        <w:ind w:firstLine="540"/>
        <w:jc w:val="both"/>
      </w:pPr>
      <w:r>
        <w:rPr>
          <w:sz w:val="20"/>
        </w:rPr>
        <w:t xml:space="preserve">2.4. Осуществлять представление в комитет:</w:t>
      </w:r>
    </w:p>
    <w:p>
      <w:pPr>
        <w:pStyle w:val="0"/>
        <w:spacing w:before="200" w:line-rule="auto"/>
        <w:ind w:firstLine="540"/>
        <w:jc w:val="both"/>
      </w:pPr>
      <w:r>
        <w:rPr>
          <w:sz w:val="20"/>
        </w:rPr>
        <w:t xml:space="preserve">2.4.1. </w:t>
      </w:r>
      <w:hyperlink w:history="0" w:anchor="P60" w:tooltip="ИНФОРМАЦИЯ">
        <w:r>
          <w:rPr>
            <w:sz w:val="20"/>
            <w:color w:val="0000ff"/>
          </w:rPr>
          <w:t xml:space="preserve">Информации</w:t>
        </w:r>
      </w:hyperlink>
      <w:r>
        <w:rPr>
          <w:sz w:val="20"/>
        </w:rPr>
        <w:t xml:space="preserve"> о включении в Реестр сведений о СОНКО по форме согласно приложению к распоряжению в течение 5 рабочих дней со дня включения сведений в Реестр;</w:t>
      </w:r>
    </w:p>
    <w:p>
      <w:pPr>
        <w:pStyle w:val="0"/>
        <w:spacing w:before="200" w:line-rule="auto"/>
        <w:ind w:firstLine="540"/>
        <w:jc w:val="both"/>
      </w:pPr>
      <w:r>
        <w:rPr>
          <w:sz w:val="20"/>
        </w:rPr>
        <w:t xml:space="preserve">2.4.2. </w:t>
      </w:r>
      <w:hyperlink w:history="0" w:anchor="P60" w:tooltip="ИНФОРМАЦИЯ">
        <w:r>
          <w:rPr>
            <w:sz w:val="20"/>
            <w:color w:val="0000ff"/>
          </w:rPr>
          <w:t xml:space="preserve">Информации</w:t>
        </w:r>
      </w:hyperlink>
      <w:r>
        <w:rPr>
          <w:sz w:val="20"/>
        </w:rPr>
        <w:t xml:space="preserve"> о внесении изменений в Реестр в случае изменения сведений о СОНКО по форме согласно приложению к распоряжению в течение 5 рабочих дней со дня внесения изменений в Реестр;</w:t>
      </w:r>
    </w:p>
    <w:p>
      <w:pPr>
        <w:pStyle w:val="0"/>
        <w:spacing w:before="200" w:line-rule="auto"/>
        <w:ind w:firstLine="540"/>
        <w:jc w:val="both"/>
      </w:pPr>
      <w:r>
        <w:rPr>
          <w:sz w:val="20"/>
        </w:rPr>
        <w:t xml:space="preserve">2.4.3. Информации об исключении из Реестра сведений о СОНКО в течение 5 рабочих дней со дня исключения сведений из Реестра;</w:t>
      </w:r>
    </w:p>
    <w:p>
      <w:pPr>
        <w:pStyle w:val="0"/>
        <w:spacing w:before="200" w:line-rule="auto"/>
        <w:ind w:firstLine="540"/>
        <w:jc w:val="both"/>
      </w:pPr>
      <w:r>
        <w:rPr>
          <w:sz w:val="20"/>
        </w:rPr>
        <w:t xml:space="preserve">2.4.4. Информации о СОНКО, необходимой для проведения анализа сведений, включенных в Реестр, в течение 5 рабочих дней со дня получения запроса комитета.</w:t>
      </w:r>
    </w:p>
    <w:p>
      <w:pPr>
        <w:pStyle w:val="0"/>
        <w:spacing w:before="200" w:line-rule="auto"/>
        <w:ind w:firstLine="540"/>
        <w:jc w:val="both"/>
      </w:pPr>
      <w:r>
        <w:rPr>
          <w:sz w:val="20"/>
        </w:rPr>
        <w:t xml:space="preserve">3. Рекомендовать органам местного самоуправления Новгородской области, оказывающим поддержку СОНКО:</w:t>
      </w:r>
    </w:p>
    <w:bookmarkStart w:id="32" w:name="P32"/>
    <w:bookmarkEnd w:id="32"/>
    <w:p>
      <w:pPr>
        <w:pStyle w:val="0"/>
        <w:spacing w:before="200" w:line-rule="auto"/>
        <w:ind w:firstLine="540"/>
        <w:jc w:val="both"/>
      </w:pPr>
      <w:r>
        <w:rPr>
          <w:sz w:val="20"/>
        </w:rPr>
        <w:t xml:space="preserve">3.1. Осуществлять формирование и ведение Реестра в соответствии с </w:t>
      </w:r>
      <w:hyperlink w:history="0" r:id="rId16"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 Недействующая редакция {КонсультантПлюс}">
        <w:r>
          <w:rPr>
            <w:sz w:val="20"/>
            <w:color w:val="0000ff"/>
          </w:rPr>
          <w:t xml:space="preserve">постановлением</w:t>
        </w:r>
      </w:hyperlink>
      <w:r>
        <w:rPr>
          <w:sz w:val="20"/>
        </w:rPr>
        <w:t xml:space="preserve"> Правительства N 1290, </w:t>
      </w:r>
      <w:hyperlink w:history="0" r:id="rId17"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Минэкономразвития N 223;</w:t>
      </w:r>
    </w:p>
    <w:p>
      <w:pPr>
        <w:pStyle w:val="0"/>
        <w:spacing w:before="200" w:line-rule="auto"/>
        <w:ind w:firstLine="540"/>
        <w:jc w:val="both"/>
      </w:pPr>
      <w:r>
        <w:rPr>
          <w:sz w:val="20"/>
        </w:rPr>
        <w:t xml:space="preserve">3.2. Определить лиц, ответственных за формирование и ведение Реестра, и представить в комитет до 15 августа 2022 года соответствующую информацию с указанием фамилии, имени, отчества, должности, контактного телефона и адреса электронной почты;</w:t>
      </w:r>
    </w:p>
    <w:p>
      <w:pPr>
        <w:pStyle w:val="0"/>
        <w:spacing w:before="200" w:line-rule="auto"/>
        <w:ind w:firstLine="540"/>
        <w:jc w:val="both"/>
      </w:pPr>
      <w:r>
        <w:rPr>
          <w:sz w:val="20"/>
        </w:rPr>
        <w:t xml:space="preserve">3.3. В целях реализации </w:t>
      </w:r>
      <w:hyperlink w:history="0" w:anchor="P32" w:tooltip="3.1. Осуществлять формирование и ведение Реестра в соответствии с постановлением Правительства N 1290, приказом Минэкономразвития N 223;">
        <w:r>
          <w:rPr>
            <w:sz w:val="20"/>
            <w:color w:val="0000ff"/>
          </w:rPr>
          <w:t xml:space="preserve">подпункта 3.1</w:t>
        </w:r>
      </w:hyperlink>
      <w:r>
        <w:rPr>
          <w:sz w:val="20"/>
        </w:rPr>
        <w:t xml:space="preserve"> распоряжения:</w:t>
      </w:r>
    </w:p>
    <w:p>
      <w:pPr>
        <w:pStyle w:val="0"/>
        <w:spacing w:before="200" w:line-rule="auto"/>
        <w:ind w:firstLine="540"/>
        <w:jc w:val="both"/>
      </w:pPr>
      <w:r>
        <w:rPr>
          <w:sz w:val="20"/>
        </w:rPr>
        <w:t xml:space="preserve">3.3.1. Осуществлять включение в Реестр сведений о СОНКО, предусмотренных </w:t>
      </w:r>
      <w:hyperlink w:history="0" r:id="rId18"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 принятия решения об оказании поддержки;</w:t>
      </w:r>
    </w:p>
    <w:p>
      <w:pPr>
        <w:pStyle w:val="0"/>
        <w:spacing w:before="200" w:line-rule="auto"/>
        <w:ind w:firstLine="540"/>
        <w:jc w:val="both"/>
      </w:pPr>
      <w:r>
        <w:rPr>
          <w:sz w:val="20"/>
        </w:rPr>
        <w:t xml:space="preserve">3.3.2. Осуществлять внесение изменений в Реестр в случае изменения сведений о СОНКО, предусмотренных </w:t>
      </w:r>
      <w:hyperlink w:history="0" r:id="rId19"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 поступления информации об их изменении;</w:t>
      </w:r>
    </w:p>
    <w:p>
      <w:pPr>
        <w:pStyle w:val="0"/>
        <w:spacing w:before="200" w:line-rule="auto"/>
        <w:ind w:firstLine="540"/>
        <w:jc w:val="both"/>
      </w:pPr>
      <w:r>
        <w:rPr>
          <w:sz w:val="20"/>
        </w:rPr>
        <w:t xml:space="preserve">3.3.3. Осуществлять исключение из Реестра сведений о СОНКО, предусмотренных </w:t>
      </w:r>
      <w:hyperlink w:history="0" r:id="rId20"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частью 2 статьи 31.2</w:t>
        </w:r>
      </w:hyperlink>
      <w:r>
        <w:rPr>
          <w:sz w:val="20"/>
        </w:rPr>
        <w:t xml:space="preserve"> Федерального закона N 7-ФЗ, в течение 3 рабочих дней со дня:</w:t>
      </w:r>
    </w:p>
    <w:p>
      <w:pPr>
        <w:pStyle w:val="0"/>
        <w:spacing w:before="200" w:line-rule="auto"/>
        <w:ind w:firstLine="540"/>
        <w:jc w:val="both"/>
      </w:pPr>
      <w:r>
        <w:rPr>
          <w:sz w:val="20"/>
        </w:rPr>
        <w:t xml:space="preserve">истечения 3 лет с даты включения СОНКО в Реестр;</w:t>
      </w:r>
    </w:p>
    <w:p>
      <w:pPr>
        <w:pStyle w:val="0"/>
        <w:spacing w:before="200" w:line-rule="auto"/>
        <w:ind w:firstLine="540"/>
        <w:jc w:val="both"/>
      </w:pPr>
      <w:r>
        <w:rPr>
          <w:sz w:val="20"/>
        </w:rPr>
        <w:t xml:space="preserve">выявления несоответствия данных о СОНКО в части даты принятия решения об оказании поддержки, полного и сокращенного (при наличии) наименования СОНКО, наименования органа местного самоуправления Новгородской области, предоставившего поддержку, сведениям, содержащимся в Реестре, за исключением технических ошибок или опечаток;</w:t>
      </w:r>
    </w:p>
    <w:p>
      <w:pPr>
        <w:pStyle w:val="0"/>
        <w:spacing w:before="200" w:line-rule="auto"/>
        <w:ind w:firstLine="540"/>
        <w:jc w:val="both"/>
      </w:pPr>
      <w:r>
        <w:rPr>
          <w:sz w:val="20"/>
        </w:rPr>
        <w:t xml:space="preserve">получения информации о нарушении СОНКО существенных условий соглашения о предоставлении субсидии либо гранта (цели и условия предоставления субсидии (гранта), достижения значений показателей результативности), установленном на основании проверки, проведенной органами муниципального финансового контроля, органами местного самоуправления Новгородской области (в случае получения субсидий или грантов из нескольких источников СОНКО исключается из Реестра при нарушении существенных условий одного соглашения);</w:t>
      </w:r>
    </w:p>
    <w:p>
      <w:pPr>
        <w:pStyle w:val="0"/>
        <w:spacing w:before="200" w:line-rule="auto"/>
        <w:ind w:firstLine="540"/>
        <w:jc w:val="both"/>
      </w:pPr>
      <w:r>
        <w:rPr>
          <w:sz w:val="20"/>
        </w:rPr>
        <w:t xml:space="preserve">3.4. Осуществлять представление в комитет:</w:t>
      </w:r>
    </w:p>
    <w:p>
      <w:pPr>
        <w:pStyle w:val="0"/>
        <w:spacing w:before="200" w:line-rule="auto"/>
        <w:ind w:firstLine="540"/>
        <w:jc w:val="both"/>
      </w:pPr>
      <w:r>
        <w:rPr>
          <w:sz w:val="20"/>
        </w:rPr>
        <w:t xml:space="preserve">3.4.1. Информации о включении в Реестр сведений о СОНКО по форме согласно приложению к распоряжению в течение 5 рабочих дней со дня включения сведений в Реестр;</w:t>
      </w:r>
    </w:p>
    <w:p>
      <w:pPr>
        <w:pStyle w:val="0"/>
        <w:spacing w:before="200" w:line-rule="auto"/>
        <w:ind w:firstLine="540"/>
        <w:jc w:val="both"/>
      </w:pPr>
      <w:r>
        <w:rPr>
          <w:sz w:val="20"/>
        </w:rPr>
        <w:t xml:space="preserve">3.4.2. </w:t>
      </w:r>
      <w:hyperlink w:history="0" w:anchor="P60" w:tooltip="ИНФОРМАЦИЯ">
        <w:r>
          <w:rPr>
            <w:sz w:val="20"/>
            <w:color w:val="0000ff"/>
          </w:rPr>
          <w:t xml:space="preserve">Информации</w:t>
        </w:r>
      </w:hyperlink>
      <w:r>
        <w:rPr>
          <w:sz w:val="20"/>
        </w:rPr>
        <w:t xml:space="preserve"> о внесении изменений в Реестр в случае изменения сведений о СОНКО по форме согласно приложению к распоряжению в течение 5 рабочих дней со дня внесения изменений в Реестр;</w:t>
      </w:r>
    </w:p>
    <w:p>
      <w:pPr>
        <w:pStyle w:val="0"/>
        <w:spacing w:before="200" w:line-rule="auto"/>
        <w:ind w:firstLine="540"/>
        <w:jc w:val="both"/>
      </w:pPr>
      <w:r>
        <w:rPr>
          <w:sz w:val="20"/>
        </w:rPr>
        <w:t xml:space="preserve">3.4.3. Информации об исключении из Реестра сведений о СОНКО в течение 5 рабочих дней со дня исключения сведений из Реестра;</w:t>
      </w:r>
    </w:p>
    <w:p>
      <w:pPr>
        <w:pStyle w:val="0"/>
        <w:spacing w:before="200" w:line-rule="auto"/>
        <w:ind w:firstLine="540"/>
        <w:jc w:val="both"/>
      </w:pPr>
      <w:r>
        <w:rPr>
          <w:sz w:val="20"/>
        </w:rPr>
        <w:t xml:space="preserve">3.4.4. Информации о СОНКО, необходимой для проведения анализа сведений, включенных в Реестр, в течение 5 рабочих дней со дня получения запроса комитета.</w:t>
      </w:r>
    </w:p>
    <w:p>
      <w:pPr>
        <w:pStyle w:val="0"/>
        <w:spacing w:before="200" w:line-rule="auto"/>
        <w:ind w:firstLine="540"/>
        <w:jc w:val="both"/>
      </w:pPr>
      <w:r>
        <w:rPr>
          <w:sz w:val="20"/>
        </w:rPr>
        <w:t xml:space="preserve">4. Разместить распоряжение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 Новгородской области</w:t>
      </w:r>
    </w:p>
    <w:p>
      <w:pPr>
        <w:pStyle w:val="0"/>
        <w:jc w:val="right"/>
      </w:pPr>
      <w:r>
        <w:rPr>
          <w:sz w:val="20"/>
        </w:rPr>
        <w:t xml:space="preserve">от 26.07.2022 N 243-рг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850"/>
        <w:gridCol w:w="1362"/>
        <w:gridCol w:w="1019"/>
        <w:gridCol w:w="1247"/>
        <w:gridCol w:w="1474"/>
        <w:gridCol w:w="1020"/>
        <w:gridCol w:w="1020"/>
        <w:gridCol w:w="794"/>
        <w:gridCol w:w="850"/>
        <w:gridCol w:w="646"/>
        <w:gridCol w:w="1735"/>
        <w:gridCol w:w="1043"/>
      </w:tblGrid>
      <w:tr>
        <w:tblPrEx>
          <w:tblBorders>
            <w:left w:val="nil"/>
            <w:right w:val="nil"/>
            <w:insideH w:val="nil"/>
          </w:tblBorders>
        </w:tblPrEx>
        <w:tc>
          <w:tcPr>
            <w:gridSpan w:val="13"/>
            <w:tcW w:w="13626" w:type="dxa"/>
            <w:tcBorders>
              <w:top w:val="nil"/>
              <w:left w:val="nil"/>
              <w:bottom w:val="nil"/>
              <w:right w:val="nil"/>
            </w:tcBorders>
          </w:tcPr>
          <w:bookmarkStart w:id="60" w:name="P60"/>
          <w:bookmarkEnd w:id="60"/>
          <w:p>
            <w:pPr>
              <w:pStyle w:val="0"/>
              <w:jc w:val="center"/>
            </w:pPr>
            <w:r>
              <w:rPr>
                <w:sz w:val="20"/>
              </w:rPr>
              <w:t xml:space="preserve">ИНФОРМАЦИЯ</w:t>
            </w:r>
          </w:p>
          <w:p>
            <w:pPr>
              <w:pStyle w:val="0"/>
              <w:jc w:val="center"/>
            </w:pPr>
            <w:r>
              <w:rPr>
                <w:sz w:val="20"/>
              </w:rPr>
              <w:t xml:space="preserve">о включении в реестр социально ориентированных</w:t>
            </w:r>
          </w:p>
          <w:p>
            <w:pPr>
              <w:pStyle w:val="0"/>
              <w:jc w:val="center"/>
            </w:pPr>
            <w:r>
              <w:rPr>
                <w:sz w:val="20"/>
              </w:rPr>
              <w:t xml:space="preserve">некоммерческих организаций - получателей поддержки сведений</w:t>
            </w:r>
          </w:p>
          <w:p>
            <w:pPr>
              <w:pStyle w:val="0"/>
              <w:jc w:val="center"/>
            </w:pPr>
            <w:r>
              <w:rPr>
                <w:sz w:val="20"/>
              </w:rPr>
              <w:t xml:space="preserve">о СОНКО или о внесении изменений в реестр социально</w:t>
            </w:r>
          </w:p>
          <w:p>
            <w:pPr>
              <w:pStyle w:val="0"/>
              <w:jc w:val="center"/>
            </w:pPr>
            <w:r>
              <w:rPr>
                <w:sz w:val="20"/>
              </w:rPr>
              <w:t xml:space="preserve">ориентированных некоммерческих организаций - получателей</w:t>
            </w:r>
          </w:p>
          <w:p>
            <w:pPr>
              <w:pStyle w:val="0"/>
              <w:jc w:val="center"/>
            </w:pPr>
            <w:r>
              <w:rPr>
                <w:sz w:val="20"/>
              </w:rPr>
              <w:t xml:space="preserve">поддержки в случае изменения сведений о СОНКО</w:t>
            </w:r>
          </w:p>
        </w:tc>
      </w:tr>
      <w:tr>
        <w:tblPrEx>
          <w:tblBorders>
            <w:left w:val="nil"/>
            <w:right w:val="nil"/>
            <w:insideV w:val="nil"/>
            <w:insideH w:val="nil"/>
          </w:tblBorders>
        </w:tblPrEx>
        <w:tc>
          <w:tcPr>
            <w:gridSpan w:val="3"/>
            <w:tcW w:w="2778" w:type="dxa"/>
            <w:tcBorders>
              <w:top w:val="nil"/>
              <w:bottom w:val="nil"/>
            </w:tcBorders>
          </w:tcPr>
          <w:p>
            <w:pPr>
              <w:pStyle w:val="0"/>
            </w:pPr>
            <w:r>
              <w:rPr>
                <w:sz w:val="20"/>
              </w:rPr>
            </w:r>
          </w:p>
        </w:tc>
        <w:tc>
          <w:tcPr>
            <w:gridSpan w:val="8"/>
            <w:tcW w:w="8070" w:type="dxa"/>
            <w:tcBorders>
              <w:top w:val="nil"/>
            </w:tcBorders>
          </w:tcPr>
          <w:p>
            <w:pPr>
              <w:pStyle w:val="0"/>
            </w:pPr>
            <w:r>
              <w:rPr>
                <w:sz w:val="20"/>
              </w:rPr>
            </w:r>
          </w:p>
        </w:tc>
        <w:tc>
          <w:tcPr>
            <w:gridSpan w:val="2"/>
            <w:tcW w:w="2778" w:type="dxa"/>
            <w:tcBorders>
              <w:top w:val="nil"/>
              <w:bottom w:val="nil"/>
            </w:tcBorders>
          </w:tcPr>
          <w:p>
            <w:pPr>
              <w:pStyle w:val="0"/>
            </w:pPr>
            <w:r>
              <w:rPr>
                <w:sz w:val="20"/>
              </w:rPr>
            </w:r>
          </w:p>
        </w:tc>
      </w:tr>
      <w:tr>
        <w:tblPrEx>
          <w:tblBorders>
            <w:left w:val="nil"/>
            <w:right w:val="nil"/>
            <w:insideV w:val="nil"/>
            <w:insideH w:val="nil"/>
          </w:tblBorders>
        </w:tblPrEx>
        <w:tc>
          <w:tcPr>
            <w:gridSpan w:val="3"/>
            <w:tcW w:w="2778" w:type="dxa"/>
            <w:tcBorders>
              <w:top w:val="nil"/>
              <w:bottom w:val="nil"/>
            </w:tcBorders>
          </w:tcPr>
          <w:p>
            <w:pPr>
              <w:pStyle w:val="0"/>
            </w:pPr>
            <w:r>
              <w:rPr>
                <w:sz w:val="20"/>
              </w:rPr>
            </w:r>
          </w:p>
        </w:tc>
        <w:tc>
          <w:tcPr>
            <w:gridSpan w:val="8"/>
            <w:tcW w:w="8070" w:type="dxa"/>
            <w:tcBorders>
              <w:bottom w:val="nil"/>
            </w:tcBorders>
          </w:tcPr>
          <w:p>
            <w:pPr>
              <w:pStyle w:val="0"/>
              <w:jc w:val="center"/>
            </w:pPr>
            <w:r>
              <w:rPr>
                <w:sz w:val="20"/>
              </w:rPr>
              <w:t xml:space="preserve">(наименование органа, предоставившего поддержку)</w:t>
            </w:r>
          </w:p>
        </w:tc>
        <w:tc>
          <w:tcPr>
            <w:gridSpan w:val="2"/>
            <w:tcW w:w="2778" w:type="dxa"/>
            <w:tcBorders>
              <w:top w:val="nil"/>
              <w:bottom w:val="nil"/>
            </w:tcBorders>
          </w:tcPr>
          <w:p>
            <w:pPr>
              <w:pStyle w:val="0"/>
            </w:pPr>
            <w:r>
              <w:rPr>
                <w:sz w:val="20"/>
              </w:rPr>
            </w:r>
          </w:p>
        </w:tc>
      </w:tr>
      <w:tr>
        <w:tblPrEx>
          <w:tblBorders>
            <w:left w:val="nil"/>
            <w:right w:val="nil"/>
            <w:insideH w:val="nil"/>
          </w:tblBorders>
        </w:tblPrEx>
        <w:tc>
          <w:tcPr>
            <w:gridSpan w:val="13"/>
            <w:tcW w:w="13626" w:type="dxa"/>
            <w:tcBorders>
              <w:top w:val="nil"/>
              <w:left w:val="nil"/>
              <w:right w:val="nil"/>
            </w:tcBorders>
          </w:tcPr>
          <w:p>
            <w:pPr>
              <w:pStyle w:val="0"/>
            </w:pPr>
            <w:r>
              <w:rPr>
                <w:sz w:val="20"/>
              </w:rPr>
            </w:r>
          </w:p>
        </w:tc>
      </w:tr>
      <w:tr>
        <w:tc>
          <w:tcPr>
            <w:tcW w:w="566" w:type="dxa"/>
            <w:vAlign w:val="center"/>
            <w:vMerge w:val="restart"/>
          </w:tcPr>
          <w:p>
            <w:pPr>
              <w:pStyle w:val="0"/>
              <w:jc w:val="center"/>
            </w:pPr>
            <w:r>
              <w:rPr>
                <w:sz w:val="20"/>
              </w:rPr>
              <w:t xml:space="preserve">Номер реестровой записи</w:t>
            </w:r>
          </w:p>
        </w:tc>
        <w:tc>
          <w:tcPr>
            <w:tcW w:w="850" w:type="dxa"/>
            <w:vAlign w:val="center"/>
            <w:vMerge w:val="restart"/>
          </w:tcPr>
          <w:p>
            <w:pPr>
              <w:pStyle w:val="0"/>
              <w:jc w:val="center"/>
            </w:pPr>
            <w:r>
              <w:rPr>
                <w:sz w:val="20"/>
              </w:rPr>
              <w:t xml:space="preserve">Дата включения сведений в реестр</w:t>
            </w:r>
          </w:p>
        </w:tc>
        <w:tc>
          <w:tcPr>
            <w:tcW w:w="1362" w:type="dxa"/>
            <w:vAlign w:val="center"/>
            <w:vMerge w:val="restart"/>
          </w:tcPr>
          <w:p>
            <w:pPr>
              <w:pStyle w:val="0"/>
              <w:jc w:val="center"/>
            </w:pPr>
            <w:r>
              <w:rPr>
                <w:sz w:val="20"/>
              </w:rPr>
              <w:t xml:space="preserve">Дата принятия решения об оказании поддержки или о прекращении оказания поддержки</w:t>
            </w:r>
          </w:p>
        </w:tc>
        <w:tc>
          <w:tcPr>
            <w:gridSpan w:val="5"/>
            <w:tcW w:w="5780" w:type="dxa"/>
            <w:vAlign w:val="center"/>
          </w:tcPr>
          <w:p>
            <w:pPr>
              <w:pStyle w:val="0"/>
              <w:jc w:val="center"/>
            </w:pPr>
            <w:r>
              <w:rPr>
                <w:sz w:val="20"/>
              </w:rPr>
              <w:t xml:space="preserve">Сведения о СОНКО</w:t>
            </w:r>
          </w:p>
        </w:tc>
        <w:tc>
          <w:tcPr>
            <w:gridSpan w:val="3"/>
            <w:tcW w:w="2290" w:type="dxa"/>
            <w:vAlign w:val="center"/>
          </w:tcPr>
          <w:p>
            <w:pPr>
              <w:pStyle w:val="0"/>
              <w:jc w:val="center"/>
            </w:pPr>
            <w:r>
              <w:rPr>
                <w:sz w:val="20"/>
              </w:rPr>
              <w:t xml:space="preserve">Сведения о предоставленной поддержке</w:t>
            </w:r>
          </w:p>
        </w:tc>
        <w:tc>
          <w:tcPr>
            <w:tcW w:w="1735" w:type="dxa"/>
            <w:vAlign w:val="center"/>
            <w:vMerge w:val="restart"/>
          </w:tcPr>
          <w:p>
            <w:pPr>
              <w:pStyle w:val="0"/>
              <w:jc w:val="center"/>
            </w:pPr>
            <w:r>
              <w:rPr>
                <w:sz w:val="20"/>
              </w:rPr>
              <w:t xml:space="preserve">Информация (если имеется) о нарушениях, допущенных СОНКО, получившей поддержку, в том числе о нецелевом использовании предоставленных средств и имущества</w:t>
            </w:r>
          </w:p>
        </w:tc>
        <w:tc>
          <w:tcPr>
            <w:tcW w:w="1043" w:type="dxa"/>
            <w:vAlign w:val="center"/>
            <w:vMerge w:val="restart"/>
          </w:tcPr>
          <w:p>
            <w:pPr>
              <w:pStyle w:val="0"/>
              <w:jc w:val="center"/>
            </w:pPr>
            <w:r>
              <w:rPr>
                <w:sz w:val="20"/>
              </w:rPr>
              <w:t xml:space="preserve">Информация об учредителях СОНКО</w:t>
            </w:r>
          </w:p>
        </w:tc>
      </w:tr>
      <w:tr>
        <w:tc>
          <w:tcPr>
            <w:vMerge w:val="continue"/>
          </w:tcPr>
          <w:p/>
        </w:tc>
        <w:tc>
          <w:tcPr>
            <w:vMerge w:val="continue"/>
          </w:tcPr>
          <w:p/>
        </w:tc>
        <w:tc>
          <w:tcPr>
            <w:vMerge w:val="continue"/>
          </w:tcPr>
          <w:p/>
        </w:tc>
        <w:tc>
          <w:tcPr>
            <w:tcW w:w="1019" w:type="dxa"/>
            <w:vAlign w:val="center"/>
          </w:tcPr>
          <w:p>
            <w:pPr>
              <w:pStyle w:val="0"/>
              <w:jc w:val="center"/>
            </w:pPr>
            <w:r>
              <w:rPr>
                <w:sz w:val="20"/>
              </w:rPr>
              <w:t xml:space="preserve">наименование постоянно действующего органа СОНКО</w:t>
            </w:r>
          </w:p>
        </w:tc>
        <w:tc>
          <w:tcPr>
            <w:tcW w:w="1247" w:type="dxa"/>
            <w:vAlign w:val="center"/>
          </w:tcPr>
          <w:p>
            <w:pPr>
              <w:pStyle w:val="0"/>
              <w:jc w:val="center"/>
            </w:pPr>
            <w:r>
              <w:rPr>
                <w:sz w:val="20"/>
              </w:rPr>
              <w:t xml:space="preserve">адрес (местонахождение) постоянно действующего органа СОНКО</w:t>
            </w:r>
          </w:p>
        </w:tc>
        <w:tc>
          <w:tcPr>
            <w:tcW w:w="1474" w:type="dxa"/>
            <w:vAlign w:val="center"/>
          </w:tcPr>
          <w:p>
            <w:pPr>
              <w:pStyle w:val="0"/>
              <w:jc w:val="center"/>
            </w:pPr>
            <w:r>
              <w:rPr>
                <w:sz w:val="20"/>
              </w:rPr>
              <w:t xml:space="preserve">основной государственный регистрационный номер записи о государственной регистрации СОНКО (ОГРН)</w:t>
            </w:r>
          </w:p>
        </w:tc>
        <w:tc>
          <w:tcPr>
            <w:tcW w:w="1020" w:type="dxa"/>
            <w:vAlign w:val="center"/>
          </w:tcPr>
          <w:p>
            <w:pPr>
              <w:pStyle w:val="0"/>
              <w:jc w:val="center"/>
            </w:pPr>
            <w:r>
              <w:rPr>
                <w:sz w:val="20"/>
              </w:rPr>
              <w:t xml:space="preserve">идентификационный номер налогоплательщика</w:t>
            </w:r>
          </w:p>
        </w:tc>
        <w:tc>
          <w:tcPr>
            <w:tcW w:w="1020" w:type="dxa"/>
            <w:vAlign w:val="center"/>
          </w:tcPr>
          <w:p>
            <w:pPr>
              <w:pStyle w:val="0"/>
              <w:jc w:val="center"/>
            </w:pPr>
            <w:r>
              <w:rPr>
                <w:sz w:val="20"/>
              </w:rPr>
              <w:t xml:space="preserve">основные виды деятельности СОНКО</w:t>
            </w:r>
          </w:p>
        </w:tc>
        <w:tc>
          <w:tcPr>
            <w:tcW w:w="794" w:type="dxa"/>
            <w:vAlign w:val="center"/>
          </w:tcPr>
          <w:p>
            <w:pPr>
              <w:pStyle w:val="0"/>
              <w:jc w:val="center"/>
            </w:pPr>
            <w:r>
              <w:rPr>
                <w:sz w:val="20"/>
              </w:rPr>
              <w:t xml:space="preserve">форма поддержки</w:t>
            </w:r>
          </w:p>
        </w:tc>
        <w:tc>
          <w:tcPr>
            <w:tcW w:w="850" w:type="dxa"/>
            <w:vAlign w:val="center"/>
          </w:tcPr>
          <w:p>
            <w:pPr>
              <w:pStyle w:val="0"/>
              <w:jc w:val="center"/>
            </w:pPr>
            <w:r>
              <w:rPr>
                <w:sz w:val="20"/>
              </w:rPr>
              <w:t xml:space="preserve">размер поддержки</w:t>
            </w:r>
          </w:p>
        </w:tc>
        <w:tc>
          <w:tcPr>
            <w:tcW w:w="646" w:type="dxa"/>
            <w:vAlign w:val="center"/>
          </w:tcPr>
          <w:p>
            <w:pPr>
              <w:pStyle w:val="0"/>
              <w:jc w:val="center"/>
            </w:pPr>
            <w:r>
              <w:rPr>
                <w:sz w:val="20"/>
              </w:rPr>
              <w:t xml:space="preserve">срок оказания поддержки</w:t>
            </w:r>
          </w:p>
        </w:tc>
        <w:tc>
          <w:tcPr>
            <w:vMerge w:val="continue"/>
          </w:tcPr>
          <w:p/>
        </w:tc>
        <w:tc>
          <w:tcPr>
            <w:vMerge w:val="continue"/>
          </w:tcPr>
          <w:p/>
        </w:tc>
      </w:tr>
      <w:tr>
        <w:tc>
          <w:tcPr>
            <w:tcW w:w="566"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1362" w:type="dxa"/>
            <w:vAlign w:val="center"/>
          </w:tcPr>
          <w:p>
            <w:pPr>
              <w:pStyle w:val="0"/>
              <w:jc w:val="center"/>
            </w:pPr>
            <w:r>
              <w:rPr>
                <w:sz w:val="20"/>
              </w:rPr>
              <w:t xml:space="preserve">3</w:t>
            </w:r>
          </w:p>
        </w:tc>
        <w:tc>
          <w:tcPr>
            <w:tcW w:w="1019"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646" w:type="dxa"/>
            <w:vAlign w:val="center"/>
          </w:tcPr>
          <w:p>
            <w:pPr>
              <w:pStyle w:val="0"/>
              <w:jc w:val="center"/>
            </w:pPr>
            <w:r>
              <w:rPr>
                <w:sz w:val="20"/>
              </w:rPr>
              <w:t xml:space="preserve">11</w:t>
            </w:r>
          </w:p>
        </w:tc>
        <w:tc>
          <w:tcPr>
            <w:tcW w:w="1735" w:type="dxa"/>
            <w:vAlign w:val="center"/>
          </w:tcPr>
          <w:p>
            <w:pPr>
              <w:pStyle w:val="0"/>
              <w:jc w:val="center"/>
            </w:pPr>
            <w:r>
              <w:rPr>
                <w:sz w:val="20"/>
              </w:rPr>
              <w:t xml:space="preserve">12</w:t>
            </w:r>
          </w:p>
        </w:tc>
        <w:tc>
          <w:tcPr>
            <w:tcW w:w="1043" w:type="dxa"/>
            <w:vAlign w:val="center"/>
          </w:tcPr>
          <w:p>
            <w:pPr>
              <w:pStyle w:val="0"/>
              <w:jc w:val="center"/>
            </w:pPr>
            <w:r>
              <w:rPr>
                <w:sz w:val="20"/>
              </w:rPr>
              <w:t xml:space="preserve">13</w:t>
            </w:r>
          </w:p>
        </w:tc>
      </w:tr>
      <w:tr>
        <w:tc>
          <w:tcPr>
            <w:tcW w:w="566" w:type="dxa"/>
            <w:vAlign w:val="center"/>
          </w:tcPr>
          <w:p>
            <w:pPr>
              <w:pStyle w:val="0"/>
            </w:pPr>
            <w:r>
              <w:rPr>
                <w:sz w:val="20"/>
              </w:rPr>
            </w:r>
          </w:p>
        </w:tc>
        <w:tc>
          <w:tcPr>
            <w:tcW w:w="850" w:type="dxa"/>
            <w:vAlign w:val="center"/>
          </w:tcPr>
          <w:p>
            <w:pPr>
              <w:pStyle w:val="0"/>
            </w:pPr>
            <w:r>
              <w:rPr>
                <w:sz w:val="20"/>
              </w:rPr>
            </w:r>
          </w:p>
        </w:tc>
        <w:tc>
          <w:tcPr>
            <w:tcW w:w="1362" w:type="dxa"/>
            <w:vAlign w:val="center"/>
          </w:tcPr>
          <w:p>
            <w:pPr>
              <w:pStyle w:val="0"/>
            </w:pPr>
            <w:r>
              <w:rPr>
                <w:sz w:val="20"/>
              </w:rPr>
            </w:r>
          </w:p>
        </w:tc>
        <w:tc>
          <w:tcPr>
            <w:tcW w:w="1019"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646" w:type="dxa"/>
            <w:vAlign w:val="center"/>
          </w:tcPr>
          <w:p>
            <w:pPr>
              <w:pStyle w:val="0"/>
            </w:pPr>
            <w:r>
              <w:rPr>
                <w:sz w:val="20"/>
              </w:rPr>
            </w:r>
          </w:p>
        </w:tc>
        <w:tc>
          <w:tcPr>
            <w:tcW w:w="1735" w:type="dxa"/>
            <w:vAlign w:val="center"/>
          </w:tcPr>
          <w:p>
            <w:pPr>
              <w:pStyle w:val="0"/>
            </w:pPr>
            <w:r>
              <w:rPr>
                <w:sz w:val="20"/>
              </w:rPr>
            </w:r>
          </w:p>
        </w:tc>
        <w:tc>
          <w:tcPr>
            <w:tcW w:w="1043" w:type="dxa"/>
            <w:vAlign w:val="center"/>
          </w:tcPr>
          <w:p>
            <w:pPr>
              <w:pStyle w:val="0"/>
            </w:pPr>
            <w:r>
              <w:rPr>
                <w:sz w:val="20"/>
              </w:rPr>
            </w:r>
          </w:p>
        </w:tc>
      </w:tr>
      <w:tr>
        <w:tc>
          <w:tcPr>
            <w:tcW w:w="566" w:type="dxa"/>
            <w:vAlign w:val="center"/>
          </w:tcPr>
          <w:p>
            <w:pPr>
              <w:pStyle w:val="0"/>
            </w:pPr>
            <w:r>
              <w:rPr>
                <w:sz w:val="20"/>
              </w:rPr>
            </w:r>
          </w:p>
        </w:tc>
        <w:tc>
          <w:tcPr>
            <w:tcW w:w="850" w:type="dxa"/>
            <w:vAlign w:val="center"/>
          </w:tcPr>
          <w:p>
            <w:pPr>
              <w:pStyle w:val="0"/>
            </w:pPr>
            <w:r>
              <w:rPr>
                <w:sz w:val="20"/>
              </w:rPr>
            </w:r>
          </w:p>
        </w:tc>
        <w:tc>
          <w:tcPr>
            <w:tcW w:w="1362" w:type="dxa"/>
            <w:vAlign w:val="center"/>
          </w:tcPr>
          <w:p>
            <w:pPr>
              <w:pStyle w:val="0"/>
            </w:pPr>
            <w:r>
              <w:rPr>
                <w:sz w:val="20"/>
              </w:rPr>
            </w:r>
          </w:p>
        </w:tc>
        <w:tc>
          <w:tcPr>
            <w:tcW w:w="1019"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646" w:type="dxa"/>
            <w:vAlign w:val="center"/>
          </w:tcPr>
          <w:p>
            <w:pPr>
              <w:pStyle w:val="0"/>
            </w:pPr>
            <w:r>
              <w:rPr>
                <w:sz w:val="20"/>
              </w:rPr>
            </w:r>
          </w:p>
        </w:tc>
        <w:tc>
          <w:tcPr>
            <w:tcW w:w="1735" w:type="dxa"/>
            <w:vAlign w:val="center"/>
          </w:tcPr>
          <w:p>
            <w:pPr>
              <w:pStyle w:val="0"/>
            </w:pPr>
            <w:r>
              <w:rPr>
                <w:sz w:val="20"/>
              </w:rPr>
            </w:r>
          </w:p>
        </w:tc>
        <w:tc>
          <w:tcPr>
            <w:tcW w:w="1043" w:type="dxa"/>
            <w:vAlign w:val="center"/>
          </w:tcPr>
          <w:p>
            <w:pPr>
              <w:pStyle w:val="0"/>
            </w:pPr>
            <w:r>
              <w:rPr>
                <w:sz w:val="20"/>
              </w:rPr>
            </w:r>
          </w:p>
        </w:tc>
      </w:tr>
      <w:tr>
        <w:tc>
          <w:tcPr>
            <w:tcW w:w="566" w:type="dxa"/>
            <w:vAlign w:val="center"/>
          </w:tcPr>
          <w:p>
            <w:pPr>
              <w:pStyle w:val="0"/>
            </w:pPr>
            <w:r>
              <w:rPr>
                <w:sz w:val="20"/>
              </w:rPr>
            </w:r>
          </w:p>
        </w:tc>
        <w:tc>
          <w:tcPr>
            <w:tcW w:w="850" w:type="dxa"/>
            <w:vAlign w:val="center"/>
          </w:tcPr>
          <w:p>
            <w:pPr>
              <w:pStyle w:val="0"/>
            </w:pPr>
            <w:r>
              <w:rPr>
                <w:sz w:val="20"/>
              </w:rPr>
            </w:r>
          </w:p>
        </w:tc>
        <w:tc>
          <w:tcPr>
            <w:tcW w:w="1362" w:type="dxa"/>
            <w:vAlign w:val="center"/>
          </w:tcPr>
          <w:p>
            <w:pPr>
              <w:pStyle w:val="0"/>
            </w:pPr>
            <w:r>
              <w:rPr>
                <w:sz w:val="20"/>
              </w:rPr>
            </w:r>
          </w:p>
        </w:tc>
        <w:tc>
          <w:tcPr>
            <w:tcW w:w="1019" w:type="dxa"/>
            <w:vAlign w:val="center"/>
          </w:tcPr>
          <w:p>
            <w:pPr>
              <w:pStyle w:val="0"/>
            </w:pPr>
            <w:r>
              <w:rPr>
                <w:sz w:val="20"/>
              </w:rPr>
            </w:r>
          </w:p>
        </w:tc>
        <w:tc>
          <w:tcPr>
            <w:tcW w:w="1247" w:type="dxa"/>
            <w:vAlign w:val="center"/>
          </w:tcPr>
          <w:p>
            <w:pPr>
              <w:pStyle w:val="0"/>
            </w:pPr>
            <w:r>
              <w:rPr>
                <w:sz w:val="20"/>
              </w:rPr>
            </w:r>
          </w:p>
        </w:tc>
        <w:tc>
          <w:tcPr>
            <w:tcW w:w="1474" w:type="dxa"/>
            <w:vAlign w:val="center"/>
          </w:tcPr>
          <w:p>
            <w:pPr>
              <w:pStyle w:val="0"/>
            </w:pPr>
            <w:r>
              <w:rPr>
                <w:sz w:val="20"/>
              </w:rPr>
            </w:r>
          </w:p>
        </w:tc>
        <w:tc>
          <w:tcPr>
            <w:tcW w:w="102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646" w:type="dxa"/>
            <w:vAlign w:val="center"/>
          </w:tcPr>
          <w:p>
            <w:pPr>
              <w:pStyle w:val="0"/>
            </w:pPr>
            <w:r>
              <w:rPr>
                <w:sz w:val="20"/>
              </w:rPr>
            </w:r>
          </w:p>
        </w:tc>
        <w:tc>
          <w:tcPr>
            <w:tcW w:w="1735" w:type="dxa"/>
            <w:vAlign w:val="center"/>
          </w:tcPr>
          <w:p>
            <w:pPr>
              <w:pStyle w:val="0"/>
            </w:pPr>
            <w:r>
              <w:rPr>
                <w:sz w:val="20"/>
              </w:rPr>
            </w:r>
          </w:p>
        </w:tc>
        <w:tc>
          <w:tcPr>
            <w:tcW w:w="1043"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Новгородской области от 26.07.2022 N 243-рг</w:t>
            <w:br/>
            <w:t>"О взаимодействии органов исполнительной власти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Новгородской области от 26.07.2022 N 243-рг</w:t>
            <w:br/>
            <w:t>"О взаимодействии органов исполнительной власти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A43756A7BF061A35493549669703B21A05D0BA4E90C02BF33C44FCF582184C9AA8728F1E8B018508E42B32F5A16A217472B3FE93mCy7J" TargetMode = "External"/>
	<Relationship Id="rId8" Type="http://schemas.openxmlformats.org/officeDocument/2006/relationships/hyperlink" Target="consultantplus://offline/ref=28A43756A7BF061A35492B4470FB5CBA1D0687BE4497CE7EAA631FA1A28B121BDDE72BCD5C860BD159A17E3FFFF525642361B0FE8FC47181A75D79m8yDJ" TargetMode = "External"/>
	<Relationship Id="rId9" Type="http://schemas.openxmlformats.org/officeDocument/2006/relationships/hyperlink" Target="consultantplus://offline/ref=28A43756A7BF061A35493549669703B21A04DBB34E9AC02BF33C44FCF582184C88A82A83198B14D05BBE7C3FF6mAy3J" TargetMode = "External"/>
	<Relationship Id="rId10" Type="http://schemas.openxmlformats.org/officeDocument/2006/relationships/hyperlink" Target="consultantplus://offline/ref=8B4E0BBD98A80AEC271D2504D76CFDADCA6754F55934A157D4C02C54434FEA0CBA675EF9CBB38C52C259951E29nEy8J" TargetMode = "External"/>
	<Relationship Id="rId11" Type="http://schemas.openxmlformats.org/officeDocument/2006/relationships/hyperlink" Target="consultantplus://offline/ref=8B4E0BBD98A80AEC271D2504D76CFDADC86F50F35D3DA157D4C02C54434FEA0CBA675EF9CBB38C52C259951E29nEy8J" TargetMode = "External"/>
	<Relationship Id="rId12" Type="http://schemas.openxmlformats.org/officeDocument/2006/relationships/hyperlink" Target="consultantplus://offline/ref=8B4E0BBD98A80AEC271D2504D76CFDADCA6754F55934A157D4C02C54434FEA0CBA675EF9CBB38C52C259951E29nEy8J" TargetMode = "External"/>
	<Relationship Id="rId13" Type="http://schemas.openxmlformats.org/officeDocument/2006/relationships/hyperlink" Target="consultantplus://offline/ref=8B4E0BBD98A80AEC271D2504D76CFDADC86E5BFA5D37A157D4C02C54434FEA0CA86706F5CCB199079103C2132AEAB3F0862173E611n8y7J" TargetMode = "External"/>
	<Relationship Id="rId14" Type="http://schemas.openxmlformats.org/officeDocument/2006/relationships/hyperlink" Target="consultantplus://offline/ref=8B4E0BBD98A80AEC271D2504D76CFDADC86E5BFA5D37A157D4C02C54434FEA0CA86706F5CCB199079103C2132AEAB3F0862173E611n8y7J" TargetMode = "External"/>
	<Relationship Id="rId15" Type="http://schemas.openxmlformats.org/officeDocument/2006/relationships/hyperlink" Target="consultantplus://offline/ref=8B4E0BBD98A80AEC271D2504D76CFDADC86E5BFA5D37A157D4C02C54434FEA0CA86706F5CCB199079103C2132AEAB3F0862173E611n8y7J" TargetMode = "External"/>
	<Relationship Id="rId16" Type="http://schemas.openxmlformats.org/officeDocument/2006/relationships/hyperlink" Target="consultantplus://offline/ref=8B4E0BBD98A80AEC271D2504D76CFDADC86F50F35D3DA157D4C02C54434FEA0CBA675EF9CBB38C52C259951E29nEy8J" TargetMode = "External"/>
	<Relationship Id="rId17" Type="http://schemas.openxmlformats.org/officeDocument/2006/relationships/hyperlink" Target="consultantplus://offline/ref=8B4E0BBD98A80AEC271D2504D76CFDADCA6754F55934A157D4C02C54434FEA0CBA675EF9CBB38C52C259951E29nEy8J" TargetMode = "External"/>
	<Relationship Id="rId18" Type="http://schemas.openxmlformats.org/officeDocument/2006/relationships/hyperlink" Target="consultantplus://offline/ref=8B4E0BBD98A80AEC271D2504D76CFDADC86E5BFA5D37A157D4C02C54434FEA0CA86706F5CCB199079103C2132AEAB3F0862173E611n8y7J" TargetMode = "External"/>
	<Relationship Id="rId19" Type="http://schemas.openxmlformats.org/officeDocument/2006/relationships/hyperlink" Target="consultantplus://offline/ref=8B4E0BBD98A80AEC271D2504D76CFDADC86E5BFA5D37A157D4C02C54434FEA0CA86706F5CCB199079103C2132AEAB3F0862173E611n8y7J" TargetMode = "External"/>
	<Relationship Id="rId20" Type="http://schemas.openxmlformats.org/officeDocument/2006/relationships/hyperlink" Target="consultantplus://offline/ref=8B4E0BBD98A80AEC271D2504D76CFDADC86E5BFA5D37A157D4C02C54434FEA0CA86706F5CCB199079103C2132AEAB3F0862173E611n8y7J" TargetMode = "External"/>
	<Relationship Id="rId21" Type="http://schemas.openxmlformats.org/officeDocument/2006/relationships/header" Target="header2.xml"/>
	<Relationship Id="rId2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Новгородской области от 26.07.2022 N 243-рг
"О взаимодействии органов исполнительной власти Новгородской области и органов местного самоуправления Новгородской области при формировании и ведении реестров социально ориентированных некоммерческих организаций - получателей поддержки"
(вместе с "Информацией о включении в реестр социально ориентированных некоммерческих организаций - получателей поддержки сведений о СОНКО или о внесении изменений в реестр социально ориентированных неком</dc:title>
  <dcterms:created xsi:type="dcterms:W3CDTF">2022-12-10T09:50:38Z</dcterms:created>
</cp:coreProperties>
</file>