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Пензенской обл. от 15.07.2022 N 193</w:t>
              <w:br/>
              <w:t xml:space="preserve">(ред. от 15.05.2023)</w:t>
              <w:br/>
              <w:t xml:space="preserve">"Об утверждении Административного регламента предоставления Министерством здравоохранения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июля 2022 г. N 193</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ЗДРАВООХРАНЕНИЯ ПЕНЗЕНСКОЙ ОБЛАСТИ</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ОРИЕНТИРОВАННЫМИ НЕКОММЕРЧЕСКИМИ</w:t>
      </w:r>
    </w:p>
    <w:p>
      <w:pPr>
        <w:pStyle w:val="2"/>
        <w:jc w:val="center"/>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Пензенской обл. от 05.12.2022 </w:t>
            </w:r>
            <w:hyperlink w:history="0" r:id="rId7"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15.05.2023 </w:t>
            </w:r>
            <w:hyperlink w:history="0" r:id="rId8"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N 13-60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1" w:tooltip="Постановление Правительства Пензенской обл. от 29.06.2011 N 410-пП (ред. от 19.05.2022)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(с последующими изменениями),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3"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4" w:tooltip="Постановление Правительства Пензенской обл. от 31.01.2013 N 30-пП (ред. от 27.10.2022) &quot;Об утверждении Положения о Министерстве здравоохранения Пензенской области&quot; {КонсультантПлюс}">
        <w:r>
          <w:rPr>
            <w:sz w:val="20"/>
            <w:color w:val="0000ff"/>
          </w:rPr>
          <w:t xml:space="preserve">подпунктом 3.1.8 пункта 3.1</w:t>
        </w:r>
      </w:hyperlink>
      <w:r>
        <w:rPr>
          <w:sz w:val="20"/>
        </w:rPr>
        <w:t xml:space="preserve"> Положения о Министерстве здравоохранения Пензенской области, утвержденного постановлением Правительства Пензенской области от 31.01.2013 N 30-пП (с последующими изменениями), приказываю:</w:t>
      </w:r>
    </w:p>
    <w:p>
      <w:pPr>
        <w:pStyle w:val="0"/>
        <w:jc w:val="both"/>
      </w:pPr>
      <w:r>
        <w:rPr>
          <w:sz w:val="20"/>
        </w:rPr>
        <w:t xml:space="preserve">(в ред. </w:t>
      </w:r>
      <w:hyperlink w:history="0" r:id="rId15"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здравоохранения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(приложение).</w:t>
      </w:r>
    </w:p>
    <w:p>
      <w:pPr>
        <w:pStyle w:val="0"/>
        <w:spacing w:before="200" w:line-rule="auto"/>
        <w:ind w:firstLine="540"/>
        <w:jc w:val="both"/>
      </w:pPr>
      <w:r>
        <w:rPr>
          <w:sz w:val="20"/>
        </w:rPr>
        <w:t xml:space="preserve">2. Настоящий приказ опубликовать (разместить) на официальном сайте Министерства здравоохранения Пензенской области и на официальном интернет-портале правовой информации (</w:t>
      </w:r>
      <w:r>
        <w:rPr>
          <w:sz w:val="20"/>
        </w:rPr>
        <w:t xml:space="preserve">www.pravo.gov.ru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здравоохранения, координирующего вопросы оказания медицинской помощи взрослому населению.</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 Министр</w:t>
      </w:r>
    </w:p>
    <w:p>
      <w:pPr>
        <w:pStyle w:val="0"/>
        <w:jc w:val="right"/>
      </w:pPr>
      <w:r>
        <w:rPr>
          <w:sz w:val="20"/>
        </w:rPr>
        <w:t xml:space="preserve">здравоохранения</w:t>
      </w:r>
    </w:p>
    <w:p>
      <w:pPr>
        <w:pStyle w:val="0"/>
        <w:jc w:val="right"/>
      </w:pPr>
      <w:r>
        <w:rPr>
          <w:sz w:val="20"/>
        </w:rPr>
        <w:t xml:space="preserve">Пензенской области</w:t>
      </w:r>
    </w:p>
    <w:p>
      <w:pPr>
        <w:pStyle w:val="0"/>
        <w:jc w:val="right"/>
      </w:pPr>
      <w:r>
        <w:rPr>
          <w:sz w:val="20"/>
        </w:rPr>
        <w:t xml:space="preserve">В.В.КОСМАЧЕВ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Пензенской области</w:t>
      </w:r>
    </w:p>
    <w:p>
      <w:pPr>
        <w:pStyle w:val="0"/>
        <w:jc w:val="right"/>
      </w:pPr>
      <w:r>
        <w:rPr>
          <w:sz w:val="20"/>
        </w:rPr>
        <w:t xml:space="preserve">от 15 июля 2022 г. N 193</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ЗДРАВООХРАНЕНИЯ ПЕНЗЕНСКОЙ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Пензенской обл. от 05.12.2022 </w:t>
            </w:r>
            <w:hyperlink w:history="0" r:id="rId16"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15.05.2023 </w:t>
            </w:r>
            <w:hyperlink w:history="0" r:id="rId17"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N 13-60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w:t>
      </w:r>
    </w:p>
    <w:p>
      <w:pPr>
        <w:pStyle w:val="0"/>
        <w:jc w:val="both"/>
      </w:pPr>
      <w:r>
        <w:rPr>
          <w:sz w:val="20"/>
        </w:rPr>
      </w:r>
    </w:p>
    <w:p>
      <w:pPr>
        <w:pStyle w:val="0"/>
        <w:ind w:firstLine="540"/>
        <w:jc w:val="both"/>
      </w:pPr>
      <w:r>
        <w:rPr>
          <w:sz w:val="20"/>
        </w:rPr>
        <w:t xml:space="preserve">1.1.1. Административный регламент предоставления Министерством здравоохранения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устанавливает порядок и стандарт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(далее - государственная услуга), определяет сроки и последовательность действий предоставления государственной услуги, порядок и формы контроля предоставления государственной услуги, порядок обжалования решений и действий органа, предоставляющего государственную услугу, а также должностных лиц, участвующих в предоставлении государственной услуги.</w:t>
      </w:r>
    </w:p>
    <w:p>
      <w:pPr>
        <w:pStyle w:val="0"/>
        <w:spacing w:before="200" w:line-rule="auto"/>
        <w:ind w:firstLine="540"/>
        <w:jc w:val="both"/>
      </w:pPr>
      <w:r>
        <w:rPr>
          <w:sz w:val="20"/>
        </w:rPr>
        <w:t xml:space="preserve">1.1.2. Настоящий Регламент устанавливает порядок взаимодействия между структурными подразделениями Министерства здравоохранения Пензенской области (далее - Министерство), их должностными лицами, между уполномоченным Министерства и физическими или юридическими лицами, индивидуальными предпринимателями, их уполномоченными представителями,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t xml:space="preserve">(в ред. </w:t>
      </w:r>
      <w:hyperlink w:history="0" r:id="rId18"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в соответствии с </w:t>
      </w:r>
      <w:hyperlink w:history="0" r:id="rId19"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w:t>
      </w:r>
      <w:hyperlink w:history="0" r:id="rId20"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1.3. Требования к порядку информирования о</w:t>
      </w:r>
    </w:p>
    <w:p>
      <w:pPr>
        <w:pStyle w:val="2"/>
        <w:jc w:val="center"/>
      </w:pPr>
      <w:r>
        <w:rPr>
          <w:sz w:val="20"/>
        </w:rPr>
        <w:t xml:space="preserve">предоставлении государственной услуги</w:t>
      </w:r>
    </w:p>
    <w:p>
      <w:pPr>
        <w:pStyle w:val="0"/>
        <w:jc w:val="both"/>
      </w:pPr>
      <w:r>
        <w:rPr>
          <w:sz w:val="20"/>
        </w:rPr>
      </w:r>
    </w:p>
    <w:p>
      <w:pPr>
        <w:pStyle w:val="0"/>
        <w:ind w:firstLine="540"/>
        <w:jc w:val="both"/>
      </w:pPr>
      <w:r>
        <w:rPr>
          <w:sz w:val="20"/>
        </w:rPr>
        <w:t xml:space="preserve">1.3.1. Получение информации заявителями по вопросам предоставления государственной услуги осуществляется посредством официального сайта Министерства труда социальной защиты и демографии Пензенской области (далее - Министерство)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 адресу </w:t>
      </w:r>
      <w:r>
        <w:rPr>
          <w:sz w:val="20"/>
        </w:rPr>
        <w:t xml:space="preserve">http://gosuslugi.ru</w:t>
      </w:r>
      <w:r>
        <w:rPr>
          <w:sz w:val="20"/>
        </w:rPr>
        <w:t xml:space="preserve">", а также модуля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Порталы).</w:t>
      </w:r>
    </w:p>
    <w:p>
      <w:pPr>
        <w:pStyle w:val="0"/>
        <w:jc w:val="both"/>
      </w:pPr>
      <w:r>
        <w:rPr>
          <w:sz w:val="20"/>
        </w:rPr>
        <w:t xml:space="preserve">(в ред. </w:t>
      </w:r>
      <w:hyperlink w:history="0" r:id="rId21"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уполномоченного структурного подразделения Министерства (далее - уполномоченное структурное подразделение) непосредственно в помещении уполномоченного структурного подразделения.</w:t>
      </w:r>
    </w:p>
    <w:p>
      <w:pPr>
        <w:pStyle w:val="0"/>
        <w:spacing w:before="200" w:line-rule="auto"/>
        <w:ind w:firstLine="540"/>
        <w:jc w:val="both"/>
      </w:pPr>
      <w:r>
        <w:rPr>
          <w:sz w:val="20"/>
        </w:rPr>
        <w:t xml:space="preserve">На Едином портале, Региональном портале,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уполномоченного структурного подразделения Министерства, справочные телефоны уполномоченного структурного подразделения Министерства, адрес электронной почты уполномоченного структурного подразделения Министерства размещаются на информационных стендах в помещении уполномоченного структурного подразделения Министерства, в сети "Интернет" на официальном сайте уполномоченного Министерства (</w:t>
      </w:r>
      <w:r>
        <w:rPr>
          <w:sz w:val="20"/>
        </w:rPr>
        <w:t xml:space="preserve">https://health.pnzreg.ru</w:t>
      </w:r>
      <w:r>
        <w:rPr>
          <w:sz w:val="20"/>
        </w:rPr>
        <w:t xml:space="preserve">), на Едином портале, Региональном портале.</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и сроках предоставления государственной услуги при посещении заявителем уполномоченного структурного подразделения Министерства лично, посредством телефонной связи, Единого портала, Регионального портала, а также на официальном сайте уполномоченного структурного подразделения Министерства, предоставляется заявителю бесплатно.</w:t>
      </w:r>
    </w:p>
    <w:p>
      <w:pPr>
        <w:pStyle w:val="0"/>
        <w:jc w:val="both"/>
      </w:pPr>
      <w:r>
        <w:rPr>
          <w:sz w:val="20"/>
        </w:rPr>
        <w:t xml:space="preserve">(в ред. </w:t>
      </w:r>
      <w:hyperlink w:history="0" r:id="rId22"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1.3.4.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(в ред. </w:t>
      </w:r>
      <w:hyperlink w:history="0" r:id="rId23"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уполномоченного структурного подразделения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spacing w:before="200" w:line-rule="auto"/>
        <w:ind w:firstLine="540"/>
        <w:jc w:val="both"/>
      </w:pPr>
      <w:r>
        <w:rPr>
          <w:sz w:val="20"/>
        </w:rPr>
        <w:t xml:space="preserve">1.3.7. Индивидуальное устное информирование каждого заявителя, обратившегося по телефону, осуществляется не более 10 минут, если лично, то не более 30 минут.</w:t>
      </w:r>
    </w:p>
    <w:p>
      <w:pPr>
        <w:pStyle w:val="0"/>
        <w:spacing w:before="200" w:line-rule="auto"/>
        <w:ind w:firstLine="540"/>
        <w:jc w:val="both"/>
      </w:pPr>
      <w:r>
        <w:rPr>
          <w:sz w:val="20"/>
        </w:rPr>
        <w:t xml:space="preserve">1.3.8. В случае если для подготовки ответа требуется более продолжительное время, должностное лицо уполномоченного структурного подразделения Министерства,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1.3.9. При ответе на телефонные звонки должностное лицо уполномоченного структурного подразделения Министерства, осуществляющее информирование, сняв трубку, должно назвать фамилию, имя, отчество, занимаемую должность и наименование структурного подразделения Министерства, предложить гражданину представиться и изложить суть вопроса.</w:t>
      </w:r>
    </w:p>
    <w:p>
      <w:pPr>
        <w:pStyle w:val="0"/>
        <w:spacing w:before="200" w:line-rule="auto"/>
        <w:ind w:firstLine="540"/>
        <w:jc w:val="both"/>
      </w:pPr>
      <w:r>
        <w:rPr>
          <w:sz w:val="20"/>
        </w:rPr>
        <w:t xml:space="preserve">1.3.10.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1.3.11. Должностное лицо уполномоченного структурного подразделения Министерства,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2.1.2. 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Пензенской области,</w:t>
      </w:r>
    </w:p>
    <w:p>
      <w:pPr>
        <w:pStyle w:val="2"/>
        <w:jc w:val="center"/>
      </w:pPr>
      <w:r>
        <w:rPr>
          <w:sz w:val="20"/>
        </w:rPr>
        <w:t xml:space="preserve">предоставляющего государственную услугу</w:t>
      </w:r>
    </w:p>
    <w:p>
      <w:pPr>
        <w:pStyle w:val="0"/>
        <w:jc w:val="center"/>
      </w:pPr>
      <w:r>
        <w:rPr>
          <w:sz w:val="20"/>
        </w:rPr>
        <w:t xml:space="preserve">(в ред. </w:t>
      </w:r>
      <w:hyperlink w:history="0" r:id="rId24"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w:t>
      </w:r>
    </w:p>
    <w:p>
      <w:pPr>
        <w:pStyle w:val="0"/>
        <w:jc w:val="center"/>
      </w:pPr>
      <w:r>
        <w:rPr>
          <w:sz w:val="20"/>
        </w:rPr>
        <w:t xml:space="preserve">361)</w:t>
      </w:r>
    </w:p>
    <w:p>
      <w:pPr>
        <w:pStyle w:val="0"/>
        <w:jc w:val="both"/>
      </w:pPr>
      <w:r>
        <w:rPr>
          <w:sz w:val="20"/>
        </w:rPr>
      </w:r>
    </w:p>
    <w:p>
      <w:pPr>
        <w:pStyle w:val="0"/>
        <w:ind w:firstLine="540"/>
        <w:jc w:val="both"/>
      </w:pPr>
      <w:r>
        <w:rPr>
          <w:sz w:val="20"/>
        </w:rPr>
        <w:t xml:space="preserve">2.2.1. Предоставление государственной услуги осуществляется Министерством здравоохранения Пензенской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составляет 30 дней. Указанный срок может быть продлен, но не более чем на 30 дней, в случае направления уполномоченным структурного подразделения Министерства запросов в соответствии с </w:t>
      </w:r>
      <w:hyperlink w:history="0" r:id="rId2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2.4.2.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2.4.3. 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на Едином портале, Региональном портале.</w:t>
      </w:r>
    </w:p>
    <w:p>
      <w:pPr>
        <w:pStyle w:val="0"/>
        <w:jc w:val="both"/>
      </w:pPr>
      <w:r>
        <w:rPr>
          <w:sz w:val="20"/>
        </w:rPr>
      </w:r>
    </w:p>
    <w:bookmarkStart w:id="121" w:name="P121"/>
    <w:bookmarkEnd w:id="121"/>
    <w:p>
      <w:pPr>
        <w:pStyle w:val="2"/>
        <w:outlineLvl w:val="2"/>
        <w:jc w:val="center"/>
      </w:pPr>
      <w:r>
        <w:rPr>
          <w:sz w:val="20"/>
        </w:rPr>
        <w:t xml:space="preserve">2.6. Исчерпывающий перечень документов,</w:t>
      </w:r>
    </w:p>
    <w:p>
      <w:pPr>
        <w:pStyle w:val="2"/>
        <w:jc w:val="center"/>
      </w:pPr>
      <w:r>
        <w:rPr>
          <w:sz w:val="20"/>
        </w:rPr>
        <w:t xml:space="preserve">необходимых в соответствии с законодательными или</w:t>
      </w:r>
    </w:p>
    <w:p>
      <w:pPr>
        <w:pStyle w:val="2"/>
        <w:jc w:val="center"/>
      </w:pPr>
      <w:r>
        <w:rPr>
          <w:sz w:val="20"/>
        </w:rPr>
        <w:t xml:space="preserve">иными нормативными правовыми актами для предоставления</w:t>
      </w:r>
    </w:p>
    <w:p>
      <w:pPr>
        <w:pStyle w:val="2"/>
        <w:jc w:val="center"/>
      </w:pPr>
      <w:r>
        <w:rPr>
          <w:sz w:val="20"/>
        </w:rPr>
        <w:t xml:space="preserve">государственной услуги, способы их предоставления</w:t>
      </w:r>
    </w:p>
    <w:p>
      <w:pPr>
        <w:pStyle w:val="0"/>
        <w:jc w:val="both"/>
      </w:pPr>
      <w:r>
        <w:rPr>
          <w:sz w:val="20"/>
        </w:rPr>
      </w:r>
    </w:p>
    <w:bookmarkStart w:id="126" w:name="P126"/>
    <w:bookmarkEnd w:id="126"/>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42" w:tooltip="ЗАЯВЛЕНИЕ">
        <w:r>
          <w:rPr>
            <w:sz w:val="20"/>
            <w:color w:val="0000ff"/>
          </w:rPr>
          <w:t xml:space="preserve">Заявление</w:t>
        </w:r>
      </w:hyperlink>
      <w:r>
        <w:rPr>
          <w:sz w:val="20"/>
        </w:rPr>
        <w:t xml:space="preserve"> подается по форме, приведенной в приложении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 открытость и доступность информации о заявителе;</w:t>
      </w:r>
    </w:p>
    <w:p>
      <w:pPr>
        <w:pStyle w:val="0"/>
        <w:spacing w:before="200" w:line-rule="auto"/>
        <w:ind w:firstLine="540"/>
        <w:jc w:val="both"/>
      </w:pPr>
      <w:r>
        <w:rPr>
          <w:sz w:val="20"/>
        </w:rPr>
        <w:t xml:space="preserve">-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 документы представляются на русском языке в одном подлинном экземпляре;</w:t>
      </w:r>
    </w:p>
    <w:p>
      <w:pPr>
        <w:pStyle w:val="0"/>
        <w:spacing w:before="200" w:line-rule="auto"/>
        <w:ind w:firstLine="540"/>
        <w:jc w:val="both"/>
      </w:pPr>
      <w:r>
        <w:rPr>
          <w:sz w:val="20"/>
        </w:rPr>
        <w:t xml:space="preserve">- 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42" w:name="P142"/>
    <w:bookmarkEnd w:id="142"/>
    <w:p>
      <w:pPr>
        <w:pStyle w:val="0"/>
        <w:spacing w:before="200" w:line-rule="auto"/>
        <w:ind w:firstLine="540"/>
        <w:jc w:val="both"/>
      </w:pPr>
      <w:r>
        <w:rPr>
          <w:sz w:val="20"/>
        </w:rPr>
        <w:t xml:space="preserve">2.6.2. Исчерпывающий перечень документов и информации, получаемой уполномоченным структурным подразделением Министерства в рамках межведомственного информационного взаимодействия, в случае непредоставления их заявителем по собственной инициативе:</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предусмотренном Федеральным </w:t>
      </w:r>
      <w:hyperlink w:history="0" r:id="rId2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следующими способами:</w:t>
      </w:r>
    </w:p>
    <w:p>
      <w:pPr>
        <w:pStyle w:val="0"/>
        <w:spacing w:before="200" w:line-rule="auto"/>
        <w:ind w:firstLine="540"/>
        <w:jc w:val="both"/>
      </w:pPr>
      <w:r>
        <w:rPr>
          <w:sz w:val="20"/>
        </w:rPr>
        <w:t xml:space="preserve">а) лично по адресу Министерства: ул. Пушкина, д. 163, г. Пенза, 440000;</w:t>
      </w:r>
    </w:p>
    <w:p>
      <w:pPr>
        <w:pStyle w:val="0"/>
        <w:spacing w:before="200" w:line-rule="auto"/>
        <w:ind w:firstLine="540"/>
        <w:jc w:val="both"/>
      </w:pPr>
      <w:r>
        <w:rPr>
          <w:sz w:val="20"/>
        </w:rPr>
        <w:t xml:space="preserve">б) посредством электронной связи с описью вложения по адресу электронной почты Министерства: e-mail: mzs@penza.net;</w:t>
      </w:r>
    </w:p>
    <w:p>
      <w:pPr>
        <w:pStyle w:val="0"/>
        <w:spacing w:before="200" w:line-rule="auto"/>
        <w:ind w:firstLine="540"/>
        <w:jc w:val="both"/>
      </w:pPr>
      <w:r>
        <w:rPr>
          <w:sz w:val="20"/>
        </w:rPr>
        <w:t xml:space="preserve">3) в форме электронного документа, подписанного квалифицированной электронной подписью, посредством Порталов;</w:t>
      </w:r>
    </w:p>
    <w:p>
      <w:pPr>
        <w:pStyle w:val="0"/>
        <w:jc w:val="both"/>
      </w:pPr>
      <w:r>
        <w:rPr>
          <w:sz w:val="20"/>
        </w:rPr>
        <w:t xml:space="preserve">(в ред. </w:t>
      </w:r>
      <w:hyperlink w:history="0" r:id="rId28"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Формирование заявления в электронной форме осуществляется посредством заполнения интерактивной формы запроса на Едином портале и/или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Едином портале и/или Региональном портале.</w:t>
      </w:r>
    </w:p>
    <w:p>
      <w:pPr>
        <w:pStyle w:val="0"/>
        <w:spacing w:before="200" w:line-rule="auto"/>
        <w:ind w:firstLine="540"/>
        <w:jc w:val="both"/>
      </w:pPr>
      <w:r>
        <w:rPr>
          <w:sz w:val="20"/>
        </w:rPr>
        <w:t xml:space="preserve">Форматно-логическая проверка сформированного запроса осуществляется Порталами автоматически в процессе заполнения заявителем каждого из полей электронной формы запроса.</w:t>
      </w:r>
    </w:p>
    <w:p>
      <w:pPr>
        <w:pStyle w:val="0"/>
        <w:jc w:val="both"/>
      </w:pPr>
      <w:r>
        <w:rPr>
          <w:sz w:val="20"/>
        </w:rPr>
        <w:t xml:space="preserve">(в ред. </w:t>
      </w:r>
      <w:hyperlink w:history="0" r:id="rId29"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При выявлении Региональным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jc w:val="both"/>
      </w:pPr>
      <w:r>
        <w:rPr>
          <w:sz w:val="20"/>
        </w:rPr>
        <w:t xml:space="preserve">(в ред. </w:t>
      </w:r>
      <w:hyperlink w:history="0" r:id="rId30"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21" w:tooltip="2.6. Исчерпывающий перечень документов,">
        <w:r>
          <w:rPr>
            <w:sz w:val="20"/>
            <w:color w:val="0000ff"/>
          </w:rPr>
          <w:t xml:space="preserve">пункте 2.6</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и/или Региональном портале,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t xml:space="preserve">(пп. "ж" в ред. </w:t>
      </w:r>
      <w:hyperlink w:history="0" r:id="rId31"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jc w:val="both"/>
      </w:pPr>
      <w:r>
        <w:rPr>
          <w:sz w:val="20"/>
        </w:rPr>
      </w:r>
    </w:p>
    <w:bookmarkStart w:id="165" w:name="P165"/>
    <w:bookmarkEnd w:id="165"/>
    <w:p>
      <w:pPr>
        <w:pStyle w:val="2"/>
        <w:outlineLvl w:val="2"/>
        <w:jc w:val="center"/>
      </w:pPr>
      <w:r>
        <w:rPr>
          <w:sz w:val="20"/>
        </w:rPr>
        <w:t xml:space="preserve">2.7. Исчерпывающий перечень оснований</w:t>
      </w:r>
    </w:p>
    <w:p>
      <w:pPr>
        <w:pStyle w:val="2"/>
        <w:jc w:val="center"/>
      </w:pPr>
      <w:r>
        <w:rPr>
          <w:sz w:val="20"/>
        </w:rPr>
        <w:t xml:space="preserve">для отказа в приеме документов,</w:t>
      </w:r>
    </w:p>
    <w:p>
      <w:pPr>
        <w:pStyle w:val="2"/>
        <w:jc w:val="center"/>
      </w:pPr>
      <w:r>
        <w:rPr>
          <w:sz w:val="20"/>
        </w:rPr>
        <w:t xml:space="preserve">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2.7.1. 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2.7.2. 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73" w:name="P173"/>
    <w:bookmarkEnd w:id="173"/>
    <w:p>
      <w:pPr>
        <w:pStyle w:val="2"/>
        <w:outlineLvl w:val="2"/>
        <w:jc w:val="center"/>
      </w:pPr>
      <w:r>
        <w:rPr>
          <w:sz w:val="20"/>
        </w:rPr>
        <w:t xml:space="preserve">2.8. Исчерпывающий перечень оснований</w:t>
      </w:r>
    </w:p>
    <w:p>
      <w:pPr>
        <w:pStyle w:val="2"/>
        <w:jc w:val="center"/>
      </w:pPr>
      <w:r>
        <w:rPr>
          <w:sz w:val="20"/>
        </w:rPr>
        <w:t xml:space="preserve">приостановления предоставления государственной услуги или</w:t>
      </w:r>
    </w:p>
    <w:p>
      <w:pPr>
        <w:pStyle w:val="2"/>
        <w:jc w:val="center"/>
      </w:pPr>
      <w:r>
        <w:rPr>
          <w:sz w:val="20"/>
        </w:rPr>
        <w:t xml:space="preserve">для отказа в предоставлении государственной услуги</w:t>
      </w:r>
    </w:p>
    <w:p>
      <w:pPr>
        <w:pStyle w:val="0"/>
        <w:jc w:val="both"/>
      </w:pPr>
      <w:r>
        <w:rPr>
          <w:sz w:val="20"/>
        </w:rPr>
      </w:r>
    </w:p>
    <w:p>
      <w:pPr>
        <w:pStyle w:val="0"/>
        <w:ind w:firstLine="540"/>
        <w:jc w:val="both"/>
      </w:pPr>
      <w:r>
        <w:rPr>
          <w:sz w:val="20"/>
        </w:rPr>
        <w:t xml:space="preserve">2.8.1.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26"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2.9.1. 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2.10.1. Максимальный срок ожидания в очереди при подаче документов, указанных в </w:t>
      </w:r>
      <w:hyperlink w:history="0" w:anchor="P121" w:tooltip="2.6. Исчерпывающий перечень документов,">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w:t>
      </w:r>
    </w:p>
    <w:p>
      <w:pPr>
        <w:pStyle w:val="2"/>
        <w:jc w:val="center"/>
      </w:pPr>
      <w:r>
        <w:rPr>
          <w:sz w:val="20"/>
        </w:rPr>
        <w:t xml:space="preserve">предоставлении государственной услуги</w:t>
      </w:r>
    </w:p>
    <w:p>
      <w:pPr>
        <w:pStyle w:val="0"/>
        <w:jc w:val="both"/>
      </w:pPr>
      <w:r>
        <w:rPr>
          <w:sz w:val="20"/>
        </w:rPr>
      </w:r>
    </w:p>
    <w:p>
      <w:pPr>
        <w:pStyle w:val="0"/>
        <w:ind w:firstLine="540"/>
        <w:jc w:val="both"/>
      </w:pPr>
      <w:r>
        <w:rPr>
          <w:sz w:val="20"/>
        </w:rPr>
        <w:t xml:space="preserve">2.11.1. Запрос заявителя о предоставлении государственной услуги регистрируется в течение 10 минут с момента поступления в уполномоченное структурное подразделение Министерства, в порядке, установленном </w:t>
      </w:r>
      <w:hyperlink w:history="0" w:anchor="P286"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2.11.2. Регистрация заявления о предоставлении государственной услуги, направленного в форме электронного документа с использованием Единого портала, Регионального портала,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залу ожидания, местам для заполнения</w:t>
      </w:r>
    </w:p>
    <w:p>
      <w:pPr>
        <w:pStyle w:val="2"/>
        <w:jc w:val="center"/>
      </w:pPr>
      <w:r>
        <w:rPr>
          <w:sz w:val="20"/>
        </w:rPr>
        <w:t xml:space="preserve">запросов о предоставлении государственной услуги,</w:t>
      </w:r>
    </w:p>
    <w:p>
      <w:pPr>
        <w:pStyle w:val="2"/>
        <w:jc w:val="center"/>
      </w:pPr>
      <w:r>
        <w:rPr>
          <w:sz w:val="20"/>
        </w:rPr>
        <w:t xml:space="preserve">информационным стендам с перечнем и образцами заполнения</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2.12.1. 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2.12.2. Центральный вход должен быть оборудован информационной табличкой (вывеской), содержащей следующую информацию об уполномоченном структурном подразделении Министерства:</w:t>
      </w:r>
    </w:p>
    <w:p>
      <w:pPr>
        <w:pStyle w:val="0"/>
        <w:spacing w:before="200" w:line-rule="auto"/>
        <w:ind w:firstLine="540"/>
        <w:jc w:val="both"/>
      </w:pPr>
      <w:r>
        <w:rPr>
          <w:sz w:val="20"/>
        </w:rPr>
        <w:t xml:space="preserve">1) наименование;</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2.12.3.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2.12.4.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уполномоченного структурного подразделения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определяемом Правительством Российской Федерации.</w:t>
      </w:r>
    </w:p>
    <w:p>
      <w:pPr>
        <w:pStyle w:val="0"/>
        <w:spacing w:before="200" w:line-rule="auto"/>
        <w:ind w:firstLine="540"/>
        <w:jc w:val="both"/>
      </w:pPr>
      <w:r>
        <w:rPr>
          <w:sz w:val="20"/>
        </w:rPr>
        <w:t xml:space="preserve">2.12.5.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2.12.6.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2.12.7. 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2.12.8. Помещения уполномоченного структурного подразделения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2.12.9.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уполномоченного органа.</w:t>
      </w:r>
    </w:p>
    <w:p>
      <w:pPr>
        <w:pStyle w:val="0"/>
        <w:spacing w:before="200" w:line-rule="auto"/>
        <w:ind w:firstLine="540"/>
        <w:jc w:val="both"/>
      </w:pPr>
      <w:r>
        <w:rPr>
          <w:sz w:val="20"/>
        </w:rPr>
        <w:t xml:space="preserve">2.12.10. 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2.12.11. Сотрудники уполномоченного структурного подразделения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2.12.12.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2.12.13. 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2.12.14.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2.12.15. 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2.13.1. 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в информационно-телекоммуникационной сети "Интернет", на Едином портале,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на информационных стендах;</w:t>
      </w:r>
    </w:p>
    <w:p>
      <w:pPr>
        <w:pStyle w:val="0"/>
        <w:spacing w:before="200" w:line-rule="auto"/>
        <w:ind w:firstLine="540"/>
        <w:jc w:val="both"/>
      </w:pPr>
      <w:r>
        <w:rPr>
          <w:sz w:val="20"/>
        </w:rPr>
        <w:t xml:space="preserve">- возможность получения заявителем информации о ходе предоставления государственной услуги с использованием Единого портала и/или Регионального портала.</w:t>
      </w:r>
    </w:p>
    <w:p>
      <w:pPr>
        <w:pStyle w:val="0"/>
        <w:spacing w:before="200" w:line-rule="auto"/>
        <w:ind w:firstLine="540"/>
        <w:jc w:val="both"/>
      </w:pPr>
      <w:r>
        <w:rPr>
          <w:sz w:val="20"/>
        </w:rPr>
        <w:t xml:space="preserve">2.13.2. 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в многофункциональном центре предоставления</w:t>
      </w:r>
    </w:p>
    <w:p>
      <w:pPr>
        <w:pStyle w:val="2"/>
        <w:jc w:val="center"/>
      </w:pPr>
      <w:r>
        <w:rPr>
          <w:sz w:val="20"/>
        </w:rPr>
        <w:t xml:space="preserve">государственных и муниципальных услуг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Единого портала, Регионального портала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уполномоченного структурного подразделения Министерства, его должностных лиц.</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уполномоченным структурным подразделением Министерства,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0"/>
        <w:spacing w:before="200" w:line-rule="auto"/>
        <w:ind w:firstLine="540"/>
        <w:jc w:val="both"/>
      </w:pPr>
      <w:r>
        <w:rPr>
          <w:sz w:val="20"/>
        </w:rPr>
        <w:t xml:space="preserve">Сведения о ходе предоставления государственной услуги, результаты предоставления государственной услуги направляются для размещения в личном кабинете заявителя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http://gosuslugi.ru</w:t>
      </w:r>
      <w:r>
        <w:rPr>
          <w:sz w:val="20"/>
        </w:rPr>
        <w:t xml:space="preserve">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 услуги.</w:t>
      </w:r>
    </w:p>
    <w:p>
      <w:pPr>
        <w:pStyle w:val="0"/>
        <w:jc w:val="both"/>
      </w:pPr>
      <w:r>
        <w:rPr>
          <w:sz w:val="20"/>
        </w:rPr>
        <w:t xml:space="preserve">(абзац введен </w:t>
      </w:r>
      <w:hyperlink w:history="0" r:id="rId33"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Приказом</w:t>
        </w:r>
      </w:hyperlink>
      <w:r>
        <w:rPr>
          <w:sz w:val="20"/>
        </w:rPr>
        <w:t xml:space="preserve"> Минздрава Пензенской обл. от 05.12.2022 N 361)</w:t>
      </w:r>
    </w:p>
    <w:p>
      <w:pPr>
        <w:pStyle w:val="0"/>
        <w:spacing w:before="20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уполномоченного структурного подразделения, его должностных лиц),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p>
    <w:p>
      <w:pPr>
        <w:pStyle w:val="0"/>
        <w:spacing w:before="200" w:line-rule="auto"/>
        <w:ind w:firstLine="540"/>
        <w:jc w:val="both"/>
      </w:pPr>
      <w:r>
        <w:rPr>
          <w:sz w:val="20"/>
        </w:rPr>
        <w:t xml:space="preserve">2.14.3. 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Едином портале,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2.14.4.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86" w:name="P286"/>
    <w:bookmarkEnd w:id="286"/>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уполномоченным структурным подразделением Министерства заявления и документов, указанных в </w:t>
      </w:r>
      <w:hyperlink w:history="0" w:anchor="P121" w:tooltip="2.6. Исчерпывающий перечень документов,">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уполномоченного структурного подразделения Министерства заявления и документов;</w:t>
      </w:r>
    </w:p>
    <w:p>
      <w:pPr>
        <w:pStyle w:val="0"/>
        <w:spacing w:before="200" w:line-rule="auto"/>
        <w:ind w:firstLine="540"/>
        <w:jc w:val="both"/>
      </w:pPr>
      <w:r>
        <w:rPr>
          <w:sz w:val="20"/>
        </w:rPr>
        <w:t xml:space="preserve">3.2.2.2. удостоверение специалистом уполномоченного структурного подразделения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36"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21" w:tooltip="2.6. Исчерпывающий перечень документов,">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уполномоченного структурного подразделения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уполномоченное структурное подразделение Министерства посредством почтового отправления, расписка в получении таких заявления и документов направляется специалистом уполномоченного структурного подразделения Министерства по указанному в заявлении почтовому адресу в течение рабочего дня, следующего за днем получения уполномоченным структурным подразделением Министерства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Единого портала, Регионального портала в автоматическом режиме осуществляется регистрация и форматно-логический контроль заявления, проверка действительности усиленных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65" w:tooltip="2.7. Исчерпывающий перечень оснований">
        <w:r>
          <w:rPr>
            <w:sz w:val="20"/>
            <w:color w:val="0000ff"/>
          </w:rPr>
          <w:t xml:space="preserve">подпункте 2.7</w:t>
        </w:r>
      </w:hyperlink>
      <w:r>
        <w:rPr>
          <w:sz w:val="20"/>
        </w:rPr>
        <w:t xml:space="preserve"> настоящего Регламента.</w:t>
      </w:r>
    </w:p>
    <w:p>
      <w:pPr>
        <w:pStyle w:val="0"/>
        <w:jc w:val="both"/>
      </w:pPr>
      <w:r>
        <w:rPr>
          <w:sz w:val="20"/>
        </w:rPr>
        <w:t xml:space="preserve">(в ред. </w:t>
      </w:r>
      <w:hyperlink w:history="0" r:id="rId34"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При наличии основания для отказа в приеме заявления заявителю направляется уведомление об отказе в приеме к рассмотрению заявления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http://gosuslugi.ru</w:t>
      </w:r>
      <w:r>
        <w:rPr>
          <w:sz w:val="20"/>
        </w:rPr>
        <w:t xml:space="preserve">.</w:t>
      </w:r>
    </w:p>
    <w:p>
      <w:pPr>
        <w:pStyle w:val="0"/>
        <w:jc w:val="both"/>
      </w:pPr>
      <w:r>
        <w:rPr>
          <w:sz w:val="20"/>
        </w:rPr>
        <w:t xml:space="preserve">(в ред. </w:t>
      </w:r>
      <w:hyperlink w:history="0" r:id="rId35"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Единого портала, Регионального портала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Порталах автоматически обновляется.</w:t>
      </w:r>
    </w:p>
    <w:p>
      <w:pPr>
        <w:pStyle w:val="0"/>
        <w:jc w:val="both"/>
      </w:pPr>
      <w:r>
        <w:rPr>
          <w:sz w:val="20"/>
        </w:rPr>
        <w:t xml:space="preserve">(в ред. </w:t>
      </w:r>
      <w:hyperlink w:history="0" r:id="rId36"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rPr>
        <w:t xml:space="preserve"> Минздрава Пензенской обл. от 15.05.2023 N 13-60)</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заявлений и документов в уполномоченное структурное подразделение Министерства.</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21" w:tooltip="2.6. Исчерпывающий перечень документов,">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21" w:tooltip="2.6. Исчерпывающий перечень документов,">
        <w:r>
          <w:rPr>
            <w:sz w:val="20"/>
            <w:color w:val="0000ff"/>
          </w:rPr>
          <w:t xml:space="preserve">пункте 2.6</w:t>
        </w:r>
      </w:hyperlink>
      <w:r>
        <w:rPr>
          <w:sz w:val="20"/>
        </w:rPr>
        <w:t xml:space="preserve"> настоящего Регламента, в системе документооборота уполномоченного структурного подразделения Министерства.</w:t>
      </w:r>
    </w:p>
    <w:p>
      <w:pPr>
        <w:pStyle w:val="0"/>
        <w:spacing w:before="200" w:line-rule="auto"/>
        <w:ind w:firstLine="540"/>
        <w:jc w:val="both"/>
      </w:pPr>
      <w:r>
        <w:rPr>
          <w:sz w:val="20"/>
        </w:rPr>
        <w:t xml:space="preserve">3.2.8.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3.2.10. В случае поступления в уполномоченное структурное подразделение Министерства заявления о предоставлении государственной услуги, оказание которой не отнесено к компетенции уполномоченного структурного подразделения Министерства, уполномоченное структурное подразделение Министерства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37"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с уведомлением заявителя о переадресации документов.</w:t>
      </w:r>
    </w:p>
    <w:p>
      <w:pPr>
        <w:pStyle w:val="0"/>
        <w:jc w:val="both"/>
      </w:pPr>
      <w:r>
        <w:rPr>
          <w:sz w:val="20"/>
        </w:rPr>
        <w:t xml:space="preserve">(в ред. </w:t>
      </w:r>
      <w:hyperlink w:history="0" r:id="rId38"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уполномоченного структурного подразделения Министерства,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 рассмотрение представленных заявителем документов на предмет наличия документов в соответствии с перечнем документов, необходимых для предоставления государственной услуги, указанным в </w:t>
      </w:r>
      <w:hyperlink w:history="0" w:anchor="P121" w:tooltip="2.6. Исчерпывающий перечень документов,">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 формирование и направление межведомственных запросов в случае отсутствия документов, указанных в </w:t>
      </w:r>
      <w:hyperlink w:history="0" w:anchor="P142" w:tooltip="2.6.2. Исчерпывающий перечень документов и информации, получаемой уполномоченным структурным подразделением Министерства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уполномоченного структурного подразделения Министерства,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 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42" w:tooltip="2.6.2. Исчерпывающий перечень документов и информации, получаемой уполномоченным структурным подразделением Министерства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выполнения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уполномоченного структурного подразделения Министерства.</w:t>
      </w:r>
    </w:p>
    <w:p>
      <w:pPr>
        <w:pStyle w:val="0"/>
        <w:spacing w:before="200" w:line-rule="auto"/>
        <w:ind w:firstLine="540"/>
        <w:jc w:val="both"/>
      </w:pPr>
      <w:r>
        <w:rPr>
          <w:sz w:val="20"/>
        </w:rPr>
        <w:t xml:space="preserve">3.3.6. В соответствии с </w:t>
      </w:r>
      <w:hyperlink w:history="0" r:id="rId3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руководителю уполномоченного структурного подразделения Министерства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приведенной в приложении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Критерием принятия решения является наличие или отсутствие оснований для отказа в выдаче заключения, предусмотренных </w:t>
      </w:r>
      <w:hyperlink w:history="0" w:anchor="P173" w:tooltip="2.8. Исчерпывающий перечень оснований">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Результатом выполнения административной процедуры является 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уполномоченного структурного подразделения Министерства.</w:t>
      </w:r>
    </w:p>
    <w:p>
      <w:pPr>
        <w:pStyle w:val="0"/>
        <w:jc w:val="both"/>
      </w:pPr>
      <w:r>
        <w:rPr>
          <w:sz w:val="20"/>
        </w:rPr>
      </w:r>
    </w:p>
    <w:p>
      <w:pPr>
        <w:pStyle w:val="2"/>
        <w:outlineLvl w:val="2"/>
        <w:jc w:val="center"/>
      </w:pPr>
      <w:r>
        <w:rPr>
          <w:sz w:val="20"/>
        </w:rPr>
        <w:t xml:space="preserve">3.5. Выдача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Административные действия, входящие в состав административной процедуры, - 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Критерием принятия решения о выдаче документов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отметка о получении на копии заключения либо мотивированного уведомления об отказе в выдаче заключения (в случае выдачи лично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 получение уведомления о вручении (в случае направления заявителю документов, являющихся результатом предоставления государственной услуги, почтой).</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уполномоченным структурным подразделением Министерства заявления об исправлении технической ошибки, которое направляется заявителем непосредственно в уполномоченное структурное подразделение Министерства по почте либо по электронной почте.</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уполномоченного структурного подразделения Министерства, ответственным за прием документов.</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документе, выданном в результате предоставления государственной услуги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уполномоченного структурного подразделения Министерства, уполномоченному подписывать данные документы, которые в свою очередь их подписывает.</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уполномоченное структурное подразделение Министерства.</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 заключение либо мотивированное уведомление об отказе в выдаче заключения (в случае наличия технической ошибки в выданном документе);</w:t>
      </w:r>
    </w:p>
    <w:p>
      <w:pPr>
        <w:pStyle w:val="0"/>
        <w:spacing w:before="200" w:line-rule="auto"/>
        <w:ind w:firstLine="540"/>
        <w:jc w:val="both"/>
      </w:pPr>
      <w:r>
        <w:rPr>
          <w:sz w:val="20"/>
        </w:rPr>
        <w:t xml:space="preserve">- уведомление об отсутствии технической ошибки (в случае отсутствия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получение уведомления о вручении (в случае направления заявителю документов, являющихся результатом предоставления государственной услуги, почтой);</w:t>
      </w:r>
    </w:p>
    <w:p>
      <w:pPr>
        <w:pStyle w:val="0"/>
        <w:spacing w:before="200" w:line-rule="auto"/>
        <w:ind w:firstLine="540"/>
        <w:jc w:val="both"/>
      </w:pPr>
      <w:r>
        <w:rPr>
          <w:sz w:val="20"/>
        </w:rPr>
        <w:t xml:space="preserve">- отметка о получении на копии заключения (мотивированного уведомления об отказе в выдаче заключения) или уведомления об отсутствии технической ошибки (в случае выдачи лично заявителю документов, являющихся результатом выполнения административной процедуры).</w:t>
      </w:r>
    </w:p>
    <w:p>
      <w:pPr>
        <w:pStyle w:val="0"/>
        <w:jc w:val="both"/>
      </w:pPr>
      <w:r>
        <w:rPr>
          <w:sz w:val="20"/>
        </w:rPr>
      </w:r>
    </w:p>
    <w:p>
      <w:pPr>
        <w:pStyle w:val="2"/>
        <w:outlineLvl w:val="1"/>
        <w:jc w:val="center"/>
      </w:pPr>
      <w:r>
        <w:rPr>
          <w:sz w:val="20"/>
        </w:rPr>
        <w:t xml:space="preserve">4.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начальник уполномоченного структурного подразделения Министерства (заместитель начальника уполномоченного структурного подразделения Министерства).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структурного подразделения уполномоченного структурного подразделения Министерства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начальником уполномоченного структурного подразделения Министерства.</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руководителя Министерства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уполномоченного структурного подразделения Министерства,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jc w:val="both"/>
      </w:pPr>
      <w:r>
        <w:rPr>
          <w:sz w:val="20"/>
        </w:rPr>
        <w:t xml:space="preserve">(в ред. </w:t>
      </w:r>
      <w:hyperlink w:history="0" r:id="rId41"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spacing w:before="200" w:line-rule="auto"/>
        <w:ind w:firstLine="540"/>
        <w:jc w:val="both"/>
      </w:pPr>
      <w:r>
        <w:rPr>
          <w:sz w:val="20"/>
        </w:rPr>
        <w:t xml:space="preserve">- Федеральным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4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44"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постановлением</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45" w:tooltip="Приказ Минздрава Пензенской обл. от 05.12.2022 N 361 &quot;О внесении изменений в приказ Министерства здравоохранения Пензенской области от 15.07.2022 N 193&quot; {КонсультантПлюс}">
        <w:r>
          <w:rPr>
            <w:sz w:val="20"/>
            <w:color w:val="0000ff"/>
          </w:rPr>
          <w:t xml:space="preserve">Приказа</w:t>
        </w:r>
      </w:hyperlink>
      <w:r>
        <w:rPr>
          <w:sz w:val="20"/>
        </w:rPr>
        <w:t xml:space="preserve"> Минздрава Пензенской обл. от 05.12.2022 N 361)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риказ Минздрава Пензенской обл. от 15.05.2023 N 13-60 &quot;О внесении изменений в Административный регламент предоставления Министерством здравоохране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здравоохранения Пензенской области от 15.07.2022 N 193 (с последующими изменениями)&quot; {КонсультантПлюс}">
              <w:r>
                <w:rPr>
                  <w:sz w:val="20"/>
                  <w:color w:val="0000ff"/>
                </w:rPr>
                <w:t xml:space="preserve">Приказа</w:t>
              </w:r>
            </w:hyperlink>
            <w:r>
              <w:rPr>
                <w:sz w:val="20"/>
                <w:color w:val="392c69"/>
              </w:rPr>
              <w:t xml:space="preserve"> Минздрава Пензенской обл. от 15.05.2023 N 13-60)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В Министерство здравоохранения</w:t>
      </w:r>
    </w:p>
    <w:p>
      <w:pPr>
        <w:pStyle w:val="0"/>
        <w:jc w:val="right"/>
      </w:pPr>
      <w:r>
        <w:rPr>
          <w:sz w:val="20"/>
        </w:rPr>
        <w:t xml:space="preserve">Пензенской области</w:t>
      </w:r>
    </w:p>
    <w:p>
      <w:pPr>
        <w:pStyle w:val="0"/>
        <w:jc w:val="right"/>
      </w:pPr>
      <w:r>
        <w:rPr>
          <w:sz w:val="20"/>
        </w:rPr>
        <w:t xml:space="preserve">________________________________</w:t>
      </w:r>
    </w:p>
    <w:p>
      <w:pPr>
        <w:pStyle w:val="0"/>
        <w:jc w:val="right"/>
      </w:pPr>
      <w:r>
        <w:rPr>
          <w:sz w:val="20"/>
        </w:rPr>
        <w:t xml:space="preserve">(организации-заявителя, в том</w:t>
      </w:r>
    </w:p>
    <w:p>
      <w:pPr>
        <w:pStyle w:val="0"/>
        <w:jc w:val="right"/>
      </w:pPr>
      <w:r>
        <w:rPr>
          <w:sz w:val="20"/>
        </w:rPr>
        <w:t xml:space="preserve">числе фирменное наименование)</w:t>
      </w:r>
    </w:p>
    <w:p>
      <w:pPr>
        <w:pStyle w:val="0"/>
        <w:jc w:val="right"/>
      </w:pPr>
      <w:r>
        <w:rPr>
          <w:sz w:val="20"/>
        </w:rPr>
        <w:t xml:space="preserve">ОГРН ___________________________</w:t>
      </w:r>
    </w:p>
    <w:p>
      <w:pPr>
        <w:pStyle w:val="0"/>
        <w:jc w:val="right"/>
      </w:pPr>
      <w:r>
        <w:rPr>
          <w:sz w:val="20"/>
        </w:rPr>
        <w:t xml:space="preserve">(основной государственный</w:t>
      </w:r>
    </w:p>
    <w:p>
      <w:pPr>
        <w:pStyle w:val="0"/>
        <w:jc w:val="right"/>
      </w:pPr>
      <w:r>
        <w:rPr>
          <w:sz w:val="20"/>
        </w:rPr>
        <w:t xml:space="preserve">регистрационный номер заявителя)</w:t>
      </w:r>
    </w:p>
    <w:p>
      <w:pPr>
        <w:pStyle w:val="0"/>
        <w:jc w:val="right"/>
      </w:pPr>
      <w:r>
        <w:rPr>
          <w:sz w:val="20"/>
        </w:rPr>
        <w:t xml:space="preserve">ИНН ____________________________</w:t>
      </w:r>
    </w:p>
    <w:p>
      <w:pPr>
        <w:pStyle w:val="0"/>
        <w:jc w:val="right"/>
      </w:pPr>
      <w:r>
        <w:rPr>
          <w:sz w:val="20"/>
        </w:rPr>
        <w:t xml:space="preserve">(идентификационный номер</w:t>
      </w:r>
    </w:p>
    <w:p>
      <w:pPr>
        <w:pStyle w:val="0"/>
        <w:jc w:val="right"/>
      </w:pPr>
      <w:r>
        <w:rPr>
          <w:sz w:val="20"/>
        </w:rPr>
        <w:t xml:space="preserve">налогоплательщика заявителя)</w:t>
      </w:r>
    </w:p>
    <w:p>
      <w:pPr>
        <w:pStyle w:val="0"/>
        <w:jc w:val="right"/>
      </w:pPr>
      <w:r>
        <w:rPr>
          <w:sz w:val="20"/>
        </w:rPr>
        <w:t xml:space="preserve">________________________________</w:t>
      </w:r>
    </w:p>
    <w:p>
      <w:pPr>
        <w:pStyle w:val="0"/>
        <w:jc w:val="right"/>
      </w:pPr>
      <w:r>
        <w:rPr>
          <w:sz w:val="20"/>
        </w:rPr>
        <w:t xml:space="preserve">(адрес места нахождения,</w:t>
      </w:r>
    </w:p>
    <w:p>
      <w:pPr>
        <w:pStyle w:val="0"/>
        <w:jc w:val="right"/>
      </w:pPr>
      <w:r>
        <w:rPr>
          <w:sz w:val="20"/>
        </w:rPr>
        <w:t xml:space="preserve">телефон (факс),</w:t>
      </w:r>
    </w:p>
    <w:p>
      <w:pPr>
        <w:pStyle w:val="0"/>
        <w:jc w:val="right"/>
      </w:pPr>
      <w:r>
        <w:rPr>
          <w:sz w:val="20"/>
        </w:rPr>
        <w:t xml:space="preserve">________________________________</w:t>
      </w:r>
    </w:p>
    <w:p>
      <w:pPr>
        <w:pStyle w:val="0"/>
        <w:jc w:val="right"/>
      </w:pPr>
      <w:r>
        <w:rPr>
          <w:sz w:val="20"/>
        </w:rPr>
        <w:t xml:space="preserve">адрес электронной почты и</w:t>
      </w:r>
    </w:p>
    <w:p>
      <w:pPr>
        <w:pStyle w:val="0"/>
        <w:jc w:val="right"/>
      </w:pPr>
      <w:r>
        <w:rPr>
          <w:sz w:val="20"/>
        </w:rPr>
        <w:t xml:space="preserve">иные контакты заявителя)</w:t>
      </w:r>
    </w:p>
    <w:p>
      <w:pPr>
        <w:pStyle w:val="0"/>
        <w:jc w:val="right"/>
      </w:pPr>
      <w:r>
        <w:rPr>
          <w:sz w:val="20"/>
        </w:rPr>
        <w:t xml:space="preserve">________________________________</w:t>
      </w:r>
    </w:p>
    <w:p>
      <w:pPr>
        <w:pStyle w:val="0"/>
        <w:jc w:val="both"/>
      </w:pPr>
      <w:r>
        <w:rPr>
          <w:sz w:val="20"/>
        </w:rPr>
      </w:r>
    </w:p>
    <w:bookmarkStart w:id="442" w:name="P442"/>
    <w:bookmarkEnd w:id="442"/>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p>
      <w:pPr>
        <w:pStyle w:val="0"/>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                         (наименование общественно полезной услуги (услуг))</w:t>
      </w:r>
    </w:p>
    <w:p>
      <w:pPr>
        <w:pStyle w:val="1"/>
        <w:jc w:val="both"/>
      </w:pPr>
      <w:r>
        <w:rPr>
          <w:sz w:val="20"/>
        </w:rPr>
      </w:r>
    </w:p>
    <w:p>
      <w:pPr>
        <w:pStyle w:val="1"/>
        <w:jc w:val="both"/>
      </w:pPr>
      <w:r>
        <w:rPr>
          <w:sz w:val="20"/>
        </w:rPr>
        <w:t xml:space="preserve">    </w:t>
      </w:r>
      <w:hyperlink w:history="0" r:id="rId4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w:t>
      </w:r>
    </w:p>
    <w:p>
      <w:pPr>
        <w:pStyle w:val="1"/>
        <w:jc w:val="both"/>
      </w:pPr>
      <w:r>
        <w:rPr>
          <w:sz w:val="20"/>
        </w:rPr>
        <w:t xml:space="preserve">утвержденным     постановлением    Правительства    Российской    Федерации</w:t>
      </w:r>
    </w:p>
    <w:p>
      <w:pPr>
        <w:pStyle w:val="1"/>
        <w:jc w:val="both"/>
      </w:pPr>
      <w:r>
        <w:rPr>
          <w:sz w:val="20"/>
        </w:rPr>
        <w:t xml:space="preserve">от 27.10.2016 N 1096, 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иностранным  агентом  и  на  протяжении  одного  года и более</w:t>
      </w:r>
    </w:p>
    <w:p>
      <w:pPr>
        <w:pStyle w:val="1"/>
        <w:jc w:val="both"/>
      </w:pPr>
      <w:r>
        <w:rPr>
          <w:sz w:val="20"/>
        </w:rPr>
        <w:t xml:space="preserve">оказывает   вышеназванную   общественно  полезную  услугу,  соответствующую</w:t>
      </w:r>
    </w:p>
    <w:p>
      <w:pPr>
        <w:pStyle w:val="1"/>
        <w:jc w:val="both"/>
      </w:pP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4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w:t>
      </w:r>
      <w:hyperlink w:history="0" w:anchor="P519" w:tooltip="&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
        <w:r>
          <w:rPr>
            <w:sz w:val="20"/>
            <w:color w:val="0000ff"/>
          </w:rPr>
          <w:t xml:space="preserve">&lt;1&gt;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w:t>
      </w:r>
    </w:p>
    <w:p>
      <w:pPr>
        <w:pStyle w:val="1"/>
        <w:jc w:val="both"/>
      </w:pPr>
      <w:r>
        <w:rPr>
          <w:sz w:val="20"/>
        </w:rPr>
        <w:t xml:space="preserve">           услуг по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519" w:name="P519"/>
    <w:bookmarkEnd w:id="519"/>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pStyle w:val="0"/>
        <w:jc w:val="both"/>
      </w:pPr>
      <w:r>
        <w:rPr>
          <w:sz w:val="20"/>
        </w:rPr>
      </w:r>
    </w:p>
    <w:bookmarkStart w:id="536" w:name="P536"/>
    <w:bookmarkEnd w:id="536"/>
    <w:p>
      <w:pPr>
        <w:pStyle w:val="0"/>
        <w:jc w:val="center"/>
      </w:pPr>
      <w:r>
        <w:rPr>
          <w:sz w:val="20"/>
        </w:rPr>
        <w:t xml:space="preserve">ЖУРНАЛ</w:t>
      </w:r>
    </w:p>
    <w:p>
      <w:pPr>
        <w:pStyle w:val="0"/>
        <w:jc w:val="center"/>
      </w:pPr>
      <w:r>
        <w:rPr>
          <w:sz w:val="20"/>
        </w:rPr>
        <w:t xml:space="preserve">регистрации заявлений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1092"/>
        <w:gridCol w:w="3402"/>
        <w:gridCol w:w="1870"/>
        <w:gridCol w:w="1898"/>
      </w:tblGrid>
      <w:tr>
        <w:tc>
          <w:tcPr>
            <w:tcW w:w="576" w:type="dxa"/>
          </w:tcPr>
          <w:p>
            <w:pPr>
              <w:pStyle w:val="0"/>
              <w:jc w:val="center"/>
            </w:pPr>
            <w:r>
              <w:rPr>
                <w:sz w:val="20"/>
              </w:rPr>
              <w:t xml:space="preserve">N п/п</w:t>
            </w:r>
          </w:p>
        </w:tc>
        <w:tc>
          <w:tcPr>
            <w:tcW w:w="1092" w:type="dxa"/>
          </w:tcPr>
          <w:p>
            <w:pPr>
              <w:pStyle w:val="0"/>
              <w:jc w:val="center"/>
            </w:pPr>
            <w:r>
              <w:rPr>
                <w:sz w:val="20"/>
              </w:rPr>
              <w:t xml:space="preserve">Дата приема заявления</w:t>
            </w:r>
          </w:p>
        </w:tc>
        <w:tc>
          <w:tcPr>
            <w:tcW w:w="3402" w:type="dxa"/>
          </w:tcPr>
          <w:p>
            <w:pPr>
              <w:pStyle w:val="0"/>
              <w:jc w:val="center"/>
            </w:pPr>
            <w:r>
              <w:rPr>
                <w:sz w:val="20"/>
              </w:rPr>
              <w:t xml:space="preserve">Ф.И.О. заявителя</w:t>
            </w:r>
          </w:p>
        </w:tc>
        <w:tc>
          <w:tcPr>
            <w:tcW w:w="1870" w:type="dxa"/>
          </w:tcPr>
          <w:p>
            <w:pPr>
              <w:pStyle w:val="0"/>
              <w:jc w:val="center"/>
            </w:pPr>
            <w:r>
              <w:rPr>
                <w:sz w:val="20"/>
              </w:rPr>
              <w:t xml:space="preserve">Адрес заявителя</w:t>
            </w:r>
          </w:p>
        </w:tc>
        <w:tc>
          <w:tcPr>
            <w:tcW w:w="1898" w:type="dxa"/>
          </w:tcPr>
          <w:p>
            <w:pPr>
              <w:pStyle w:val="0"/>
              <w:jc w:val="center"/>
            </w:pPr>
            <w:r>
              <w:rPr>
                <w:sz w:val="20"/>
              </w:rPr>
              <w:t xml:space="preserve">Перечень принятых документов</w:t>
            </w:r>
          </w:p>
        </w:tc>
      </w:tr>
      <w:tr>
        <w:tc>
          <w:tcPr>
            <w:tcW w:w="576" w:type="dxa"/>
          </w:tcPr>
          <w:p>
            <w:pPr>
              <w:pStyle w:val="0"/>
              <w:jc w:val="center"/>
            </w:pPr>
            <w:r>
              <w:rPr>
                <w:sz w:val="20"/>
              </w:rPr>
              <w:t xml:space="preserve">1</w:t>
            </w:r>
          </w:p>
        </w:tc>
        <w:tc>
          <w:tcPr>
            <w:tcW w:w="1092" w:type="dxa"/>
          </w:tcPr>
          <w:p>
            <w:pPr>
              <w:pStyle w:val="0"/>
              <w:jc w:val="center"/>
            </w:pPr>
            <w:r>
              <w:rPr>
                <w:sz w:val="20"/>
              </w:rPr>
              <w:t xml:space="preserve">2</w:t>
            </w:r>
          </w:p>
        </w:tc>
        <w:tc>
          <w:tcPr>
            <w:tcW w:w="3402" w:type="dxa"/>
          </w:tcPr>
          <w:p>
            <w:pPr>
              <w:pStyle w:val="0"/>
              <w:jc w:val="center"/>
            </w:pPr>
            <w:r>
              <w:rPr>
                <w:sz w:val="20"/>
              </w:rPr>
              <w:t xml:space="preserve">3</w:t>
            </w:r>
          </w:p>
        </w:tc>
        <w:tc>
          <w:tcPr>
            <w:tcW w:w="1870" w:type="dxa"/>
          </w:tcPr>
          <w:p>
            <w:pPr>
              <w:pStyle w:val="0"/>
              <w:jc w:val="center"/>
            </w:pPr>
            <w:r>
              <w:rPr>
                <w:sz w:val="20"/>
              </w:rPr>
              <w:t xml:space="preserve">4</w:t>
            </w:r>
          </w:p>
        </w:tc>
        <w:tc>
          <w:tcPr>
            <w:tcW w:w="1898" w:type="dxa"/>
          </w:tcPr>
          <w:p>
            <w:pPr>
              <w:pStyle w:val="0"/>
              <w:jc w:val="center"/>
            </w:pPr>
            <w:r>
              <w:rPr>
                <w:sz w:val="20"/>
              </w:rPr>
              <w:t xml:space="preserve">5</w:t>
            </w:r>
          </w:p>
        </w:tc>
      </w:tr>
      <w:tr>
        <w:tc>
          <w:tcPr>
            <w:tcW w:w="576" w:type="dxa"/>
          </w:tcPr>
          <w:p>
            <w:pPr>
              <w:pStyle w:val="0"/>
            </w:pPr>
            <w:r>
              <w:rPr>
                <w:sz w:val="20"/>
              </w:rPr>
            </w:r>
          </w:p>
        </w:tc>
        <w:tc>
          <w:tcPr>
            <w:tcW w:w="1092" w:type="dxa"/>
          </w:tcPr>
          <w:p>
            <w:pPr>
              <w:pStyle w:val="0"/>
            </w:pPr>
            <w:r>
              <w:rPr>
                <w:sz w:val="20"/>
              </w:rPr>
            </w:r>
          </w:p>
        </w:tc>
        <w:tc>
          <w:tcPr>
            <w:tcW w:w="3402" w:type="dxa"/>
          </w:tcPr>
          <w:p>
            <w:pPr>
              <w:pStyle w:val="0"/>
            </w:pPr>
            <w:r>
              <w:rPr>
                <w:sz w:val="20"/>
              </w:rPr>
            </w:r>
          </w:p>
        </w:tc>
        <w:tc>
          <w:tcPr>
            <w:tcW w:w="1870" w:type="dxa"/>
          </w:tcPr>
          <w:p>
            <w:pPr>
              <w:pStyle w:val="0"/>
            </w:pPr>
            <w:r>
              <w:rPr>
                <w:sz w:val="20"/>
              </w:rPr>
            </w:r>
          </w:p>
        </w:tc>
        <w:tc>
          <w:tcPr>
            <w:tcW w:w="189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Пензенской обл. от 15.07.2022 N 193</w:t>
            <w:br/>
            <w:t>(ред. от 15.05.2023)</w:t>
            <w:br/>
            <w:t>"Об утверждении Административного регламента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CA2F9B9E1DC0B19360DC562F1B647EFF58A800E2F7704F5E8CB1A3CCA1C369BD80F325D8449AFF84C8582EBBE858740557771AB9D7C5795361EC42H5C8P" TargetMode = "External"/>
	<Relationship Id="rId8" Type="http://schemas.openxmlformats.org/officeDocument/2006/relationships/hyperlink" Target="consultantplus://offline/ref=6ACA2F9B9E1DC0B19360DC562F1B647EFF58A800E2F8754E5D8DB1A3CCA1C369BD80F325D8449AFF84C8582EBBE858740557771AB9D7C5795361EC42H5C8P" TargetMode = "External"/>
	<Relationship Id="rId9" Type="http://schemas.openxmlformats.org/officeDocument/2006/relationships/hyperlink" Target="consultantplus://offline/ref=6ACA2F9B9E1DC0B19360C25B39773A71FA50F205E2F87C1901DDB7F493F1C53CFDC0F5749F099CAAD58C0D23BCE61225471C7818BEHCCAP" TargetMode = "External"/>
	<Relationship Id="rId10" Type="http://schemas.openxmlformats.org/officeDocument/2006/relationships/hyperlink" Target="consultantplus://offline/ref=6ACA2F9B9E1DC0B19360C25B39773A71FA50F60BE0F57C1901DDB7F493F1C53CFDC0F5709B0097F780C30C7FFAB60127441C7A1EA2CBC57DH4CEP" TargetMode = "External"/>
	<Relationship Id="rId11" Type="http://schemas.openxmlformats.org/officeDocument/2006/relationships/hyperlink" Target="consultantplus://offline/ref=6ACA2F9B9E1DC0B19360DC562F1B647EFF58A800E2F777485C8CB1A3CCA1C369BD80F325D8449AFF84C85E29BDE858740557771AB9D7C5795361EC42H5C8P" TargetMode = "External"/>
	<Relationship Id="rId12" Type="http://schemas.openxmlformats.org/officeDocument/2006/relationships/hyperlink" Target="consultantplus://offline/ref=6ACA2F9B9E1DC0B19360C25B39773A71FA57F405E5F77C1901DDB7F493F1C53CFDC0F5709B0093FB82C30C7FFAB60127441C7A1EA2CBC57DH4CEP" TargetMode = "External"/>
	<Relationship Id="rId13" Type="http://schemas.openxmlformats.org/officeDocument/2006/relationships/hyperlink" Target="consultantplus://offline/ref=6ACA2F9B9E1DC0B19360DC562F1B647EFF58A800E2F672485B8DB1A3CCA1C369BD80F325CA44C2F386CD462EB8FD0E2543H0C1P" TargetMode = "External"/>
	<Relationship Id="rId14" Type="http://schemas.openxmlformats.org/officeDocument/2006/relationships/hyperlink" Target="consultantplus://offline/ref=6ACA2F9B9E1DC0B19360DC562F1B647EFF58A800E2F7724B5A8FB1A3CCA1C369BD80F325D8449AFF84C85A2EB9E858740557771AB9D7C5795361EC42H5C8P" TargetMode = "External"/>
	<Relationship Id="rId15" Type="http://schemas.openxmlformats.org/officeDocument/2006/relationships/hyperlink" Target="consultantplus://offline/ref=6ACA2F9B9E1DC0B19360DC562F1B647EFF58A800E2F7704F5E8CB1A3CCA1C369BD80F325D8449AFF84C8582EB8E858740557771AB9D7C5795361EC42H5C8P" TargetMode = "External"/>
	<Relationship Id="rId16" Type="http://schemas.openxmlformats.org/officeDocument/2006/relationships/hyperlink" Target="consultantplus://offline/ref=6ACA2F9B9E1DC0B19360DC562F1B647EFF58A800E2F7704F5E8CB1A3CCA1C369BD80F325D8449AFF84C8582EB9E858740557771AB9D7C5795361EC42H5C8P" TargetMode = "External"/>
	<Relationship Id="rId17" Type="http://schemas.openxmlformats.org/officeDocument/2006/relationships/hyperlink" Target="consultantplus://offline/ref=6ACA2F9B9E1DC0B19360DC562F1B647EFF58A800E2F8754E5D8DB1A3CCA1C369BD80F325D8449AFF84C8582EBBE858740557771AB9D7C5795361EC42H5C8P" TargetMode = "External"/>
	<Relationship Id="rId18" Type="http://schemas.openxmlformats.org/officeDocument/2006/relationships/hyperlink" Target="consultantplus://offline/ref=6ACA2F9B9E1DC0B19360DC562F1B647EFF58A800E2F7704F5E8CB1A3CCA1C369BD80F325D8449AFF84C8582EB6E858740557771AB9D7C5795361EC42H5C8P" TargetMode = "External"/>
	<Relationship Id="rId19" Type="http://schemas.openxmlformats.org/officeDocument/2006/relationships/hyperlink" Target="consultantplus://offline/ref=6ACA2F9B9E1DC0B19360DC562F1B647EFF58A800E2F672485B8DB1A3CCA1C369BD80F325D8449AFF84C8582FBEE858740557771AB9D7C5795361EC42H5C8P" TargetMode = "External"/>
	<Relationship Id="rId20" Type="http://schemas.openxmlformats.org/officeDocument/2006/relationships/hyperlink" Target="consultantplus://offline/ref=6ACA2F9B9E1DC0B19360DC562F1B647EFF58A800E2F7704F5E8CB1A3CCA1C369BD80F325D8449AFF84C8582EB7E858740557771AB9D7C5795361EC42H5C8P" TargetMode = "External"/>
	<Relationship Id="rId21" Type="http://schemas.openxmlformats.org/officeDocument/2006/relationships/hyperlink" Target="consultantplus://offline/ref=6ACA2F9B9E1DC0B19360DC562F1B647EFF58A800E2F8754E5D8DB1A3CCA1C369BD80F325D8449AFF84C8582EB8E858740557771AB9D7C5795361EC42H5C8P" TargetMode = "External"/>
	<Relationship Id="rId22" Type="http://schemas.openxmlformats.org/officeDocument/2006/relationships/hyperlink" Target="consultantplus://offline/ref=6ACA2F9B9E1DC0B19360DC562F1B647EFF58A800E2F7704F5E8CB1A3CCA1C369BD80F325D8449AFF84C8582FBCE858740557771AB9D7C5795361EC42H5C8P" TargetMode = "External"/>
	<Relationship Id="rId23" Type="http://schemas.openxmlformats.org/officeDocument/2006/relationships/hyperlink" Target="consultantplus://offline/ref=6ACA2F9B9E1DC0B19360DC562F1B647EFF58A800E2F7704F5E8CB1A3CCA1C369BD80F325D8449AFF84C8582FBDE858740557771AB9D7C5795361EC42H5C8P" TargetMode = "External"/>
	<Relationship Id="rId24" Type="http://schemas.openxmlformats.org/officeDocument/2006/relationships/hyperlink" Target="consultantplus://offline/ref=6ACA2F9B9E1DC0B19360DC562F1B647EFF58A800E2F7704F5E8CB1A3CCA1C369BD80F325D8449AFF84C8582FBBE858740557771AB9D7C5795361EC42H5C8P" TargetMode = "External"/>
	<Relationship Id="rId25" Type="http://schemas.openxmlformats.org/officeDocument/2006/relationships/hyperlink" Target="consultantplus://offline/ref=6ACA2F9B9E1DC0B19360C25B39773A71FA57F405E5F77C1901DDB7F493F1C53CFDC0F5709E0BC3AFC09D552CBBFD0C235F007A1AHBCFP" TargetMode = "External"/>
	<Relationship Id="rId26" Type="http://schemas.openxmlformats.org/officeDocument/2006/relationships/hyperlink" Target="consultantplus://offline/ref=6ACA2F9B9E1DC0B19360C25B39773A71FA57FE0FE2F57C1901DDB7F493F1C53CEFC0AD7C990589FE82D65A2EBCHEC0P" TargetMode = "External"/>
	<Relationship Id="rId27" Type="http://schemas.openxmlformats.org/officeDocument/2006/relationships/hyperlink" Target="consultantplus://offline/ref=6ACA2F9B9E1DC0B19360C25B39773A71FA57FE0FE2F57C1901DDB7F493F1C53CEFC0AD7C990589FE82D65A2EBCHEC0P" TargetMode = "External"/>
	<Relationship Id="rId28" Type="http://schemas.openxmlformats.org/officeDocument/2006/relationships/hyperlink" Target="consultantplus://offline/ref=6ACA2F9B9E1DC0B19360DC562F1B647EFF58A800E2F8754E5D8DB1A3CCA1C369BD80F325D8449AFF84C8582FBEE858740557771AB9D7C5795361EC42H5C8P" TargetMode = "External"/>
	<Relationship Id="rId29" Type="http://schemas.openxmlformats.org/officeDocument/2006/relationships/hyperlink" Target="consultantplus://offline/ref=6ACA2F9B9E1DC0B19360DC562F1B647EFF58A800E2F8754E5D8DB1A3CCA1C369BD80F325D8449AFF84C8582FBCE858740557771AB9D7C5795361EC42H5C8P" TargetMode = "External"/>
	<Relationship Id="rId30" Type="http://schemas.openxmlformats.org/officeDocument/2006/relationships/hyperlink" Target="consultantplus://offline/ref=6ACA2F9B9E1DC0B19360DC562F1B647EFF58A800E2F7704F5E8CB1A3CCA1C369BD80F325D8449AFF84C8582FB6E858740557771AB9D7C5795361EC42H5C8P" TargetMode = "External"/>
	<Relationship Id="rId31" Type="http://schemas.openxmlformats.org/officeDocument/2006/relationships/hyperlink" Target="consultantplus://offline/ref=6ACA2F9B9E1DC0B19360DC562F1B647EFF58A800E2F8754E5D8DB1A3CCA1C369BD80F325D8449AFF84C8582FBAE858740557771AB9D7C5795361EC42H5C8P" TargetMode = "External"/>
	<Relationship Id="rId32" Type="http://schemas.openxmlformats.org/officeDocument/2006/relationships/hyperlink" Target="consultantplus://offline/ref=6ACA2F9B9E1DC0B19360C25B39773A71FA57FE0FE2F57C1901DDB7F493F1C53CEFC0AD7C990589FE82D65A2EBCHEC0P" TargetMode = "External"/>
	<Relationship Id="rId33" Type="http://schemas.openxmlformats.org/officeDocument/2006/relationships/hyperlink" Target="consultantplus://offline/ref=6ACA2F9B9E1DC0B19360DC562F1B647EFF58A800E2F7704F5E8CB1A3CCA1C369BD80F325D8449AFF84C8582FB7E858740557771AB9D7C5795361EC42H5C8P" TargetMode = "External"/>
	<Relationship Id="rId34" Type="http://schemas.openxmlformats.org/officeDocument/2006/relationships/hyperlink" Target="consultantplus://offline/ref=6ACA2F9B9E1DC0B19360DC562F1B647EFF58A800E2F8754E5D8DB1A3CCA1C369BD80F325D8449AFF84C8582FB9E858740557771AB9D7C5795361EC42H5C8P" TargetMode = "External"/>
	<Relationship Id="rId35" Type="http://schemas.openxmlformats.org/officeDocument/2006/relationships/hyperlink" Target="consultantplus://offline/ref=6ACA2F9B9E1DC0B19360DC562F1B647EFF58A800E2F8754E5D8DB1A3CCA1C369BD80F325D8449AFF84C8582FB6E858740557771AB9D7C5795361EC42H5C8P" TargetMode = "External"/>
	<Relationship Id="rId36" Type="http://schemas.openxmlformats.org/officeDocument/2006/relationships/hyperlink" Target="consultantplus://offline/ref=6ACA2F9B9E1DC0B19360DC562F1B647EFF58A800E2F8754E5D8DB1A3CCA1C369BD80F325D8449AFF84C8582CBEE858740557771AB9D7C5795361EC42H5C8P" TargetMode = "External"/>
	<Relationship Id="rId37" Type="http://schemas.openxmlformats.org/officeDocument/2006/relationships/hyperlink" Target="consultantplus://offline/ref=6ACA2F9B9E1DC0B19360DC562F1B647EFF58A800E2F672485B8DB1A3CCA1C369BD80F325D8449AFF84C8582FBEE858740557771AB9D7C5795361EC42H5C8P" TargetMode = "External"/>
	<Relationship Id="rId38" Type="http://schemas.openxmlformats.org/officeDocument/2006/relationships/hyperlink" Target="consultantplus://offline/ref=6ACA2F9B9E1DC0B19360DC562F1B647EFF58A800E2F7704F5E8CB1A3CCA1C369BD80F325D8449AFF84C8582CBFE858740557771AB9D7C5795361EC42H5C8P" TargetMode = "External"/>
	<Relationship Id="rId39" Type="http://schemas.openxmlformats.org/officeDocument/2006/relationships/hyperlink" Target="consultantplus://offline/ref=6ACA2F9B9E1DC0B19360C25B39773A71FA57F405E5F77C1901DDB7F493F1C53CFDC0F5709B0097FF84C30C7FFAB60127441C7A1EA2CBC57DH4CEP" TargetMode = "External"/>
	<Relationship Id="rId40" Type="http://schemas.openxmlformats.org/officeDocument/2006/relationships/hyperlink" Target="consultantplus://offline/ref=6ACA2F9B9E1DC0B19360C25B39773A71FA57F405E5F77C1901DDB7F493F1C53CFDC0F572990BC3AFC09D552CBBFD0C235F007A1AHBCFP" TargetMode = "External"/>
	<Relationship Id="rId41" Type="http://schemas.openxmlformats.org/officeDocument/2006/relationships/hyperlink" Target="consultantplus://offline/ref=6ACA2F9B9E1DC0B19360DC562F1B647EFF58A800E2F7704F5E8CB1A3CCA1C369BD80F325D8449AFF84C8582CBCE858740557771AB9D7C5795361EC42H5C8P" TargetMode = "External"/>
	<Relationship Id="rId42" Type="http://schemas.openxmlformats.org/officeDocument/2006/relationships/hyperlink" Target="consultantplus://offline/ref=6ACA2F9B9E1DC0B19360C25B39773A71FA50F60BE0F57C1901DDB7F493F1C53CEFC0AD7C990589FE82D65A2EBCHEC0P" TargetMode = "External"/>
	<Relationship Id="rId43" Type="http://schemas.openxmlformats.org/officeDocument/2006/relationships/hyperlink" Target="consultantplus://offline/ref=6ACA2F9B9E1DC0B19360C25B39773A71FD52F70AEAF17C1901DDB7F493F1C53CEFC0AD7C990589FE82D65A2EBCHEC0P" TargetMode = "External"/>
	<Relationship Id="rId44" Type="http://schemas.openxmlformats.org/officeDocument/2006/relationships/hyperlink" Target="consultantplus://offline/ref=6ACA2F9B9E1DC0B19360DC562F1B647EFF58A800E2F777495B8DB1A3CCA1C369BD80F325CA44C2F386CD462EB8FD0E2543H0C1P" TargetMode = "External"/>
	<Relationship Id="rId45" Type="http://schemas.openxmlformats.org/officeDocument/2006/relationships/hyperlink" Target="consultantplus://offline/ref=6ACA2F9B9E1DC0B19360DC562F1B647EFF58A800E2F7704F5E8CB1A3CCA1C369BD80F325D8449AFF84C8582CBCE858740557771AB9D7C5795361EC42H5C8P" TargetMode = "External"/>
	<Relationship Id="rId46" Type="http://schemas.openxmlformats.org/officeDocument/2006/relationships/hyperlink" Target="consultantplus://offline/ref=6ACA2F9B9E1DC0B19360DC562F1B647EFF58A800E2F8754E5D8DB1A3CCA1C369BD80F325D8449AFF84C8582CBCE858740557771AB9D7C5795361EC42H5C8P" TargetMode = "External"/>
	<Relationship Id="rId47" Type="http://schemas.openxmlformats.org/officeDocument/2006/relationships/hyperlink" Target="consultantplus://offline/ref=6ACA2F9B9E1DC0B19360C25B39773A71FD51FE0BE3F07C1901DDB7F493F1C53CFDC0F5709B0096FE8DC30C7FFAB60127441C7A1EA2CBC57DH4CEP" TargetMode = "External"/>
	<Relationship Id="rId48" Type="http://schemas.openxmlformats.org/officeDocument/2006/relationships/hyperlink" Target="consultantplus://offline/ref=6ACA2F9B9E1DC0B19360C25B39773A71FD51FE0BE3F07C1901DDB7F493F1C53CFDC0F5709B0096FE8DC30C7FFAB60127441C7A1EA2CBC57DH4CEP" TargetMode = "External"/>
	<Relationship Id="rId49" Type="http://schemas.openxmlformats.org/officeDocument/2006/relationships/hyperlink" Target="consultantplus://offline/ref=6ACA2F9B9E1DC0B19360C25B39773A71FA57FE0FE2F57C1901DDB7F493F1C53CEFC0AD7C990589FE82D65A2EBCHEC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Пензенской обл. от 15.07.2022 N 193
(ред. от 15.05.2023)
"Об утверждении Административного регламента предоставления Министерством здравоохранения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2023-06-25T15:02:07Z</dcterms:created>
</cp:coreProperties>
</file>