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Приморского края от 29.08.2022 N 590-пп</w:t>
              <w:br/>
              <w:t xml:space="preserve">"Об утверждении Порядка предоставления в 2022 году субсидии социально ориентированным некоммерческим организациям, оказывающим услуги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ПРИМОРСКОГО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августа 2022 г. N 590-пп</w:t>
      </w:r>
    </w:p>
    <w:p>
      <w:pPr>
        <w:pStyle w:val="2"/>
        <w:jc w:val="both"/>
      </w:pPr>
      <w:r>
        <w:rPr>
          <w:sz w:val="20"/>
        </w:rPr>
      </w:r>
    </w:p>
    <w:p>
      <w:pPr>
        <w:pStyle w:val="2"/>
        <w:jc w:val="center"/>
      </w:pPr>
      <w:r>
        <w:rPr>
          <w:sz w:val="20"/>
        </w:rPr>
        <w:t xml:space="preserve">ОБ УТВЕРЖДЕНИИ ПОРЯДКА ПРЕДОСТАВЛЕНИЯ В 2022 ГОДУ</w:t>
      </w:r>
    </w:p>
    <w:p>
      <w:pPr>
        <w:pStyle w:val="2"/>
        <w:jc w:val="center"/>
      </w:pPr>
      <w:r>
        <w:rPr>
          <w:sz w:val="20"/>
        </w:rPr>
        <w:t xml:space="preserve">СУБСИДИИ СОЦИАЛЬНО ОРИЕНТИРОВАННЫМ НЕКОММЕРЧЕСКИМ</w:t>
      </w:r>
    </w:p>
    <w:p>
      <w:pPr>
        <w:pStyle w:val="2"/>
        <w:jc w:val="center"/>
      </w:pPr>
      <w:r>
        <w:rPr>
          <w:sz w:val="20"/>
        </w:rPr>
        <w:t xml:space="preserve">ОРГАНИЗАЦИЯМ, ОКАЗЫВАЮЩИМ УСЛУГИ ПО СОЦИАЛЬНОЙ АДАПТАЦИИ</w:t>
      </w:r>
    </w:p>
    <w:p>
      <w:pPr>
        <w:pStyle w:val="2"/>
        <w:jc w:val="center"/>
      </w:pPr>
      <w:r>
        <w:rPr>
          <w:sz w:val="20"/>
        </w:rPr>
        <w:t xml:space="preserve">ИНВАЛИДОВ И ИХ СЕМЕЙ, В ТОМ ЧИСЛЕ ПРОФЕССИОНАЛЬНОЙ</w:t>
      </w:r>
    </w:p>
    <w:p>
      <w:pPr>
        <w:pStyle w:val="2"/>
        <w:jc w:val="center"/>
      </w:pPr>
      <w:r>
        <w:rPr>
          <w:sz w:val="20"/>
        </w:rPr>
        <w:t xml:space="preserve">ОРИЕНТАЦИИ, СОДЕЙСТВИЮ В ТРУДОУСТРОЙСТВЕ И СОПРОВОЖДЕНИЮ</w:t>
      </w:r>
    </w:p>
    <w:p>
      <w:pPr>
        <w:pStyle w:val="2"/>
        <w:jc w:val="center"/>
      </w:pPr>
      <w:r>
        <w:rPr>
          <w:sz w:val="20"/>
        </w:rPr>
        <w:t xml:space="preserve">ПРИ СОДЕЙСТВИИ В ТРУДОУСТРОЙСТВЕ ИНВАЛИДОВ</w:t>
      </w:r>
    </w:p>
    <w:p>
      <w:pPr>
        <w:pStyle w:val="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постановлениями Правительства Российской Федерации от 18 сентября 2020 года </w:t>
      </w:r>
      <w:hyperlink w:history="0" r:id="rId8"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1492</w:t>
        </w:r>
      </w:hyperlink>
      <w:r>
        <w:rPr>
          <w:sz w:val="20"/>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от 5 апреля 2022 года </w:t>
      </w:r>
      <w:hyperlink w:history="0" r:id="rId9"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N 590</w:t>
        </w:r>
      </w:hyperlink>
      <w:r>
        <w:rPr>
          <w:sz w:val="20"/>
        </w:rPr>
        <w:t xml:space="preserve">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на основании </w:t>
      </w:r>
      <w:hyperlink w:history="0" r:id="rId10" w:tooltip="Закон Приморского края от 05.04.2013 N 183-КЗ (ред. от 01.08.2022) &quot;О поддержке социально ориентированных некоммерческих организаций в Приморском крае&quot; (принят Законодательным Собранием Приморского края 27.03.2013) {КонсультантПлюс}">
        <w:r>
          <w:rPr>
            <w:sz w:val="20"/>
            <w:color w:val="0000ff"/>
          </w:rPr>
          <w:t xml:space="preserve">Закона</w:t>
        </w:r>
      </w:hyperlink>
      <w:r>
        <w:rPr>
          <w:sz w:val="20"/>
        </w:rPr>
        <w:t xml:space="preserve"> Приморского края от 5 апреля 2013 года N 183-КЗ "О поддержке социально ориентированных некоммерческих организаций в Приморском крае" Правительство Приморского края постановляет:</w:t>
      </w:r>
    </w:p>
    <w:p>
      <w:pPr>
        <w:pStyle w:val="0"/>
        <w:spacing w:before="200" w:line-rule="auto"/>
        <w:ind w:firstLine="540"/>
        <w:jc w:val="both"/>
      </w:pPr>
      <w:r>
        <w:rPr>
          <w:sz w:val="20"/>
        </w:rPr>
        <w:t xml:space="preserve">1. Установить расходное обязательство Приморского края по предоставлению в 2022 году субсидии социально ориентированным некоммерческим организациям, оказывающим услуги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w:t>
      </w:r>
    </w:p>
    <w:p>
      <w:pPr>
        <w:pStyle w:val="0"/>
        <w:spacing w:before="200" w:line-rule="auto"/>
        <w:ind w:firstLine="540"/>
        <w:jc w:val="both"/>
      </w:pPr>
      <w:r>
        <w:rPr>
          <w:sz w:val="20"/>
        </w:rPr>
        <w:t xml:space="preserve">2. Утвердить прилагаемый </w:t>
      </w:r>
      <w:hyperlink w:history="0" w:anchor="P34" w:tooltip="ПОРЯДОК">
        <w:r>
          <w:rPr>
            <w:sz w:val="20"/>
            <w:color w:val="0000ff"/>
          </w:rPr>
          <w:t xml:space="preserve">Порядок</w:t>
        </w:r>
      </w:hyperlink>
      <w:r>
        <w:rPr>
          <w:sz w:val="20"/>
        </w:rPr>
        <w:t xml:space="preserve"> предоставления в 2022 году субсидии социально ориентированным некоммерческим организациям, оказывающим услуги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w:t>
      </w:r>
    </w:p>
    <w:p>
      <w:pPr>
        <w:pStyle w:val="0"/>
        <w:spacing w:before="200" w:line-rule="auto"/>
        <w:ind w:firstLine="540"/>
        <w:jc w:val="both"/>
      </w:pPr>
      <w:r>
        <w:rPr>
          <w:sz w:val="20"/>
        </w:rPr>
        <w:t xml:space="preserve">3. Департаменту информационной политики Приморского края обеспечить официальное опубликование настоящего постановления.</w:t>
      </w:r>
    </w:p>
    <w:p>
      <w:pPr>
        <w:pStyle w:val="0"/>
        <w:jc w:val="both"/>
      </w:pPr>
      <w:r>
        <w:rPr>
          <w:sz w:val="20"/>
        </w:rPr>
      </w:r>
    </w:p>
    <w:p>
      <w:pPr>
        <w:pStyle w:val="0"/>
        <w:jc w:val="right"/>
      </w:pPr>
      <w:r>
        <w:rPr>
          <w:sz w:val="20"/>
        </w:rPr>
        <w:t xml:space="preserve">Первый вице-губернатор</w:t>
      </w:r>
    </w:p>
    <w:p>
      <w:pPr>
        <w:pStyle w:val="0"/>
        <w:jc w:val="right"/>
      </w:pPr>
      <w:r>
        <w:rPr>
          <w:sz w:val="20"/>
        </w:rPr>
        <w:t xml:space="preserve">Приморского края -</w:t>
      </w:r>
    </w:p>
    <w:p>
      <w:pPr>
        <w:pStyle w:val="0"/>
        <w:jc w:val="right"/>
      </w:pPr>
      <w:r>
        <w:rPr>
          <w:sz w:val="20"/>
        </w:rPr>
        <w:t xml:space="preserve">Председатель Правительства</w:t>
      </w:r>
    </w:p>
    <w:p>
      <w:pPr>
        <w:pStyle w:val="0"/>
        <w:jc w:val="right"/>
      </w:pPr>
      <w:r>
        <w:rPr>
          <w:sz w:val="20"/>
        </w:rPr>
        <w:t xml:space="preserve">Приморского края</w:t>
      </w:r>
    </w:p>
    <w:p>
      <w:pPr>
        <w:pStyle w:val="0"/>
        <w:jc w:val="right"/>
      </w:pPr>
      <w:r>
        <w:rPr>
          <w:sz w:val="20"/>
        </w:rPr>
        <w:t xml:space="preserve">В.Г.ЩЕРБИНА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Приморского края</w:t>
      </w:r>
    </w:p>
    <w:p>
      <w:pPr>
        <w:pStyle w:val="0"/>
        <w:jc w:val="right"/>
      </w:pPr>
      <w:r>
        <w:rPr>
          <w:sz w:val="20"/>
        </w:rPr>
        <w:t xml:space="preserve">от 29.08.2022 N 590-пп</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В 2022 ГОДУ СУБСИДИИ СОЦИАЛЬНО</w:t>
      </w:r>
    </w:p>
    <w:p>
      <w:pPr>
        <w:pStyle w:val="2"/>
        <w:jc w:val="center"/>
      </w:pPr>
      <w:r>
        <w:rPr>
          <w:sz w:val="20"/>
        </w:rPr>
        <w:t xml:space="preserve">ОРИЕНТИРОВАННЫМ НЕКОММЕРЧЕСКИМ ОРГАНИЗАЦИЯМ, ОКАЗЫВАЮЩИМ</w:t>
      </w:r>
    </w:p>
    <w:p>
      <w:pPr>
        <w:pStyle w:val="2"/>
        <w:jc w:val="center"/>
      </w:pPr>
      <w:r>
        <w:rPr>
          <w:sz w:val="20"/>
        </w:rPr>
        <w:t xml:space="preserve">УСЛУГИ ПО СОЦИАЛЬНОЙ АДАПТАЦИИ ИНВАЛИДОВ И ИХ СЕМЕЙ,</w:t>
      </w:r>
    </w:p>
    <w:p>
      <w:pPr>
        <w:pStyle w:val="2"/>
        <w:jc w:val="center"/>
      </w:pPr>
      <w:r>
        <w:rPr>
          <w:sz w:val="20"/>
        </w:rPr>
        <w:t xml:space="preserve">В ТОМ ЧИСЛЕ ПРОФЕССИОНАЛЬНОЙ ОРИЕНТАЦИИ, СОДЕЙСТВИЮ</w:t>
      </w:r>
    </w:p>
    <w:p>
      <w:pPr>
        <w:pStyle w:val="2"/>
        <w:jc w:val="center"/>
      </w:pPr>
      <w:r>
        <w:rPr>
          <w:sz w:val="20"/>
        </w:rPr>
        <w:t xml:space="preserve">В ТРУДОУСТРОЙСТВЕ И СОПРОВОЖДЕНИЮ ПРИ СОДЕЙСТВИИ</w:t>
      </w:r>
    </w:p>
    <w:p>
      <w:pPr>
        <w:pStyle w:val="2"/>
        <w:jc w:val="center"/>
      </w:pPr>
      <w:r>
        <w:rPr>
          <w:sz w:val="20"/>
        </w:rPr>
        <w:t xml:space="preserve">В ТРУДОУСТРОЙСТВЕ ИНВАЛИДОВ</w:t>
      </w:r>
    </w:p>
    <w:p>
      <w:pPr>
        <w:pStyle w:val="0"/>
        <w:jc w:val="both"/>
      </w:pPr>
      <w:r>
        <w:rPr>
          <w:sz w:val="20"/>
        </w:rPr>
      </w:r>
    </w:p>
    <w:p>
      <w:pPr>
        <w:pStyle w:val="0"/>
        <w:ind w:firstLine="540"/>
        <w:jc w:val="both"/>
      </w:pPr>
      <w:r>
        <w:rPr>
          <w:sz w:val="20"/>
        </w:rPr>
        <w:t xml:space="preserve">1. Настоящий Порядок определяет цели, условия и порядок определения объема и предоставления в 2022 году из краевого бюджета субсидии социально ориентированным некоммерческим организациям, оказывающим услуги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 (далее соответственно - субсидия, организации), категорию организаций, имеющих право на получение субсидий, и критерии допуска организаций к участию в конкурсном отборе, а также порядок возврата субсидий в случае нарушения условий, целей и порядка, установленных при их предоставлении.</w:t>
      </w:r>
    </w:p>
    <w:p>
      <w:pPr>
        <w:pStyle w:val="0"/>
        <w:spacing w:before="200" w:line-rule="auto"/>
        <w:ind w:firstLine="540"/>
        <w:jc w:val="both"/>
      </w:pPr>
      <w:r>
        <w:rPr>
          <w:sz w:val="20"/>
        </w:rPr>
        <w:t xml:space="preserve">Министерство труда и социальной политики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министерству на указанные цели в соответствующем финансовом году, в рамках реализации мероприятий государственной </w:t>
      </w:r>
      <w:hyperlink w:history="0" r:id="rId11" w:tooltip="Постановление Администрации Приморского края от 27.12.2019 N 918-па (ред. от 23.09.2022)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программы</w:t>
        </w:r>
      </w:hyperlink>
      <w:r>
        <w:rPr>
          <w:sz w:val="20"/>
        </w:rPr>
        <w:t xml:space="preserve"> Приморского края "Социальная поддержка населения Приморского края на 2020 - 2027 годы", утвержденной постановлением Администрации Приморского края от 27 декабря 2019 года N 918-па "Об утверждении государственной программы Приморского края "Социальная поддержка населения Приморского края на 2020 - 2027 годы".</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Приморского края о краевом бюджете (проекта закона Приморского края о внесении изменений в закон о краевом бюджете).</w:t>
      </w:r>
    </w:p>
    <w:bookmarkStart w:id="45" w:name="P45"/>
    <w:bookmarkEnd w:id="45"/>
    <w:p>
      <w:pPr>
        <w:pStyle w:val="0"/>
        <w:spacing w:before="200" w:line-rule="auto"/>
        <w:ind w:firstLine="540"/>
        <w:jc w:val="both"/>
      </w:pPr>
      <w:r>
        <w:rPr>
          <w:sz w:val="20"/>
        </w:rPr>
        <w:t xml:space="preserve">2. Субсидия направляется на возмещение фактически произведенных с 1 января 2022 года организацией расходов по оплате коммунальных услуг за помещение, используемое организацией для оказания услуг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 электроэнергии, горячего водоснабжения, отопления, холодного водоснабжения, водоотведения, обращения с твердыми коммунальными отходами.</w:t>
      </w:r>
    </w:p>
    <w:p>
      <w:pPr>
        <w:pStyle w:val="0"/>
        <w:spacing w:before="200" w:line-rule="auto"/>
        <w:ind w:firstLine="540"/>
        <w:jc w:val="both"/>
      </w:pPr>
      <w:r>
        <w:rPr>
          <w:sz w:val="20"/>
        </w:rPr>
        <w:t xml:space="preserve">Возмещение расходов по оплате задолженности за коммунальные услуги предыдущих лет, штрафов, пеней за счет субсидии не производится.</w:t>
      </w:r>
    </w:p>
    <w:p>
      <w:pPr>
        <w:pStyle w:val="0"/>
        <w:spacing w:before="200" w:line-rule="auto"/>
        <w:ind w:firstLine="540"/>
        <w:jc w:val="both"/>
      </w:pPr>
      <w:r>
        <w:rPr>
          <w:sz w:val="20"/>
        </w:rPr>
        <w:t xml:space="preserve">3. Предоставление субсидии осуществляется по результатам отбора организаций для предоставления субсидий. Способом проведения отбора является конкурс, который проводится министерством при определении получателя субсидии исходя из наилучших условий достижения результатов предоставления субсидии, в целях достижения которых предоставляется субсидия (далее соответственно - конкурсный отбор, результат предоставления субсидии).</w:t>
      </w:r>
    </w:p>
    <w:p>
      <w:pPr>
        <w:pStyle w:val="0"/>
        <w:spacing w:before="200" w:line-rule="auto"/>
        <w:ind w:firstLine="540"/>
        <w:jc w:val="both"/>
      </w:pPr>
      <w:r>
        <w:rPr>
          <w:sz w:val="20"/>
        </w:rPr>
        <w:t xml:space="preserve">Конкурсный отбор проводится министерством один раз в год, за исключением проведения повторного конкурсного отбора в случаях, установленных в </w:t>
      </w:r>
      <w:hyperlink w:history="0" w:anchor="P131" w:tooltip="17. Организации, которые по результатам конкурсного отбора не признаны победителями конкурсного отбора, уведомляются конкурсной комиссией о результатах конкурсного отбора в течение пяти рабочих дней после принятия соответствующего решения.">
        <w:r>
          <w:rPr>
            <w:sz w:val="20"/>
            <w:color w:val="0000ff"/>
          </w:rPr>
          <w:t xml:space="preserve">пунктах 17</w:t>
        </w:r>
      </w:hyperlink>
      <w:r>
        <w:rPr>
          <w:sz w:val="20"/>
        </w:rPr>
        <w:t xml:space="preserve">, </w:t>
      </w:r>
      <w:hyperlink w:history="0" w:anchor="P156" w:tooltip="21. Если остаток нераспределенных бюджетных ассигнований составляет более 10%, а также в случае выделения дополнительных бюджетных ассигнований, возврата субсидии в краевой бюджет нераспределенные бюджетные средства направляются на цели, предусмотренные пунктом 2 настоящего Порядка, на основе повторного конкурсного отбора. Повторный конкурсный отбор осуществляется в соответствии с положениями настоящего Порядка.">
        <w:r>
          <w:rPr>
            <w:sz w:val="20"/>
            <w:color w:val="0000ff"/>
          </w:rPr>
          <w:t xml:space="preserve">21</w:t>
        </w:r>
      </w:hyperlink>
      <w:r>
        <w:rPr>
          <w:sz w:val="20"/>
        </w:rPr>
        <w:t xml:space="preserve"> настоящего Порядка.</w:t>
      </w:r>
    </w:p>
    <w:p>
      <w:pPr>
        <w:pStyle w:val="0"/>
        <w:spacing w:before="200" w:line-rule="auto"/>
        <w:ind w:firstLine="540"/>
        <w:jc w:val="both"/>
      </w:pPr>
      <w:r>
        <w:rPr>
          <w:sz w:val="20"/>
        </w:rPr>
        <w:t xml:space="preserve">4. Субсидия предоставляется организации при условии:</w:t>
      </w:r>
    </w:p>
    <w:p>
      <w:pPr>
        <w:pStyle w:val="0"/>
        <w:spacing w:before="200" w:line-rule="auto"/>
        <w:ind w:firstLine="540"/>
        <w:jc w:val="both"/>
      </w:pPr>
      <w:r>
        <w:rPr>
          <w:sz w:val="20"/>
        </w:rPr>
        <w:t xml:space="preserve">соответствия организации критериям допуска к участию в конкурсном отборе (далее - критерии допуска организаций) и требованиям, указанным в </w:t>
      </w:r>
      <w:hyperlink w:history="0" w:anchor="P53" w:tooltip="5. К участию в конкурсном отборе допускаются организации, отвечающие следующим критериям допуска организаций:">
        <w:r>
          <w:rPr>
            <w:sz w:val="20"/>
            <w:color w:val="0000ff"/>
          </w:rPr>
          <w:t xml:space="preserve">пунктах 5</w:t>
        </w:r>
      </w:hyperlink>
      <w:r>
        <w:rPr>
          <w:sz w:val="20"/>
        </w:rPr>
        <w:t xml:space="preserve">, </w:t>
      </w:r>
      <w:hyperlink w:history="0" w:anchor="P58" w:tooltip="6. Требования, которым должна соответствовать организация на 1 число месяца, предшествующего месяцу подачи заявки на участие в конкурсном отборе на предоставление субсидии социально ориентированной некоммерческой организации (далее соответственно - требования к организациям, заявка):">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признания организации победителем конкурсного отбора;</w:t>
      </w:r>
    </w:p>
    <w:bookmarkStart w:id="52" w:name="P52"/>
    <w:bookmarkEnd w:id="52"/>
    <w:p>
      <w:pPr>
        <w:pStyle w:val="0"/>
        <w:spacing w:before="200" w:line-rule="auto"/>
        <w:ind w:firstLine="540"/>
        <w:jc w:val="both"/>
      </w:pPr>
      <w:r>
        <w:rPr>
          <w:sz w:val="20"/>
        </w:rPr>
        <w:t xml:space="preserve">представления организацией документов, подтверждающих фактически произведенные расходы по оплате коммунальных услуг, в соответствии с </w:t>
      </w:r>
      <w:hyperlink w:history="0" w:anchor="P171" w:tooltip="23. В целях предоставления (перечисления) субсидии получатель субсидии не чаще одного раза в месяц в срок до 10 числа месяца, следующего за месяцем, в котором были осуществлены расходы (в декабре 2022 года документы предоставляются не позднее 15 декабря), на возмещение которых предоставляется субсидия, или не реже одного раза в квартал, в котором были осуществлены данные расходы, в срок до 10 числа месяца, следующего за отчетным кварталом, представляет в министерство следующие документы:">
        <w:r>
          <w:rPr>
            <w:sz w:val="20"/>
            <w:color w:val="0000ff"/>
          </w:rPr>
          <w:t xml:space="preserve">пунктом 23</w:t>
        </w:r>
      </w:hyperlink>
      <w:r>
        <w:rPr>
          <w:sz w:val="20"/>
        </w:rPr>
        <w:t xml:space="preserve"> настоящего Порядка.</w:t>
      </w:r>
    </w:p>
    <w:bookmarkStart w:id="53" w:name="P53"/>
    <w:bookmarkEnd w:id="53"/>
    <w:p>
      <w:pPr>
        <w:pStyle w:val="0"/>
        <w:spacing w:before="200" w:line-rule="auto"/>
        <w:ind w:firstLine="540"/>
        <w:jc w:val="both"/>
      </w:pPr>
      <w:r>
        <w:rPr>
          <w:sz w:val="20"/>
        </w:rPr>
        <w:t xml:space="preserve">5. К участию в конкурсном отборе допускаются организации, отвечающие следующим критериям допуска организаций:</w:t>
      </w:r>
    </w:p>
    <w:p>
      <w:pPr>
        <w:pStyle w:val="0"/>
        <w:spacing w:before="200" w:line-rule="auto"/>
        <w:ind w:firstLine="540"/>
        <w:jc w:val="both"/>
      </w:pPr>
      <w:r>
        <w:rPr>
          <w:sz w:val="20"/>
        </w:rPr>
        <w:t xml:space="preserve">организация является социально ориентированной некоммерческой организацией;</w:t>
      </w:r>
    </w:p>
    <w:p>
      <w:pPr>
        <w:pStyle w:val="0"/>
        <w:spacing w:before="200" w:line-rule="auto"/>
        <w:ind w:firstLine="540"/>
        <w:jc w:val="both"/>
      </w:pPr>
      <w:r>
        <w:rPr>
          <w:sz w:val="20"/>
        </w:rPr>
        <w:t xml:space="preserve">организация не должна являться государственным, муниципальным учреждением, государственной корпорацией, общественным объединением, политической партией;</w:t>
      </w:r>
    </w:p>
    <w:p>
      <w:pPr>
        <w:pStyle w:val="0"/>
        <w:spacing w:before="200" w:line-rule="auto"/>
        <w:ind w:firstLine="540"/>
        <w:jc w:val="both"/>
      </w:pPr>
      <w:r>
        <w:rPr>
          <w:sz w:val="20"/>
        </w:rPr>
        <w:t xml:space="preserve">организация должна осуществлять на территории Приморского края в соответствии со своими учредительными документами деятельность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w:t>
      </w:r>
    </w:p>
    <w:p>
      <w:pPr>
        <w:pStyle w:val="0"/>
        <w:spacing w:before="200" w:line-rule="auto"/>
        <w:ind w:firstLine="540"/>
        <w:jc w:val="both"/>
      </w:pPr>
      <w:r>
        <w:rPr>
          <w:sz w:val="20"/>
        </w:rPr>
        <w:t xml:space="preserve">организация должна быть включена в реестр поставщиков социальных услуг на территории Приморского края в соответствии со </w:t>
      </w:r>
      <w:hyperlink w:history="0" r:id="rId12" w:tooltip="Федеральный закон от 28.12.2013 N 442-ФЗ (ред. от 11.06.2021) &quot;Об основах социального обслуживания граждан в Российской Федерации&quot; {КонсультантПлюс}">
        <w:r>
          <w:rPr>
            <w:sz w:val="20"/>
            <w:color w:val="0000ff"/>
          </w:rPr>
          <w:t xml:space="preserve">статьей 25</w:t>
        </w:r>
      </w:hyperlink>
      <w:r>
        <w:rPr>
          <w:sz w:val="20"/>
        </w:rPr>
        <w:t xml:space="preserve"> Федерального закона от 28 декабря 2013 года N 442-ФЗ "Об основах социального обслуживания граждан в Российской Федерации".</w:t>
      </w:r>
    </w:p>
    <w:bookmarkStart w:id="58" w:name="P58"/>
    <w:bookmarkEnd w:id="58"/>
    <w:p>
      <w:pPr>
        <w:pStyle w:val="0"/>
        <w:spacing w:before="200" w:line-rule="auto"/>
        <w:ind w:firstLine="540"/>
        <w:jc w:val="both"/>
      </w:pPr>
      <w:r>
        <w:rPr>
          <w:sz w:val="20"/>
        </w:rPr>
        <w:t xml:space="preserve">6. Требования, которым должна соответствовать организация на 1 число месяца, предшествующего месяцу подачи заявки на участие в конкурсном отборе на предоставление субсидии социально ориентированной некоммерческой организации (далее соответственно - требования к организациям, заявка):</w:t>
      </w:r>
    </w:p>
    <w:p>
      <w:pPr>
        <w:pStyle w:val="0"/>
        <w:spacing w:before="200" w:line-rule="auto"/>
        <w:ind w:firstLine="540"/>
        <w:jc w:val="both"/>
      </w:pPr>
      <w:r>
        <w:rPr>
          <w:sz w:val="20"/>
        </w:rPr>
        <w:t xml:space="preserve">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рублей;</w:t>
      </w:r>
    </w:p>
    <w:p>
      <w:pPr>
        <w:pStyle w:val="0"/>
        <w:spacing w:before="200" w:line-rule="auto"/>
        <w:ind w:firstLine="540"/>
        <w:jc w:val="both"/>
      </w:pPr>
      <w:r>
        <w:rPr>
          <w:sz w:val="20"/>
        </w:rPr>
        <w:t xml:space="preserve">организация не должна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spacing w:before="200" w:line-rule="auto"/>
        <w:ind w:firstLine="540"/>
        <w:jc w:val="both"/>
      </w:pPr>
      <w:r>
        <w:rPr>
          <w:sz w:val="20"/>
        </w:rPr>
        <w:t xml:space="preserve">организация не должна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организация не должна являться получателем средств краевого бюджета на основании иных нормативных правовых актов на цели, указанные в </w:t>
      </w:r>
      <w:hyperlink w:history="0" w:anchor="P45" w:tooltip="2. Субсидия направляется на возмещение фактически произведенных с 1 января 2022 года организацией расходов по оплате коммунальных услуг за помещение, используемое организацией для оказания услуг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 электроэнергии, горячего водоснабжения, отопления, холодного водоснабжения, водоотведения, обращения с твердыми коммунальными отходам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7. Организатором конкурсного отбора является министерство.</w:t>
      </w:r>
    </w:p>
    <w:p>
      <w:pPr>
        <w:pStyle w:val="0"/>
        <w:spacing w:before="200" w:line-rule="auto"/>
        <w:ind w:firstLine="540"/>
        <w:jc w:val="both"/>
      </w:pPr>
      <w:r>
        <w:rPr>
          <w:sz w:val="20"/>
        </w:rPr>
        <w:t xml:space="preserve">Объявление о проведении конкурсного отбора (далее - объявление) размещается министерством на едином портале и на официальном сайте министерства (</w:t>
      </w:r>
      <w:r>
        <w:rPr>
          <w:sz w:val="20"/>
        </w:rPr>
        <w:t xml:space="preserve">https://soctrud.primorsky.ru/</w:t>
      </w:r>
      <w:r>
        <w:rPr>
          <w:sz w:val="20"/>
        </w:rPr>
        <w:t xml:space="preserve">) в информационно-телекоммуникационной сети Интернет (далее - сайт министерства) в срок не ранее чем за 10 календарных дней до даты окончания приема заявок.</w:t>
      </w:r>
    </w:p>
    <w:p>
      <w:pPr>
        <w:pStyle w:val="0"/>
        <w:spacing w:before="200" w:line-rule="auto"/>
        <w:ind w:firstLine="540"/>
        <w:jc w:val="both"/>
      </w:pPr>
      <w:r>
        <w:rPr>
          <w:sz w:val="20"/>
        </w:rPr>
        <w:t xml:space="preserve">В объявлении указывается следующая информация:</w:t>
      </w:r>
    </w:p>
    <w:p>
      <w:pPr>
        <w:pStyle w:val="0"/>
        <w:spacing w:before="200" w:line-rule="auto"/>
        <w:ind w:firstLine="540"/>
        <w:jc w:val="both"/>
      </w:pPr>
      <w:r>
        <w:rPr>
          <w:sz w:val="20"/>
        </w:rPr>
        <w:t xml:space="preserve">срок проведения конкурсного отбора;</w:t>
      </w:r>
    </w:p>
    <w:p>
      <w:pPr>
        <w:pStyle w:val="0"/>
        <w:spacing w:before="200" w:line-rule="auto"/>
        <w:ind w:firstLine="540"/>
        <w:jc w:val="both"/>
      </w:pPr>
      <w:r>
        <w:rPr>
          <w:sz w:val="20"/>
        </w:rPr>
        <w:t xml:space="preserve">дата начала и окончания срока подачи заявок для участия в конкурсном отборе (которая не может быть менее 10 календарных дней, следующих за днем размещения объявления);</w:t>
      </w:r>
    </w:p>
    <w:p>
      <w:pPr>
        <w:pStyle w:val="0"/>
        <w:spacing w:before="200" w:line-rule="auto"/>
        <w:ind w:firstLine="540"/>
        <w:jc w:val="both"/>
      </w:pPr>
      <w:r>
        <w:rPr>
          <w:sz w:val="20"/>
        </w:rPr>
        <w:t xml:space="preserve">наименование, местонахождение, почтовый адрес, адрес электронной почты и номер телефона министерства;</w:t>
      </w:r>
    </w:p>
    <w:p>
      <w:pPr>
        <w:pStyle w:val="0"/>
        <w:spacing w:before="200" w:line-rule="auto"/>
        <w:ind w:firstLine="540"/>
        <w:jc w:val="both"/>
      </w:pPr>
      <w:hyperlink w:history="0" w:anchor="P439" w:tooltip="РЕЗУЛЬТАТЫ">
        <w:r>
          <w:rPr>
            <w:sz w:val="20"/>
            <w:color w:val="0000ff"/>
          </w:rPr>
          <w:t xml:space="preserve">результаты</w:t>
        </w:r>
      </w:hyperlink>
      <w:r>
        <w:rPr>
          <w:sz w:val="20"/>
        </w:rPr>
        <w:t xml:space="preserve"> предоставления субсидии и показатели, необходимые для достижения результатов предоставления субсидии, в соответствии с приложением N 3 к настоящему Порядку;</w:t>
      </w:r>
    </w:p>
    <w:p>
      <w:pPr>
        <w:pStyle w:val="0"/>
        <w:spacing w:before="200" w:line-rule="auto"/>
        <w:ind w:firstLine="540"/>
        <w:jc w:val="both"/>
      </w:pPr>
      <w:r>
        <w:rPr>
          <w:sz w:val="20"/>
        </w:rPr>
        <w:t xml:space="preserve">критерии допуска организаций, установленные </w:t>
      </w:r>
      <w:hyperlink w:history="0" w:anchor="P53" w:tooltip="5. К участию в конкурсном отборе допускаются организации, отвечающие следующим критериям допуска организаций:">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требования к организациям, установленные </w:t>
      </w:r>
      <w:hyperlink w:history="0" w:anchor="P58" w:tooltip="6. Требования, которым должна соответствовать организация на 1 число месяца, предшествующего месяцу подачи заявки на участие в конкурсном отборе на предоставление субсидии социально ориентированной некоммерческой организации (далее соответственно - требования к организациям, заявк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порядок подачи заявок, требования, предъявляемые к форме, содержанию заявок, к конкурсным документам, прилагаемым к заявке, в соответствии с </w:t>
      </w:r>
      <w:hyperlink w:history="0" w:anchor="P85" w:tooltip="10. Для участия в конкурсном отборе организации представляют в министерство в срок, указанный в объявлении, заявку по форме согласно приложению N 1 к настоящему Порядку с приложением следующих конкурсных документов:">
        <w:r>
          <w:rPr>
            <w:sz w:val="20"/>
            <w:color w:val="0000ff"/>
          </w:rPr>
          <w:t xml:space="preserve">пунктом 10</w:t>
        </w:r>
      </w:hyperlink>
      <w:r>
        <w:rPr>
          <w:sz w:val="20"/>
        </w:rPr>
        <w:t xml:space="preserve"> настоящего Порядка (далее - требования к документам);</w:t>
      </w:r>
    </w:p>
    <w:p>
      <w:pPr>
        <w:pStyle w:val="0"/>
        <w:spacing w:before="200" w:line-rule="auto"/>
        <w:ind w:firstLine="540"/>
        <w:jc w:val="both"/>
      </w:pPr>
      <w:r>
        <w:rPr>
          <w:sz w:val="20"/>
        </w:rPr>
        <w:t xml:space="preserve">порядок отзыва заявок, порядок внесения изменений в заявки и прилагаемые к ней конкурсные документы, порядок отклонения заявок, предусматривающий основания для отказа в допуске к участию в конкурсном отборе;</w:t>
      </w:r>
    </w:p>
    <w:p>
      <w:pPr>
        <w:pStyle w:val="0"/>
        <w:spacing w:before="200" w:line-rule="auto"/>
        <w:ind w:firstLine="540"/>
        <w:jc w:val="both"/>
      </w:pPr>
      <w:r>
        <w:rPr>
          <w:sz w:val="20"/>
        </w:rPr>
        <w:t xml:space="preserve">правила рассмотрения и оценки заявок и конкурсных документов, предусмотренные </w:t>
      </w:r>
      <w:hyperlink w:history="0" w:anchor="P105" w:tooltip="13. Заявка регистрируется министерством в день ее поступления в государственной информационной системе Приморского края &quot;Региональная система межведомственного электронного документооборота&quot;.">
        <w:r>
          <w:rPr>
            <w:sz w:val="20"/>
            <w:color w:val="0000ff"/>
          </w:rPr>
          <w:t xml:space="preserve">пунктами 13</w:t>
        </w:r>
      </w:hyperlink>
      <w:r>
        <w:rPr>
          <w:sz w:val="20"/>
        </w:rPr>
        <w:t xml:space="preserve"> - </w:t>
      </w:r>
      <w:hyperlink w:history="0" w:anchor="P131" w:tooltip="17. Организации, которые по результатам конкурсного отбора не признаны победителями конкурсного отбора, уведомляются конкурсной комиссией о результатах конкурсного отбора в течение пяти рабочих дней после принятия соответствующего решения.">
        <w:r>
          <w:rPr>
            <w:sz w:val="20"/>
            <w:color w:val="0000ff"/>
          </w:rPr>
          <w:t xml:space="preserve">17</w:t>
        </w:r>
      </w:hyperlink>
      <w:r>
        <w:rPr>
          <w:sz w:val="20"/>
        </w:rPr>
        <w:t xml:space="preserve"> настоящего Порядка;</w:t>
      </w:r>
    </w:p>
    <w:p>
      <w:pPr>
        <w:pStyle w:val="0"/>
        <w:spacing w:before="200" w:line-rule="auto"/>
        <w:ind w:firstLine="540"/>
        <w:jc w:val="both"/>
      </w:pPr>
      <w:r>
        <w:rPr>
          <w:sz w:val="20"/>
        </w:rPr>
        <w:t xml:space="preserve">порядок предоставления организациям разъяснений положений объявления с указанием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организация должна подписать соглашение о предоставлении субсидии;</w:t>
      </w:r>
    </w:p>
    <w:p>
      <w:pPr>
        <w:pStyle w:val="0"/>
        <w:spacing w:before="200" w:line-rule="auto"/>
        <w:ind w:firstLine="540"/>
        <w:jc w:val="both"/>
      </w:pPr>
      <w:r>
        <w:rPr>
          <w:sz w:val="20"/>
        </w:rPr>
        <w:t xml:space="preserve">условия признания организации уклонившейся от заключения соглашения о предоставлении субсидии;</w:t>
      </w:r>
    </w:p>
    <w:p>
      <w:pPr>
        <w:pStyle w:val="0"/>
        <w:spacing w:before="200" w:line-rule="auto"/>
        <w:ind w:firstLine="540"/>
        <w:jc w:val="both"/>
      </w:pPr>
      <w:r>
        <w:rPr>
          <w:sz w:val="20"/>
        </w:rPr>
        <w:t xml:space="preserve">дата размещения результатов конкурсного отбора на едином портале, а также на сайте министерства, которая не может быть позднее 14 календарного дня, следующего за днем определения победителей;</w:t>
      </w:r>
    </w:p>
    <w:p>
      <w:pPr>
        <w:pStyle w:val="0"/>
        <w:spacing w:before="200" w:line-rule="auto"/>
        <w:ind w:firstLine="540"/>
        <w:jc w:val="both"/>
      </w:pPr>
      <w:r>
        <w:rPr>
          <w:sz w:val="20"/>
        </w:rPr>
        <w:t xml:space="preserve">контактные данные сотрудника министерства, ответственного за прием заявок (фамилия, имя, отчество, номер телефона, адрес электронной почты).</w:t>
      </w:r>
    </w:p>
    <w:p>
      <w:pPr>
        <w:pStyle w:val="0"/>
        <w:spacing w:before="200" w:line-rule="auto"/>
        <w:ind w:firstLine="540"/>
        <w:jc w:val="both"/>
      </w:pPr>
      <w:r>
        <w:rPr>
          <w:sz w:val="20"/>
        </w:rPr>
        <w:t xml:space="preserve">8. В целях проведения конкурсного отбора министерством создается конкурсная комиссия, положение о конкурсной комиссии и ее состав утверждаются приказом министерства и размещаются на сайте министерства.</w:t>
      </w:r>
    </w:p>
    <w:p>
      <w:pPr>
        <w:pStyle w:val="0"/>
        <w:spacing w:before="200" w:line-rule="auto"/>
        <w:ind w:firstLine="540"/>
        <w:jc w:val="both"/>
      </w:pPr>
      <w:r>
        <w:rPr>
          <w:sz w:val="20"/>
        </w:rPr>
        <w:t xml:space="preserve">9. К компетенции членов конкурсной комиссии относится рассмотрение представленных на участие в конкурсном отборе заявок, их оценка и определение итоговых баллов заявок, определение победителей конкурсного отбора.</w:t>
      </w:r>
    </w:p>
    <w:bookmarkStart w:id="85" w:name="P85"/>
    <w:bookmarkEnd w:id="85"/>
    <w:p>
      <w:pPr>
        <w:pStyle w:val="0"/>
        <w:spacing w:before="200" w:line-rule="auto"/>
        <w:ind w:firstLine="540"/>
        <w:jc w:val="both"/>
      </w:pPr>
      <w:r>
        <w:rPr>
          <w:sz w:val="20"/>
        </w:rPr>
        <w:t xml:space="preserve">10. Для участия в конкурсном отборе организации представляют в министерство в срок, указанный в объявлении, заявку по </w:t>
      </w:r>
      <w:hyperlink w:history="0" w:anchor="P232" w:tooltip="ЗАЯВКА">
        <w:r>
          <w:rPr>
            <w:sz w:val="20"/>
            <w:color w:val="0000ff"/>
          </w:rPr>
          <w:t xml:space="preserve">форме</w:t>
        </w:r>
      </w:hyperlink>
      <w:r>
        <w:rPr>
          <w:sz w:val="20"/>
        </w:rPr>
        <w:t xml:space="preserve"> согласно приложению N 1 к настоящему Порядку с приложением следующих конкурсных документов:</w:t>
      </w:r>
    </w:p>
    <w:p>
      <w:pPr>
        <w:pStyle w:val="0"/>
        <w:spacing w:before="200" w:line-rule="auto"/>
        <w:ind w:firstLine="540"/>
        <w:jc w:val="both"/>
      </w:pPr>
      <w:r>
        <w:rPr>
          <w:sz w:val="20"/>
        </w:rPr>
        <w:t xml:space="preserve">копии документов, подтверждающих полномочия руководителя организации или уполномоченного им лица, копии учредительных документов и всех изменений к ним;</w:t>
      </w:r>
    </w:p>
    <w:p>
      <w:pPr>
        <w:pStyle w:val="0"/>
        <w:spacing w:before="200" w:line-rule="auto"/>
        <w:ind w:firstLine="540"/>
        <w:jc w:val="both"/>
      </w:pPr>
      <w:r>
        <w:rPr>
          <w:sz w:val="20"/>
        </w:rPr>
        <w:t xml:space="preserve">согласие организации на осуществление в отношении нее министерством проверок соблюдения организацией порядка и условий предоставления субсидии, в том числе в части достижения результатов предоставления субсидии, а также осуществление проверок органами государственного финансового контроля в соответствии со </w:t>
      </w:r>
      <w:hyperlink w:history="0" r:id="rId13"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14"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подписанное руководителем (иным уполномоченным лицом) организации гарантийное обязательство, подтверждающее соответствие организации критериям допуска организаций, требованиям к организациям, установленным соответственно </w:t>
      </w:r>
      <w:hyperlink w:history="0" w:anchor="P53" w:tooltip="5. К участию в конкурсном отборе допускаются организации, отвечающие следующим критериям допуска организаций:">
        <w:r>
          <w:rPr>
            <w:sz w:val="20"/>
            <w:color w:val="0000ff"/>
          </w:rPr>
          <w:t xml:space="preserve">пунктами 5</w:t>
        </w:r>
      </w:hyperlink>
      <w:r>
        <w:rPr>
          <w:sz w:val="20"/>
        </w:rPr>
        <w:t xml:space="preserve">, </w:t>
      </w:r>
      <w:hyperlink w:history="0" w:anchor="P58" w:tooltip="6. Требования, которым должна соответствовать организация на 1 число месяца, предшествующего месяцу подачи заявки на участие в конкурсном отборе на предоставление субсидии социально ориентированной некоммерческой организации (далее соответственно - требования к организациям, заявка):">
        <w:r>
          <w:rPr>
            <w:sz w:val="20"/>
            <w:color w:val="0000ff"/>
          </w:rPr>
          <w:t xml:space="preserve">6</w:t>
        </w:r>
      </w:hyperlink>
      <w:r>
        <w:rPr>
          <w:sz w:val="20"/>
        </w:rPr>
        <w:t xml:space="preserve"> настоящего Порядка, и соблюдение организацией условия, предусмотренного </w:t>
      </w:r>
      <w:hyperlink w:history="0" w:anchor="P52" w:tooltip="представления организацией документов, подтверждающих фактически произведенные расходы по оплате коммунальных услуг, в соответствии с пунктом 23 настоящего Порядка.">
        <w:r>
          <w:rPr>
            <w:sz w:val="20"/>
            <w:color w:val="0000ff"/>
          </w:rPr>
          <w:t xml:space="preserve">абзацем четвертым пункта 4</w:t>
        </w:r>
      </w:hyperlink>
      <w:r>
        <w:rPr>
          <w:sz w:val="20"/>
        </w:rPr>
        <w:t xml:space="preserve"> настоящего Порядка;</w:t>
      </w:r>
    </w:p>
    <w:bookmarkStart w:id="89" w:name="P89"/>
    <w:bookmarkEnd w:id="89"/>
    <w:p>
      <w:pPr>
        <w:pStyle w:val="0"/>
        <w:spacing w:before="200" w:line-rule="auto"/>
        <w:ind w:firstLine="540"/>
        <w:jc w:val="both"/>
      </w:pPr>
      <w:r>
        <w:rPr>
          <w:sz w:val="20"/>
        </w:rPr>
        <w:t xml:space="preserve">выписка из Единого государственного реестра юридических лиц;</w:t>
      </w:r>
    </w:p>
    <w:p>
      <w:pPr>
        <w:pStyle w:val="0"/>
        <w:spacing w:before="200" w:line-rule="auto"/>
        <w:ind w:firstLine="540"/>
        <w:jc w:val="both"/>
      </w:pPr>
      <w:r>
        <w:rPr>
          <w:sz w:val="20"/>
        </w:rPr>
        <w:t xml:space="preserve">выписка из реестра дисквалифицированных лиц либо справка об отсутствии запрашиваемой информации, выданные в соответствии с </w:t>
      </w:r>
      <w:hyperlink w:history="0" r:id="rId15" w:tooltip="Приказ ФНС России от 10.12.2019 N ММВ-7-14/627@ &quot;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quot; (Зарегистрировано в Минюсте России 08.05.2020 N 58298) {КонсультантПлюс}">
        <w:r>
          <w:rPr>
            <w:sz w:val="20"/>
            <w:color w:val="0000ff"/>
          </w:rPr>
          <w:t xml:space="preserve">приказом</w:t>
        </w:r>
      </w:hyperlink>
      <w:r>
        <w:rPr>
          <w:sz w:val="20"/>
        </w:rPr>
        <w:t xml:space="preserve"> Федеральной налоговой службы от 10 декабря 2019 года N ММВ-7-14/627@ "Об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p>
      <w:pPr>
        <w:pStyle w:val="0"/>
        <w:spacing w:before="200" w:line-rule="auto"/>
        <w:ind w:firstLine="540"/>
        <w:jc w:val="both"/>
      </w:pPr>
      <w:r>
        <w:rPr>
          <w:sz w:val="20"/>
        </w:rPr>
        <w:t xml:space="preserve">справка налогового органа, подтверждающая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рублей;</w:t>
      </w:r>
    </w:p>
    <w:bookmarkStart w:id="92" w:name="P92"/>
    <w:bookmarkEnd w:id="92"/>
    <w:p>
      <w:pPr>
        <w:pStyle w:val="0"/>
        <w:spacing w:before="200" w:line-rule="auto"/>
        <w:ind w:firstLine="540"/>
        <w:jc w:val="both"/>
      </w:pPr>
      <w:r>
        <w:rPr>
          <w:sz w:val="20"/>
        </w:rPr>
        <w:t xml:space="preserve">документ (справка), подтверждающий отсутствие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информация о деятельности организации в виде отчета, составленного организацией в произвольной форме, за предыдущий год;</w:t>
      </w:r>
    </w:p>
    <w:p>
      <w:pPr>
        <w:pStyle w:val="0"/>
        <w:spacing w:before="200" w:line-rule="auto"/>
        <w:ind w:firstLine="540"/>
        <w:jc w:val="both"/>
      </w:pPr>
      <w:r>
        <w:rPr>
          <w:sz w:val="20"/>
        </w:rPr>
        <w:t xml:space="preserve">отчет, составленный организацией в произвольной форме, о произведенных коммунальных расходах за год, предшествующий году предоставления субсидии;</w:t>
      </w:r>
    </w:p>
    <w:p>
      <w:pPr>
        <w:pStyle w:val="0"/>
        <w:spacing w:before="200" w:line-rule="auto"/>
        <w:ind w:firstLine="540"/>
        <w:jc w:val="both"/>
      </w:pPr>
      <w:r>
        <w:rPr>
          <w:sz w:val="20"/>
        </w:rPr>
        <w:t xml:space="preserve">расчет планируемых коммунальных расходов на текущий год, со ссылкой на нормативные документы, устанавливающие соответствующие тарифы на коммунальные услуги (копии договоров на оказание коммунальных услуг при их наличии).</w:t>
      </w:r>
    </w:p>
    <w:p>
      <w:pPr>
        <w:pStyle w:val="0"/>
        <w:spacing w:before="200" w:line-rule="auto"/>
        <w:ind w:firstLine="540"/>
        <w:jc w:val="both"/>
      </w:pPr>
      <w:r>
        <w:rPr>
          <w:sz w:val="20"/>
        </w:rPr>
        <w:t xml:space="preserve">Конкурсные документы, указанные в </w:t>
      </w:r>
      <w:hyperlink w:history="0" w:anchor="P89" w:tooltip="выписка из Единого государственного реестра юридических лиц;">
        <w:r>
          <w:rPr>
            <w:sz w:val="20"/>
            <w:color w:val="0000ff"/>
          </w:rPr>
          <w:t xml:space="preserve">абзацах пятом</w:t>
        </w:r>
      </w:hyperlink>
      <w:r>
        <w:rPr>
          <w:sz w:val="20"/>
        </w:rPr>
        <w:t xml:space="preserve"> - </w:t>
      </w:r>
      <w:hyperlink w:history="0" w:anchor="P92" w:tooltip="документ (справка), подтверждающий отсутствие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восьмом</w:t>
        </w:r>
      </w:hyperlink>
      <w:r>
        <w:rPr>
          <w:sz w:val="20"/>
        </w:rPr>
        <w:t xml:space="preserve"> настоящего пункта, могут быть представлены организацией по собственной инициативе.</w:t>
      </w:r>
    </w:p>
    <w:p>
      <w:pPr>
        <w:pStyle w:val="0"/>
        <w:spacing w:before="200" w:line-rule="auto"/>
        <w:ind w:firstLine="540"/>
        <w:jc w:val="both"/>
      </w:pPr>
      <w:r>
        <w:rPr>
          <w:sz w:val="20"/>
        </w:rPr>
        <w:t xml:space="preserve">В случае непредставления организацией конкурсных документов, указанных в </w:t>
      </w:r>
      <w:hyperlink w:history="0" w:anchor="P89" w:tooltip="выписка из Единого государственного реестра юридических лиц;">
        <w:r>
          <w:rPr>
            <w:sz w:val="20"/>
            <w:color w:val="0000ff"/>
          </w:rPr>
          <w:t xml:space="preserve">абзацах пятом</w:t>
        </w:r>
      </w:hyperlink>
      <w:r>
        <w:rPr>
          <w:sz w:val="20"/>
        </w:rPr>
        <w:t xml:space="preserve"> - </w:t>
      </w:r>
      <w:hyperlink w:history="0" w:anchor="P92" w:tooltip="документ (справка), подтверждающий отсутствие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восьмом</w:t>
        </w:r>
      </w:hyperlink>
      <w:r>
        <w:rPr>
          <w:sz w:val="20"/>
        </w:rPr>
        <w:t xml:space="preserve"> настоящего пункта, министерство запрашивает соответствующую информацию самостоятельно в порядке межведомственного информационного взаимодействия.</w:t>
      </w:r>
    </w:p>
    <w:p>
      <w:pPr>
        <w:pStyle w:val="0"/>
        <w:spacing w:before="200" w:line-rule="auto"/>
        <w:ind w:firstLine="540"/>
        <w:jc w:val="both"/>
      </w:pPr>
      <w:r>
        <w:rPr>
          <w:sz w:val="20"/>
        </w:rPr>
        <w:t xml:space="preserve">Конкурсные документы, указанные в настоящем пункте, заверяются в порядке, установленном действующим законодательством. Заявка и конкурсные документы представляются в прошитом и пронумерованном виде.</w:t>
      </w:r>
    </w:p>
    <w:p>
      <w:pPr>
        <w:pStyle w:val="0"/>
        <w:spacing w:before="200" w:line-rule="auto"/>
        <w:ind w:firstLine="540"/>
        <w:jc w:val="both"/>
      </w:pPr>
      <w:r>
        <w:rPr>
          <w:sz w:val="20"/>
        </w:rPr>
        <w:t xml:space="preserve">Заявка и конкурсные документы, поступившие на конкурсный отбор после указанного в объявлении срока, не рассматриваются.</w:t>
      </w:r>
    </w:p>
    <w:p>
      <w:pPr>
        <w:pStyle w:val="0"/>
        <w:spacing w:before="200" w:line-rule="auto"/>
        <w:ind w:firstLine="540"/>
        <w:jc w:val="both"/>
      </w:pPr>
      <w:r>
        <w:rPr>
          <w:sz w:val="20"/>
        </w:rPr>
        <w:t xml:space="preserve">11. Заявка и конкурсные документы представляются организацией в министерство при личном обращении либо посредством почтовой связи.</w:t>
      </w:r>
    </w:p>
    <w:bookmarkStart w:id="101" w:name="P101"/>
    <w:bookmarkEnd w:id="101"/>
    <w:p>
      <w:pPr>
        <w:pStyle w:val="0"/>
        <w:spacing w:before="200" w:line-rule="auto"/>
        <w:ind w:firstLine="540"/>
        <w:jc w:val="both"/>
      </w:pPr>
      <w:r>
        <w:rPr>
          <w:sz w:val="20"/>
        </w:rPr>
        <w:t xml:space="preserve">12. Организация до окончания срока приема документов, предусмотренного в объявлении, вправе внести изменения и (или) заменить заявку и (или) прилагаемые к ней конкурсные документы путем направления в министерство письменного уведомления с приложением документов, подлежащих замене, подписанных руководителем (иным уполномоченным лицом) организации. Датой замены документов, указанных в настоящем пункте, является дата поступления в министерство письменного уведомления с приложением документов, подлежащих замене.</w:t>
      </w:r>
    </w:p>
    <w:p>
      <w:pPr>
        <w:pStyle w:val="0"/>
        <w:spacing w:before="200" w:line-rule="auto"/>
        <w:ind w:firstLine="540"/>
        <w:jc w:val="both"/>
      </w:pPr>
      <w:r>
        <w:rPr>
          <w:sz w:val="20"/>
        </w:rPr>
        <w:t xml:space="preserve">Организация вправе до окончания проведения конкурсного отбора отозвать заявку путем направления руководителем (иным уполномоченным лицом) организации соответствующего заявления.</w:t>
      </w:r>
    </w:p>
    <w:p>
      <w:pPr>
        <w:pStyle w:val="0"/>
        <w:spacing w:before="200" w:line-rule="auto"/>
        <w:ind w:firstLine="540"/>
        <w:jc w:val="both"/>
      </w:pPr>
      <w:r>
        <w:rPr>
          <w:sz w:val="20"/>
        </w:rPr>
        <w:t xml:space="preserve">Организация несет ответственность за достоверность представленных документов в соответствии с законодательством Российской Федерации.</w:t>
      </w:r>
    </w:p>
    <w:p>
      <w:pPr>
        <w:pStyle w:val="0"/>
        <w:spacing w:before="200" w:line-rule="auto"/>
        <w:ind w:firstLine="540"/>
        <w:jc w:val="both"/>
      </w:pPr>
      <w:r>
        <w:rPr>
          <w:sz w:val="20"/>
        </w:rPr>
        <w:t xml:space="preserve">Документы, поступившие от организации, возврату не подлежат.</w:t>
      </w:r>
    </w:p>
    <w:bookmarkStart w:id="105" w:name="P105"/>
    <w:bookmarkEnd w:id="105"/>
    <w:p>
      <w:pPr>
        <w:pStyle w:val="0"/>
        <w:spacing w:before="200" w:line-rule="auto"/>
        <w:ind w:firstLine="540"/>
        <w:jc w:val="both"/>
      </w:pPr>
      <w:r>
        <w:rPr>
          <w:sz w:val="20"/>
        </w:rPr>
        <w:t xml:space="preserve">13. Заявка регистрируется министерством в день ее поступления в государственной информационной системе Приморского края "Региональная система межведомственного электронного документооборота".</w:t>
      </w:r>
    </w:p>
    <w:p>
      <w:pPr>
        <w:pStyle w:val="0"/>
        <w:spacing w:before="200" w:line-rule="auto"/>
        <w:ind w:firstLine="540"/>
        <w:jc w:val="both"/>
      </w:pPr>
      <w:r>
        <w:rPr>
          <w:sz w:val="20"/>
        </w:rPr>
        <w:t xml:space="preserve">Министерство в течение пяти рабочих дней со дня окончания срока приема заявок и конкурсных документов, указанных в объявлении, проверяет заявку на предмет ее соответствия </w:t>
      </w:r>
      <w:hyperlink w:history="0" w:anchor="P232" w:tooltip="ЗАЯВКА">
        <w:r>
          <w:rPr>
            <w:sz w:val="20"/>
            <w:color w:val="0000ff"/>
          </w:rPr>
          <w:t xml:space="preserve">форме</w:t>
        </w:r>
      </w:hyperlink>
      <w:r>
        <w:rPr>
          <w:sz w:val="20"/>
        </w:rPr>
        <w:t xml:space="preserve">, установленной приложением N 1 к настоящему Порядку; прилагаемые к заявке конкурсные документы на предмет соответствия перечню и требованиям к документам, предусмотренным </w:t>
      </w:r>
      <w:hyperlink w:history="0" w:anchor="P85" w:tooltip="10. Для участия в конкурсном отборе организации представляют в министерство в срок, указанный в объявлении, заявку по форме согласно приложению N 1 к настоящему Порядку с приложением следующих конкурсных документов:">
        <w:r>
          <w:rPr>
            <w:sz w:val="20"/>
            <w:color w:val="0000ff"/>
          </w:rPr>
          <w:t xml:space="preserve">пунктом 10</w:t>
        </w:r>
      </w:hyperlink>
      <w:r>
        <w:rPr>
          <w:sz w:val="20"/>
        </w:rPr>
        <w:t xml:space="preserve"> настоящего Порядка; соответствие организации критериям допуска организаций, требованиям к организациям, установленным соответственно </w:t>
      </w:r>
      <w:hyperlink w:history="0" w:anchor="P53" w:tooltip="5. К участию в конкурсном отборе допускаются организации, отвечающие следующим критериям допуска организаций:">
        <w:r>
          <w:rPr>
            <w:sz w:val="20"/>
            <w:color w:val="0000ff"/>
          </w:rPr>
          <w:t xml:space="preserve">пунктами 5</w:t>
        </w:r>
      </w:hyperlink>
      <w:r>
        <w:rPr>
          <w:sz w:val="20"/>
        </w:rPr>
        <w:t xml:space="preserve">, </w:t>
      </w:r>
      <w:hyperlink w:history="0" w:anchor="P58" w:tooltip="6. Требования, которым должна соответствовать организация на 1 число месяца, предшествующего месяцу подачи заявки на участие в конкурсном отборе на предоставление субсидии социально ориентированной некоммерческой организации (далее соответственно - требования к организациям, заявка):">
        <w:r>
          <w:rPr>
            <w:sz w:val="20"/>
            <w:color w:val="0000ff"/>
          </w:rPr>
          <w:t xml:space="preserve">6</w:t>
        </w:r>
      </w:hyperlink>
      <w:r>
        <w:rPr>
          <w:sz w:val="20"/>
        </w:rPr>
        <w:t xml:space="preserve"> настоящего Порядка, и принимает решение:</w:t>
      </w:r>
    </w:p>
    <w:p>
      <w:pPr>
        <w:pStyle w:val="0"/>
        <w:spacing w:before="200" w:line-rule="auto"/>
        <w:ind w:firstLine="540"/>
        <w:jc w:val="both"/>
      </w:pPr>
      <w:r>
        <w:rPr>
          <w:sz w:val="20"/>
        </w:rPr>
        <w:t xml:space="preserve">о допуске организации к участию в конкурсном отборе (в случае отсутствия оснований для отклонения заявки и отказа в допуске организации к участию в конкурсном отборе, предусмотренных </w:t>
      </w:r>
      <w:hyperlink w:history="0" w:anchor="P112" w:tooltip="14. Основаниями для отклонения заявки и отказа в допуске организации к участию в конкурсном отборе являются:">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об отклонении заявки и отказе в допуске к участию в конкурсном отборе с указанием информации о причинах (при наличии оснований для отклонения заявки и отказа в допуске организации к участию в конкурсном отборе, предусмотренных </w:t>
      </w:r>
      <w:hyperlink w:history="0" w:anchor="P112" w:tooltip="14. Основаниями для отклонения заявки и отказа в допуске организации к участию в конкурсном отборе являются:">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Решение о допуске (об отказе в допуске) организаций к участию в конкурсном отборе оформляется приказом министерства.</w:t>
      </w:r>
    </w:p>
    <w:p>
      <w:pPr>
        <w:pStyle w:val="0"/>
        <w:spacing w:before="200" w:line-rule="auto"/>
        <w:ind w:firstLine="540"/>
        <w:jc w:val="both"/>
      </w:pPr>
      <w:r>
        <w:rPr>
          <w:sz w:val="20"/>
        </w:rPr>
        <w:t xml:space="preserve">Министерство в течение трех рабочих дней с даты принятия соответствующего решения направляет организациям уведомления о принятом решении.</w:t>
      </w:r>
    </w:p>
    <w:p>
      <w:pPr>
        <w:pStyle w:val="0"/>
        <w:spacing w:before="200" w:line-rule="auto"/>
        <w:ind w:firstLine="540"/>
        <w:jc w:val="both"/>
      </w:pPr>
      <w:r>
        <w:rPr>
          <w:sz w:val="20"/>
        </w:rPr>
        <w:t xml:space="preserve">Министерство в течение пяти рабочих дней со дня вынесения решения о допуске организаций к участию в конкурсном отборе направляет заявку и конкурсные документы в конкурсную комиссию.</w:t>
      </w:r>
    </w:p>
    <w:bookmarkStart w:id="112" w:name="P112"/>
    <w:bookmarkEnd w:id="112"/>
    <w:p>
      <w:pPr>
        <w:pStyle w:val="0"/>
        <w:spacing w:before="200" w:line-rule="auto"/>
        <w:ind w:firstLine="540"/>
        <w:jc w:val="both"/>
      </w:pPr>
      <w:r>
        <w:rPr>
          <w:sz w:val="20"/>
        </w:rPr>
        <w:t xml:space="preserve">14. Основаниями для отклонения заявки и отказа в допуске организации к участию в конкурсном отборе являются:</w:t>
      </w:r>
    </w:p>
    <w:p>
      <w:pPr>
        <w:pStyle w:val="0"/>
        <w:spacing w:before="200" w:line-rule="auto"/>
        <w:ind w:firstLine="540"/>
        <w:jc w:val="both"/>
      </w:pPr>
      <w:r>
        <w:rPr>
          <w:sz w:val="20"/>
        </w:rPr>
        <w:t xml:space="preserve">представление заявки по истечении срока, указанного в объявлении;</w:t>
      </w:r>
    </w:p>
    <w:p>
      <w:pPr>
        <w:pStyle w:val="0"/>
        <w:spacing w:before="200" w:line-rule="auto"/>
        <w:ind w:firstLine="540"/>
        <w:jc w:val="both"/>
      </w:pPr>
      <w:r>
        <w:rPr>
          <w:sz w:val="20"/>
        </w:rPr>
        <w:t xml:space="preserve">несоответствие представленной организацией заявки </w:t>
      </w:r>
      <w:hyperlink w:history="0" w:anchor="P232" w:tooltip="ЗАЯВКА">
        <w:r>
          <w:rPr>
            <w:sz w:val="20"/>
            <w:color w:val="0000ff"/>
          </w:rPr>
          <w:t xml:space="preserve">форме</w:t>
        </w:r>
      </w:hyperlink>
      <w:r>
        <w:rPr>
          <w:sz w:val="20"/>
        </w:rPr>
        <w:t xml:space="preserve">, установленной приложением N 1 к настоящему Порядку;</w:t>
      </w:r>
    </w:p>
    <w:p>
      <w:pPr>
        <w:pStyle w:val="0"/>
        <w:spacing w:before="200" w:line-rule="auto"/>
        <w:ind w:firstLine="540"/>
        <w:jc w:val="both"/>
      </w:pPr>
      <w:r>
        <w:rPr>
          <w:sz w:val="20"/>
        </w:rPr>
        <w:t xml:space="preserve">несоответствие целей, указанных в заявке и конкурсных документах, целям предоставления субсидии, указанным в </w:t>
      </w:r>
      <w:hyperlink w:history="0" w:anchor="P45" w:tooltip="2. Субсидия направляется на возмещение фактически произведенных с 1 января 2022 года организацией расходов по оплате коммунальных услуг за помещение, используемое организацией для оказания услуг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 электроэнергии, горячего водоснабжения, отопления, холодного водоснабжения, водоотведения, обращения с твердыми коммунальными отходам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несоответствие критериям допуска организаций и требованиям к организациям, установленным соответственно </w:t>
      </w:r>
      <w:hyperlink w:history="0" w:anchor="P53" w:tooltip="5. К участию в конкурсном отборе допускаются организации, отвечающие следующим критериям допуска организаций:">
        <w:r>
          <w:rPr>
            <w:sz w:val="20"/>
            <w:color w:val="0000ff"/>
          </w:rPr>
          <w:t xml:space="preserve">пунктами 5</w:t>
        </w:r>
      </w:hyperlink>
      <w:r>
        <w:rPr>
          <w:sz w:val="20"/>
        </w:rPr>
        <w:t xml:space="preserve">, </w:t>
      </w:r>
      <w:hyperlink w:history="0" w:anchor="P58" w:tooltip="6. Требования, которым должна соответствовать организация на 1 число месяца, предшествующего месяцу подачи заявки на участие в конкурсном отборе на предоставление субсидии социально ориентированной некоммерческой организации (далее соответственно - требования к организациям, заявка):">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организацией конкурсных документов перечню и требованиям к документам, предусмотренным </w:t>
      </w:r>
      <w:hyperlink w:history="0" w:anchor="P85" w:tooltip="10. Для участия в конкурсном отборе организации представляют в министерство в срок, указанный в объявлении, заявку по форме согласно приложению N 1 к настоящему Порядку с приложением следующих конкурсных документов:">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конкурсных документов (за исключением документов, указанных в </w:t>
      </w:r>
      <w:hyperlink w:history="0" w:anchor="P89" w:tooltip="выписка из Единого государственного реестра юридических лиц;">
        <w:r>
          <w:rPr>
            <w:sz w:val="20"/>
            <w:color w:val="0000ff"/>
          </w:rPr>
          <w:t xml:space="preserve">абзацах пятом</w:t>
        </w:r>
      </w:hyperlink>
      <w:r>
        <w:rPr>
          <w:sz w:val="20"/>
        </w:rPr>
        <w:t xml:space="preserve"> - </w:t>
      </w:r>
      <w:hyperlink w:history="0" w:anchor="P92" w:tooltip="документ (справка), подтверждающий отсутствие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восьмом пункта 10</w:t>
        </w:r>
      </w:hyperlink>
      <w:r>
        <w:rPr>
          <w:sz w:val="20"/>
        </w:rPr>
        <w:t xml:space="preserve"> настоящего Порядка);</w:t>
      </w:r>
    </w:p>
    <w:p>
      <w:pPr>
        <w:pStyle w:val="0"/>
        <w:spacing w:before="200" w:line-rule="auto"/>
        <w:ind w:firstLine="540"/>
        <w:jc w:val="both"/>
      </w:pPr>
      <w:r>
        <w:rPr>
          <w:sz w:val="20"/>
        </w:rPr>
        <w:t xml:space="preserve">отзыв заявки в соответствии с </w:t>
      </w:r>
      <w:hyperlink w:history="0" w:anchor="P101" w:tooltip="12. Организация до окончания срока приема документов, предусмотренного в объявлении, вправе внести изменения и (или) заменить заявку и (или) прилагаемые к ней конкурсные документы путем направления в министерство письменного уведомления с приложением документов, подлежащих замене, подписанных руководителем (иным уполномоченным лицом) организации. Датой замены документов, указанных в настоящем пункте, является дата поступления в министерство письменного уведомления с приложением документов, подлежащих зам...">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организацией информации.</w:t>
      </w:r>
    </w:p>
    <w:bookmarkStart w:id="121" w:name="P121"/>
    <w:bookmarkEnd w:id="121"/>
    <w:p>
      <w:pPr>
        <w:pStyle w:val="0"/>
        <w:spacing w:before="200" w:line-rule="auto"/>
        <w:ind w:firstLine="540"/>
        <w:jc w:val="both"/>
      </w:pPr>
      <w:r>
        <w:rPr>
          <w:sz w:val="20"/>
        </w:rPr>
        <w:t xml:space="preserve">15. В течение 20 рабочих дней со дня окончания срока приема заявок и конкурсных документов конкурсная комиссия в отношении заявок и конкурсных документов, допущенных к участию в конкурсном отборе, осуществляет:</w:t>
      </w:r>
    </w:p>
    <w:p>
      <w:pPr>
        <w:pStyle w:val="0"/>
        <w:spacing w:before="200" w:line-rule="auto"/>
        <w:ind w:firstLine="540"/>
        <w:jc w:val="both"/>
      </w:pPr>
      <w:r>
        <w:rPr>
          <w:sz w:val="20"/>
        </w:rPr>
        <w:t xml:space="preserve">оценку заявок и конкурсных документов, определение итоговых баллов;</w:t>
      </w:r>
    </w:p>
    <w:p>
      <w:pPr>
        <w:pStyle w:val="0"/>
        <w:spacing w:before="200" w:line-rule="auto"/>
        <w:ind w:firstLine="540"/>
        <w:jc w:val="both"/>
      </w:pPr>
      <w:r>
        <w:rPr>
          <w:sz w:val="20"/>
        </w:rPr>
        <w:t xml:space="preserve">определение организации - победителя конкурсного отбора и принятие соответствующего решения.</w:t>
      </w:r>
    </w:p>
    <w:p>
      <w:pPr>
        <w:pStyle w:val="0"/>
        <w:spacing w:before="200" w:line-rule="auto"/>
        <w:ind w:firstLine="540"/>
        <w:jc w:val="both"/>
      </w:pPr>
      <w:r>
        <w:rPr>
          <w:sz w:val="20"/>
        </w:rPr>
        <w:t xml:space="preserve">Оценка заявок и конкурсных документов, определение итоговых баллов, определение победителей конкурсного отбора осуществляется конкурсной комиссий в соответствии с </w:t>
      </w:r>
      <w:hyperlink w:history="0" w:anchor="P379" w:tooltip="КРИТЕРИИ ОЦЕНОК">
        <w:r>
          <w:rPr>
            <w:sz w:val="20"/>
            <w:color w:val="0000ff"/>
          </w:rPr>
          <w:t xml:space="preserve">критериями</w:t>
        </w:r>
      </w:hyperlink>
      <w:r>
        <w:rPr>
          <w:sz w:val="20"/>
        </w:rPr>
        <w:t xml:space="preserve"> оценок заявок на участие в конкурсном отборе социально ориентированной некоммерческой организации согласно приложению N 2 к настоящему Порядку (далее - критерии оценки).</w:t>
      </w:r>
    </w:p>
    <w:p>
      <w:pPr>
        <w:pStyle w:val="0"/>
        <w:spacing w:before="200" w:line-rule="auto"/>
        <w:ind w:firstLine="540"/>
        <w:jc w:val="both"/>
      </w:pPr>
      <w:r>
        <w:rPr>
          <w:sz w:val="20"/>
        </w:rPr>
        <w:t xml:space="preserve">Конкурсная комиссия оценивает заявки и конкурсные документы, допущенные к конкурсному отбору, исходя из наилучших условий достижения организацией результатов предоставления субсидий путем проставления баллов каждым членом комиссии по балльной шкале по каждому из критериев оценки. По результатам суммирования баллов, проставленных членами комиссии, формируется общий рейтинг организаций (далее - рейтинг).</w:t>
      </w:r>
    </w:p>
    <w:p>
      <w:pPr>
        <w:pStyle w:val="0"/>
        <w:spacing w:before="200" w:line-rule="auto"/>
        <w:ind w:firstLine="540"/>
        <w:jc w:val="both"/>
      </w:pPr>
      <w:r>
        <w:rPr>
          <w:sz w:val="20"/>
        </w:rPr>
        <w:t xml:space="preserve">Победители конкурсного отбора определяются по наибольшему количеству набранных баллов путем ранжирования заявок в порядке уменьшения присвоенной им итоговой оценки.</w:t>
      </w:r>
    </w:p>
    <w:p>
      <w:pPr>
        <w:pStyle w:val="0"/>
        <w:spacing w:before="200" w:line-rule="auto"/>
        <w:ind w:firstLine="540"/>
        <w:jc w:val="both"/>
      </w:pPr>
      <w:r>
        <w:rPr>
          <w:sz w:val="20"/>
        </w:rPr>
        <w:t xml:space="preserve">Первое место в рейтинге присваивается организации, набравшей наибольшее количество баллов, и далее рейтинг формируется по убыванию баллов.</w:t>
      </w:r>
    </w:p>
    <w:p>
      <w:pPr>
        <w:pStyle w:val="0"/>
        <w:spacing w:before="200" w:line-rule="auto"/>
        <w:ind w:firstLine="540"/>
        <w:jc w:val="both"/>
      </w:pPr>
      <w:r>
        <w:rPr>
          <w:sz w:val="20"/>
        </w:rPr>
        <w:t xml:space="preserve">При равенстве количества баллов первое место в рейтинге присваивается организации, представившей заявку и конкурсные документы ранее других организаций, набравших равное количество баллов.</w:t>
      </w:r>
    </w:p>
    <w:p>
      <w:pPr>
        <w:pStyle w:val="0"/>
        <w:spacing w:before="200" w:line-rule="auto"/>
        <w:ind w:firstLine="540"/>
        <w:jc w:val="both"/>
      </w:pPr>
      <w:r>
        <w:rPr>
          <w:sz w:val="20"/>
        </w:rPr>
        <w:t xml:space="preserve">Победителем конкурсного отбора признается организация, занявшая первое место в рейтинге.</w:t>
      </w:r>
    </w:p>
    <w:p>
      <w:pPr>
        <w:pStyle w:val="0"/>
        <w:spacing w:before="200" w:line-rule="auto"/>
        <w:ind w:firstLine="540"/>
        <w:jc w:val="both"/>
      </w:pPr>
      <w:r>
        <w:rPr>
          <w:sz w:val="20"/>
        </w:rPr>
        <w:t xml:space="preserve">16. Конкурсной комиссией в срок, предусмотренный </w:t>
      </w:r>
      <w:hyperlink w:history="0" w:anchor="P121" w:tooltip="15. В течение 20 рабочих дней со дня окончания срока приема заявок и конкурсных документов конкурсная комиссия в отношении заявок и конкурсных документов, допущенных к участию в конкурсном отборе, осуществляет:">
        <w:r>
          <w:rPr>
            <w:sz w:val="20"/>
            <w:color w:val="0000ff"/>
          </w:rPr>
          <w:t xml:space="preserve">пунктом 15</w:t>
        </w:r>
      </w:hyperlink>
      <w:r>
        <w:rPr>
          <w:sz w:val="20"/>
        </w:rPr>
        <w:t xml:space="preserve"> настоящего Порядка, по результатам проведения конкурсного отбора принимается решение об определении победителя конкурсного отбора (далее - решение об определении победителя), которое оформляется протоколом заседания конкурсной комиссии (далее - протокол).</w:t>
      </w:r>
    </w:p>
    <w:bookmarkStart w:id="131" w:name="P131"/>
    <w:bookmarkEnd w:id="131"/>
    <w:p>
      <w:pPr>
        <w:pStyle w:val="0"/>
        <w:spacing w:before="200" w:line-rule="auto"/>
        <w:ind w:firstLine="540"/>
        <w:jc w:val="both"/>
      </w:pPr>
      <w:r>
        <w:rPr>
          <w:sz w:val="20"/>
        </w:rPr>
        <w:t xml:space="preserve">17. Организации, которые по результатам конкурсного отбора не признаны победителями конкурсного отбора, уведомляются конкурсной комиссией о результатах конкурсного отбора в течение пяти рабочих дней после принятия соответствующего решения.</w:t>
      </w:r>
    </w:p>
    <w:p>
      <w:pPr>
        <w:pStyle w:val="0"/>
        <w:spacing w:before="200" w:line-rule="auto"/>
        <w:ind w:firstLine="540"/>
        <w:jc w:val="both"/>
      </w:pPr>
      <w:r>
        <w:rPr>
          <w:sz w:val="20"/>
        </w:rPr>
        <w:t xml:space="preserve">Организации, не ставшие по результатам конкурсного отбора победителями, имеют право принять участие в следующем конкурсном отборе.</w:t>
      </w:r>
    </w:p>
    <w:p>
      <w:pPr>
        <w:pStyle w:val="0"/>
        <w:spacing w:before="200" w:line-rule="auto"/>
        <w:ind w:firstLine="540"/>
        <w:jc w:val="both"/>
      </w:pPr>
      <w:r>
        <w:rPr>
          <w:sz w:val="20"/>
        </w:rPr>
        <w:t xml:space="preserve">Конкурсный отбор признается несостоявшимся, если до дня окончания приема заявок и конкурсных документов не было подано ни одной заявки или ни одна из организаций, подавших заявки, не соответствует критериям допуска организаций и требованиям к организациям, установленным </w:t>
      </w:r>
      <w:hyperlink w:history="0" w:anchor="P53" w:tooltip="5. К участию в конкурсном отборе допускаются организации, отвечающие следующим критериям допуска организаций:">
        <w:r>
          <w:rPr>
            <w:sz w:val="20"/>
            <w:color w:val="0000ff"/>
          </w:rPr>
          <w:t xml:space="preserve">пунктами 5</w:t>
        </w:r>
      </w:hyperlink>
      <w:r>
        <w:rPr>
          <w:sz w:val="20"/>
        </w:rPr>
        <w:t xml:space="preserve">, </w:t>
      </w:r>
      <w:hyperlink w:history="0" w:anchor="P58" w:tooltip="6. Требования, которым должна соответствовать организация на 1 число месяца, предшествующего месяцу подачи заявки на участие в конкурсном отборе на предоставление субсидии социально ориентированной некоммерческой организации (далее соответственно - требования к организациям, заявка):">
        <w:r>
          <w:rPr>
            <w:sz w:val="20"/>
            <w:color w:val="0000ff"/>
          </w:rPr>
          <w:t xml:space="preserve">6</w:t>
        </w:r>
      </w:hyperlink>
      <w:r>
        <w:rPr>
          <w:sz w:val="20"/>
        </w:rPr>
        <w:t xml:space="preserve"> настоящего Порядка.</w:t>
      </w:r>
    </w:p>
    <w:p>
      <w:pPr>
        <w:pStyle w:val="0"/>
        <w:spacing w:before="200" w:line-rule="auto"/>
        <w:ind w:firstLine="540"/>
        <w:jc w:val="both"/>
      </w:pPr>
      <w:r>
        <w:rPr>
          <w:sz w:val="20"/>
        </w:rPr>
        <w:t xml:space="preserve">В случае если конкурсный отбор признается несостоявшимся, конкурсные процедуры проводятся повторно в соответствии с требованиями настоящего Порядка.</w:t>
      </w:r>
    </w:p>
    <w:p>
      <w:pPr>
        <w:pStyle w:val="0"/>
        <w:spacing w:before="200" w:line-rule="auto"/>
        <w:ind w:firstLine="540"/>
        <w:jc w:val="both"/>
      </w:pPr>
      <w:r>
        <w:rPr>
          <w:sz w:val="20"/>
        </w:rPr>
        <w:t xml:space="preserve">18. Решение конкурсной комиссии об определении победителей является основанием для заключения соглашения о предоставлении субсидии (далее - соглашение) с организацией - победителем конкурсного отбора.</w:t>
      </w:r>
    </w:p>
    <w:p>
      <w:pPr>
        <w:pStyle w:val="0"/>
        <w:spacing w:before="200" w:line-rule="auto"/>
        <w:ind w:firstLine="540"/>
        <w:jc w:val="both"/>
      </w:pPr>
      <w:r>
        <w:rPr>
          <w:sz w:val="20"/>
        </w:rPr>
        <w:t xml:space="preserve">Решение конкурсной комиссии об определении победителей в течение двух рабочих дней со дня его принятия передается в министерство.</w:t>
      </w:r>
    </w:p>
    <w:p>
      <w:pPr>
        <w:pStyle w:val="0"/>
        <w:spacing w:before="200" w:line-rule="auto"/>
        <w:ind w:firstLine="540"/>
        <w:jc w:val="both"/>
      </w:pPr>
      <w:r>
        <w:rPr>
          <w:sz w:val="20"/>
        </w:rPr>
        <w:t xml:space="preserve">19. Министерство:</w:t>
      </w:r>
    </w:p>
    <w:p>
      <w:pPr>
        <w:pStyle w:val="0"/>
        <w:spacing w:before="200" w:line-rule="auto"/>
        <w:ind w:firstLine="540"/>
        <w:jc w:val="both"/>
      </w:pPr>
      <w:r>
        <w:rPr>
          <w:sz w:val="20"/>
        </w:rPr>
        <w:t xml:space="preserve">в течение трех рабочих дней со дня получения протокола конкурсной комиссии осуществляет расчет размера субсидии победителям конкурсного отбора в соответствии с </w:t>
      </w:r>
      <w:hyperlink w:history="0" w:anchor="P146" w:tooltip="20. Размер субсидии определяется министерством в пределах лимитов бюджетных обязательств, доведенных в установленном порядке министерству на указанные цели в текущем финансовом году.">
        <w:r>
          <w:rPr>
            <w:sz w:val="20"/>
            <w:color w:val="0000ff"/>
          </w:rPr>
          <w:t xml:space="preserve">пунктом 20</w:t>
        </w:r>
      </w:hyperlink>
      <w:r>
        <w:rPr>
          <w:sz w:val="20"/>
        </w:rPr>
        <w:t xml:space="preserve"> настоящего Порядка и издает приказ об итогах конкурсного отбора и назначении субсидии, в котором указываются победители конкурсного отбора и размер предоставляемой субсидии (далее соответственно - приказ, получатели субсидии);</w:t>
      </w:r>
    </w:p>
    <w:p>
      <w:pPr>
        <w:pStyle w:val="0"/>
        <w:spacing w:before="200" w:line-rule="auto"/>
        <w:ind w:firstLine="540"/>
        <w:jc w:val="both"/>
      </w:pPr>
      <w:r>
        <w:rPr>
          <w:sz w:val="20"/>
        </w:rPr>
        <w:t xml:space="preserve">в течение пяти рабочих дней со дня издания приказа размещает его на официальном сайте министерства и на едином портале, а также уведомляет получателей субсидии о принятом решении.</w:t>
      </w:r>
    </w:p>
    <w:p>
      <w:pPr>
        <w:pStyle w:val="0"/>
        <w:spacing w:before="200" w:line-rule="auto"/>
        <w:ind w:firstLine="540"/>
        <w:jc w:val="both"/>
      </w:pPr>
      <w:r>
        <w:rPr>
          <w:sz w:val="20"/>
        </w:rPr>
        <w:t xml:space="preserve">Приказ содержит следующие сведения:</w:t>
      </w:r>
    </w:p>
    <w:p>
      <w:pPr>
        <w:pStyle w:val="0"/>
        <w:spacing w:before="200" w:line-rule="auto"/>
        <w:ind w:firstLine="540"/>
        <w:jc w:val="both"/>
      </w:pPr>
      <w:r>
        <w:rPr>
          <w:sz w:val="20"/>
        </w:rPr>
        <w:t xml:space="preserve">дата, время и место рассмотрения и оценки заявок и конкурсных документов;</w:t>
      </w:r>
    </w:p>
    <w:p>
      <w:pPr>
        <w:pStyle w:val="0"/>
        <w:spacing w:before="200" w:line-rule="auto"/>
        <w:ind w:firstLine="540"/>
        <w:jc w:val="both"/>
      </w:pPr>
      <w:r>
        <w:rPr>
          <w:sz w:val="20"/>
        </w:rPr>
        <w:t xml:space="preserve">информация об организациях, заявки и конкурсные документы которых были рассмотрены;</w:t>
      </w:r>
    </w:p>
    <w:p>
      <w:pPr>
        <w:pStyle w:val="0"/>
        <w:spacing w:before="200" w:line-rule="auto"/>
        <w:ind w:firstLine="540"/>
        <w:jc w:val="both"/>
      </w:pPr>
      <w:r>
        <w:rPr>
          <w:sz w:val="20"/>
        </w:rPr>
        <w:t xml:space="preserve">информация об организациях, заявки и конкурсные документы которых были отклонены, с указанием причин их отклонения, предусмотренных </w:t>
      </w:r>
      <w:hyperlink w:history="0" w:anchor="P112" w:tooltip="14. Основаниями для отклонения заявки и отказа в допуске организации к участию в конкурсном отборе являются:">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последовательность оценки заявок и конкурсных документов, присвоенные заявкам и конкурсным документам баллы, принятое на основании результатов оценки решение о присвоении таким заявкам мест в рейтинге;</w:t>
      </w:r>
    </w:p>
    <w:p>
      <w:pPr>
        <w:pStyle w:val="0"/>
        <w:spacing w:before="200" w:line-rule="auto"/>
        <w:ind w:firstLine="540"/>
        <w:jc w:val="both"/>
      </w:pPr>
      <w:r>
        <w:rPr>
          <w:sz w:val="20"/>
        </w:rPr>
        <w:t xml:space="preserve">победитель конкурсного отбора, с которым заключается соглашение, и размер предоставляемой субсидии.</w:t>
      </w:r>
    </w:p>
    <w:bookmarkStart w:id="146" w:name="P146"/>
    <w:bookmarkEnd w:id="146"/>
    <w:p>
      <w:pPr>
        <w:pStyle w:val="0"/>
        <w:spacing w:before="200" w:line-rule="auto"/>
        <w:ind w:firstLine="540"/>
        <w:jc w:val="both"/>
      </w:pPr>
      <w:r>
        <w:rPr>
          <w:sz w:val="20"/>
        </w:rPr>
        <w:t xml:space="preserve">20. Размер субсидии определяется министерством в пределах лимитов бюджетных обязательств, доведенных в установленном порядке министерству на указанные цели в текущем финансовом году.</w:t>
      </w:r>
    </w:p>
    <w:p>
      <w:pPr>
        <w:pStyle w:val="0"/>
        <w:spacing w:before="200" w:line-rule="auto"/>
        <w:ind w:firstLine="540"/>
        <w:jc w:val="both"/>
      </w:pPr>
      <w:r>
        <w:rPr>
          <w:sz w:val="20"/>
        </w:rPr>
        <w:t xml:space="preserve">Размер субсидии рассчитывается по формуле:</w:t>
      </w:r>
    </w:p>
    <w:p>
      <w:pPr>
        <w:pStyle w:val="0"/>
        <w:jc w:val="both"/>
      </w:pPr>
      <w:r>
        <w:rPr>
          <w:sz w:val="20"/>
        </w:rPr>
      </w:r>
    </w:p>
    <w:p>
      <w:pPr>
        <w:pStyle w:val="0"/>
        <w:ind w:firstLine="540"/>
        <w:jc w:val="both"/>
      </w:pPr>
      <w:r>
        <w:rPr>
          <w:position w:val="-10"/>
        </w:rPr>
        <w:drawing>
          <wp:inline distT="0" distB="0" distL="0" distR="0">
            <wp:extent cx="12668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Sc - размер субсидии i-го победителя конкурсного отбора;</w:t>
      </w:r>
    </w:p>
    <w:p>
      <w:pPr>
        <w:pStyle w:val="0"/>
        <w:spacing w:before="200" w:line-rule="auto"/>
        <w:ind w:firstLine="540"/>
        <w:jc w:val="both"/>
      </w:pPr>
      <w:r>
        <w:rPr>
          <w:sz w:val="20"/>
        </w:rPr>
        <w:t xml:space="preserve">Vi - объем потребленной i-го вида коммунальной услуги для помещения, используемого для оказания услуг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 (исходя из среднего объема потребления за год, предшествующий году получения субсидии, на основании документов, указанных в </w:t>
      </w:r>
      <w:hyperlink w:history="0" w:anchor="P85" w:tooltip="10. Для участия в конкурсном отборе организации представляют в министерство в срок, указанный в объявлении, заявку по форме согласно приложению N 1 к настоящему Порядку с приложением следующих конкурсных документов:">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Ti - тариф по i-му виду услуги, утвержденный на день вынесения комиссией решения об организации - победителе конкурсного отбора;</w:t>
      </w:r>
    </w:p>
    <w:p>
      <w:pPr>
        <w:pStyle w:val="0"/>
        <w:spacing w:before="200" w:line-rule="auto"/>
        <w:ind w:firstLine="540"/>
        <w:jc w:val="both"/>
      </w:pPr>
      <w:r>
        <w:rPr>
          <w:sz w:val="20"/>
        </w:rPr>
        <w:t xml:space="preserve">i-й вид коммунальной услуги - электроэнергия, горячее водоснабжение, отопление, холодное водоснабжение, водоотведение, обращение с твердыми коммунальными отходами.</w:t>
      </w:r>
    </w:p>
    <w:p>
      <w:pPr>
        <w:pStyle w:val="0"/>
        <w:spacing w:before="200" w:line-rule="auto"/>
        <w:ind w:firstLine="540"/>
        <w:jc w:val="both"/>
      </w:pPr>
      <w:r>
        <w:rPr>
          <w:sz w:val="20"/>
        </w:rPr>
        <w:t xml:space="preserve">Предоставление субсидии осуществляется в пределах расчетного объема, но не более фактически понесенных получателем субсидии в соответствии с </w:t>
      </w:r>
      <w:hyperlink w:history="0" w:anchor="P171" w:tooltip="23. В целях предоставления (перечисления) субсидии получатель субсидии не чаще одного раза в месяц в срок до 10 числа месяца, следующего за месяцем, в котором были осуществлены расходы (в декабре 2022 года документы предоставляются не позднее 15 декабря), на возмещение которых предоставляется субсидия, или не реже одного раза в квартал, в котором были осуществлены данные расходы, в срок до 10 числа месяца, следующего за отчетным кварталом, представляет в министерство следующие документы:">
        <w:r>
          <w:rPr>
            <w:sz w:val="20"/>
            <w:color w:val="0000ff"/>
          </w:rPr>
          <w:t xml:space="preserve">пунктом 23</w:t>
        </w:r>
      </w:hyperlink>
      <w:r>
        <w:rPr>
          <w:sz w:val="20"/>
        </w:rPr>
        <w:t xml:space="preserve"> настоящего Порядка.</w:t>
      </w:r>
    </w:p>
    <w:bookmarkStart w:id="156" w:name="P156"/>
    <w:bookmarkEnd w:id="156"/>
    <w:p>
      <w:pPr>
        <w:pStyle w:val="0"/>
        <w:spacing w:before="200" w:line-rule="auto"/>
        <w:ind w:firstLine="540"/>
        <w:jc w:val="both"/>
      </w:pPr>
      <w:r>
        <w:rPr>
          <w:sz w:val="20"/>
        </w:rPr>
        <w:t xml:space="preserve">21. Если остаток нераспределенных бюджетных ассигнований составляет более 10%, а также в случае выделения дополнительных бюджетных ассигнований, возврата субсидии в краевой бюджет нераспределенные бюджетные средства направляются на цели, предусмотренные </w:t>
      </w:r>
      <w:hyperlink w:history="0" w:anchor="P45" w:tooltip="2. Субсидия направляется на возмещение фактически произведенных с 1 января 2022 года организацией расходов по оплате коммунальных услуг за помещение, используемое организацией для оказания услуг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 электроэнергии, горячего водоснабжения, отопления, холодного водоснабжения, водоотведения, обращения с твердыми коммунальными отходами.">
        <w:r>
          <w:rPr>
            <w:sz w:val="20"/>
            <w:color w:val="0000ff"/>
          </w:rPr>
          <w:t xml:space="preserve">пунктом 2</w:t>
        </w:r>
      </w:hyperlink>
      <w:r>
        <w:rPr>
          <w:sz w:val="20"/>
        </w:rPr>
        <w:t xml:space="preserve"> настоящего Порядка, на основе повторного конкурсного отбора. Повторный конкурсный отбор осуществляется в соответствии с положениями настоящего Порядка.</w:t>
      </w:r>
    </w:p>
    <w:p>
      <w:pPr>
        <w:pStyle w:val="0"/>
        <w:spacing w:before="200" w:line-rule="auto"/>
        <w:ind w:firstLine="540"/>
        <w:jc w:val="both"/>
      </w:pPr>
      <w:r>
        <w:rPr>
          <w:sz w:val="20"/>
        </w:rPr>
        <w:t xml:space="preserve">22. Министерство в течение пяти рабочих дней со дня издания приказа направляет получателю субсидии проект соглашения для подписания в двух экземплярах.</w:t>
      </w:r>
    </w:p>
    <w:p>
      <w:pPr>
        <w:pStyle w:val="0"/>
        <w:spacing w:before="200" w:line-rule="auto"/>
        <w:ind w:firstLine="540"/>
        <w:jc w:val="both"/>
      </w:pPr>
      <w:r>
        <w:rPr>
          <w:sz w:val="20"/>
        </w:rPr>
        <w:t xml:space="preserve">Соглашение, дополнительное соглашение к соглашению, в том числе дополнительное соглашение о расторжении соглашения, заключается между министерством и получателем субсидии по типовой форме, утвержденной министерством финансов Приморского края.</w:t>
      </w:r>
    </w:p>
    <w:p>
      <w:pPr>
        <w:pStyle w:val="0"/>
        <w:spacing w:before="200" w:line-rule="auto"/>
        <w:ind w:firstLine="540"/>
        <w:jc w:val="both"/>
      </w:pPr>
      <w:r>
        <w:rPr>
          <w:sz w:val="20"/>
        </w:rPr>
        <w:t xml:space="preserve">Соглашение предусматривает в том числе:</w:t>
      </w:r>
    </w:p>
    <w:p>
      <w:pPr>
        <w:pStyle w:val="0"/>
        <w:spacing w:before="200" w:line-rule="auto"/>
        <w:ind w:firstLine="540"/>
        <w:jc w:val="both"/>
      </w:pPr>
      <w:r>
        <w:rPr>
          <w:sz w:val="20"/>
        </w:rPr>
        <w:t xml:space="preserve">объем и целевое назначение субсидии;</w:t>
      </w:r>
    </w:p>
    <w:p>
      <w:pPr>
        <w:pStyle w:val="0"/>
        <w:spacing w:before="200" w:line-rule="auto"/>
        <w:ind w:firstLine="540"/>
        <w:jc w:val="both"/>
      </w:pPr>
      <w:r>
        <w:rPr>
          <w:sz w:val="20"/>
        </w:rPr>
        <w:t xml:space="preserve">права и обязанности сторон соглашения;</w:t>
      </w:r>
    </w:p>
    <w:p>
      <w:pPr>
        <w:pStyle w:val="0"/>
        <w:spacing w:before="200" w:line-rule="auto"/>
        <w:ind w:firstLine="540"/>
        <w:jc w:val="both"/>
      </w:pPr>
      <w:r>
        <w:rPr>
          <w:sz w:val="20"/>
        </w:rPr>
        <w:t xml:space="preserve">обязательство получателя субсидии представлять отчетность, предусмотренную </w:t>
      </w:r>
      <w:hyperlink w:history="0" w:anchor="P184" w:tooltip="27. В случае изменения размера субсидии и (или) результатов предоставления субсидии (значений, показателей, необходимых для достижения результатов предоставления субсидии, в том числе в случае возникновения обстоятельств, приводящих к невозможности достижения значений и">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результаты предоставления субсидии, значения и показатели, необходимых для достижения результатов предоставления субсидии;</w:t>
      </w:r>
    </w:p>
    <w:p>
      <w:pPr>
        <w:pStyle w:val="0"/>
        <w:spacing w:before="200" w:line-rule="auto"/>
        <w:ind w:firstLine="540"/>
        <w:jc w:val="both"/>
      </w:pPr>
      <w:r>
        <w:rPr>
          <w:sz w:val="20"/>
        </w:rPr>
        <w:t xml:space="preserve">обязательство получателя субсидии по достижению результатов предоставления субсидии, их значений и показателей, необходимых для достижения результатов предоставления субсидии;</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согласие получателя субсидии на осуществление министерством проверок соблюдения организацией порядка и условий предоставления субсидии, в том числе в части достижения результатов предоставления субсидии, а также на осуществление проверок органами государственного финансового контроля в соответствии со </w:t>
      </w:r>
      <w:hyperlink w:history="0" r:id="rId17"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Получатель субсидии в течение двух рабочих дней со дня получения проекта соглашения направляет в министерство подписанное соглашение в двух экземплярах.</w:t>
      </w:r>
    </w:p>
    <w:p>
      <w:pPr>
        <w:pStyle w:val="0"/>
        <w:spacing w:before="200" w:line-rule="auto"/>
        <w:ind w:firstLine="540"/>
        <w:jc w:val="both"/>
      </w:pPr>
      <w:r>
        <w:rPr>
          <w:sz w:val="20"/>
        </w:rPr>
        <w:t xml:space="preserve">Министерство в течение двух рабочих дней со дня получения подписанного получателем субсидии соглашения подписывает оба экземпляра соглашения и возвращает получателю субсидии один подписанный экземпляр соглашения.</w:t>
      </w:r>
    </w:p>
    <w:p>
      <w:pPr>
        <w:pStyle w:val="0"/>
        <w:spacing w:before="200" w:line-rule="auto"/>
        <w:ind w:firstLine="540"/>
        <w:jc w:val="both"/>
      </w:pPr>
      <w:r>
        <w:rPr>
          <w:sz w:val="20"/>
        </w:rPr>
        <w:t xml:space="preserve">В случае неподписания соглашения в указанный срок получатель субсидии признается уклонившимся от заключения соглашения.</w:t>
      </w:r>
    </w:p>
    <w:bookmarkStart w:id="171" w:name="P171"/>
    <w:bookmarkEnd w:id="171"/>
    <w:p>
      <w:pPr>
        <w:pStyle w:val="0"/>
        <w:spacing w:before="200" w:line-rule="auto"/>
        <w:ind w:firstLine="540"/>
        <w:jc w:val="both"/>
      </w:pPr>
      <w:r>
        <w:rPr>
          <w:sz w:val="20"/>
        </w:rPr>
        <w:t xml:space="preserve">23. В целях предоставления (перечисления) субсидии получатель субсидии не чаще одного раза в месяц в срок до 10 числа месяца, следующего за месяцем, в котором были осуществлены расходы (в декабре 2022 года документы предоставляются не позднее 15 декабря), на возмещение которых предоставляется субсидия, или не реже одного раза в квартал, в котором были осуществлены данные расходы, в срок до 10 числа месяца, следующего за отчетным кварталом, представляет в министерство следующие документы:</w:t>
      </w:r>
    </w:p>
    <w:p>
      <w:pPr>
        <w:pStyle w:val="0"/>
        <w:spacing w:before="200" w:line-rule="auto"/>
        <w:ind w:firstLine="540"/>
        <w:jc w:val="both"/>
      </w:pPr>
      <w:r>
        <w:rPr>
          <w:sz w:val="20"/>
        </w:rPr>
        <w:t xml:space="preserve">заявление о перечислении субсидии в сумме осуществленных расходов;</w:t>
      </w:r>
    </w:p>
    <w:p>
      <w:pPr>
        <w:pStyle w:val="0"/>
        <w:spacing w:before="200" w:line-rule="auto"/>
        <w:ind w:firstLine="540"/>
        <w:jc w:val="both"/>
      </w:pPr>
      <w:r>
        <w:rPr>
          <w:sz w:val="20"/>
        </w:rPr>
        <w:t xml:space="preserve">отчет о произведенных расходах по оплате коммунальных услуг с копиями платежных документов, подтверждающих фактически произведенную оплату коммунальных услуг (далее - отчет о произведенных расходах);</w:t>
      </w:r>
    </w:p>
    <w:p>
      <w:pPr>
        <w:pStyle w:val="0"/>
        <w:spacing w:before="200" w:line-rule="auto"/>
        <w:ind w:firstLine="540"/>
        <w:jc w:val="both"/>
      </w:pPr>
      <w:r>
        <w:rPr>
          <w:sz w:val="20"/>
        </w:rPr>
        <w:t xml:space="preserve">копии счетов, выставленных организации на оплату коммунальных услуг.</w:t>
      </w:r>
    </w:p>
    <w:p>
      <w:pPr>
        <w:pStyle w:val="0"/>
        <w:spacing w:before="200" w:line-rule="auto"/>
        <w:ind w:firstLine="540"/>
        <w:jc w:val="both"/>
      </w:pPr>
      <w:r>
        <w:rPr>
          <w:sz w:val="20"/>
        </w:rPr>
        <w:t xml:space="preserve">Формы заявления о перечислении субсидии и отчета о произведенных расходах устанавливаются соглашением.</w:t>
      </w:r>
    </w:p>
    <w:bookmarkStart w:id="176" w:name="P176"/>
    <w:bookmarkEnd w:id="176"/>
    <w:p>
      <w:pPr>
        <w:pStyle w:val="0"/>
        <w:spacing w:before="200" w:line-rule="auto"/>
        <w:ind w:firstLine="540"/>
        <w:jc w:val="both"/>
      </w:pPr>
      <w:r>
        <w:rPr>
          <w:sz w:val="20"/>
        </w:rPr>
        <w:t xml:space="preserve">24. Министерство в течение пяти рабочих дней со дня поступления документов, указанных в </w:t>
      </w:r>
      <w:hyperlink w:history="0" w:anchor="P171" w:tooltip="23. В целях предоставления (перечисления) субсидии получатель субсидии не чаще одного раза в месяц в срок до 10 числа месяца, следующего за месяцем, в котором были осуществлены расходы (в декабре 2022 года документы предоставляются не позднее 15 декабря), на возмещение которых предоставляется субсидия, или не реже одного раза в квартал, в котором были осуществлены данные расходы, в срок до 10 числа месяца, следующего за отчетным кварталом, представляет в министерство следующие документы:">
        <w:r>
          <w:rPr>
            <w:sz w:val="20"/>
            <w:color w:val="0000ff"/>
          </w:rPr>
          <w:t xml:space="preserve">пункте 23</w:t>
        </w:r>
      </w:hyperlink>
      <w:r>
        <w:rPr>
          <w:sz w:val="20"/>
        </w:rPr>
        <w:t xml:space="preserve"> настоящего Порядка, проверяет представленные документы и принимает решение о предоставлении (перечислении) субсидии, которое оформляется распоряжением министерства, или решение об отказе в предоставлении (перечислении) субсидии, которое оформляется уведомлением и направляется получателю субсидии в течение трех рабочих дней.</w:t>
      </w:r>
    </w:p>
    <w:p>
      <w:pPr>
        <w:pStyle w:val="0"/>
        <w:spacing w:before="200" w:line-rule="auto"/>
        <w:ind w:firstLine="540"/>
        <w:jc w:val="both"/>
      </w:pPr>
      <w:r>
        <w:rPr>
          <w:sz w:val="20"/>
        </w:rPr>
        <w:t xml:space="preserve">25. Решение об отказе в предоставлении (перечислении) субсидии принимается в следующих случаях:</w:t>
      </w:r>
    </w:p>
    <w:p>
      <w:pPr>
        <w:pStyle w:val="0"/>
        <w:spacing w:before="200" w:line-rule="auto"/>
        <w:ind w:firstLine="540"/>
        <w:jc w:val="both"/>
      </w:pPr>
      <w:r>
        <w:rPr>
          <w:sz w:val="20"/>
        </w:rPr>
        <w:t xml:space="preserve">непредставление в полном объеме и (или) несвоевременное представление документов, указанных в </w:t>
      </w:r>
      <w:hyperlink w:history="0" w:anchor="P171" w:tooltip="23. В целях предоставления (перечисления) субсидии получатель субсидии не чаще одного раза в месяц в срок до 10 числа месяца, следующего за месяцем, в котором были осуществлены расходы (в декабре 2022 года документы предоставляются не позднее 15 декабря), на возмещение которых предоставляется субсидия, или не реже одного раза в квартал, в котором были осуществлены данные расходы, в срок до 10 числа месяца, следующего за отчетным кварталом, представляет в министерство следующие документы:">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получателем субсидии информации.</w:t>
      </w:r>
    </w:p>
    <w:p>
      <w:pPr>
        <w:pStyle w:val="0"/>
        <w:spacing w:before="200" w:line-rule="auto"/>
        <w:ind w:firstLine="540"/>
        <w:jc w:val="both"/>
      </w:pPr>
      <w:r>
        <w:rPr>
          <w:sz w:val="20"/>
        </w:rPr>
        <w:t xml:space="preserve">При условии устранения причин, послуживших основанием для отказа в предоставлении субсидии, получатель субсидии вправе в течение пяти рабочих дней со дня получения уведомления об отказе в предоставлении субсидии повторно обратиться за предоставлением субсидии.</w:t>
      </w:r>
    </w:p>
    <w:p>
      <w:pPr>
        <w:pStyle w:val="0"/>
        <w:spacing w:before="200" w:line-rule="auto"/>
        <w:ind w:firstLine="540"/>
        <w:jc w:val="both"/>
      </w:pPr>
      <w:r>
        <w:rPr>
          <w:sz w:val="20"/>
        </w:rPr>
        <w:t xml:space="preserve">26. Перечисление субсидии осуществляется с лицевого счета</w:t>
      </w:r>
    </w:p>
    <w:p>
      <w:pPr>
        <w:pStyle w:val="0"/>
        <w:spacing w:before="200" w:line-rule="auto"/>
        <w:ind w:firstLine="540"/>
        <w:jc w:val="both"/>
      </w:pPr>
      <w:r>
        <w:rPr>
          <w:sz w:val="20"/>
        </w:rPr>
        <w:t xml:space="preserve">министерства, открытого в Управлении Федерального казначейства по Приморскому краю, на расчетные и корреспондентские счета организации, открытые в учреждениях Центрального банка Российской Федерации или кредитных организациях, в течение трех рабочих дней со дня поступления средств на лицевой счет министерства, но не позднее 10 рабочего дня,</w:t>
      </w:r>
    </w:p>
    <w:p>
      <w:pPr>
        <w:pStyle w:val="0"/>
        <w:spacing w:before="200" w:line-rule="auto"/>
        <w:ind w:firstLine="540"/>
        <w:jc w:val="both"/>
      </w:pPr>
      <w:r>
        <w:rPr>
          <w:sz w:val="20"/>
        </w:rPr>
        <w:t xml:space="preserve">следующего за днем принятия министерством решения о предоставлении (перечислении) субсидии, указанного в </w:t>
      </w:r>
      <w:hyperlink w:history="0" w:anchor="P176" w:tooltip="24. Министерство в течение пяти рабочих дней со дня поступления документов, указанных в пункте 23 настоящего Порядка, проверяет представленные документы и принимает решение о предоставлении (перечислении) субсидии, которое оформляется распоряжением министерства, или решение об отказе в предоставлении (перечислении) субсидии, которое оформляется уведомлением и направляется получателю субсидии в течение трех рабочих дней.">
        <w:r>
          <w:rPr>
            <w:sz w:val="20"/>
            <w:color w:val="0000ff"/>
          </w:rPr>
          <w:t xml:space="preserve">пункте 24</w:t>
        </w:r>
      </w:hyperlink>
      <w:r>
        <w:rPr>
          <w:sz w:val="20"/>
        </w:rPr>
        <w:t xml:space="preserve"> настоящего Порядка.</w:t>
      </w:r>
    </w:p>
    <w:bookmarkStart w:id="184" w:name="P184"/>
    <w:bookmarkEnd w:id="184"/>
    <w:p>
      <w:pPr>
        <w:pStyle w:val="0"/>
        <w:spacing w:before="200" w:line-rule="auto"/>
        <w:ind w:firstLine="540"/>
        <w:jc w:val="both"/>
      </w:pPr>
      <w:r>
        <w:rPr>
          <w:sz w:val="20"/>
        </w:rPr>
        <w:t xml:space="preserve">27. В случае изменения размера субсидии и (или) результатов предоставления субсидии (значений, показателей, необходимых для достижения результатов предоставления субсидии, в том числе в случае возникновения обстоятельств, приводящих к невозможности достижения значений и</w:t>
      </w:r>
    </w:p>
    <w:p>
      <w:pPr>
        <w:pStyle w:val="0"/>
        <w:spacing w:before="200" w:line-rule="auto"/>
        <w:ind w:firstLine="540"/>
        <w:jc w:val="both"/>
      </w:pPr>
      <w:r>
        <w:rPr>
          <w:sz w:val="20"/>
        </w:rPr>
        <w:t xml:space="preserve">показателей результатов предоставления субсидий, в целях достижения которых субсидия была предоставлена) соглашение подлежит изменению путем</w:t>
      </w:r>
    </w:p>
    <w:p>
      <w:pPr>
        <w:pStyle w:val="0"/>
        <w:spacing w:before="200" w:line-rule="auto"/>
        <w:ind w:firstLine="540"/>
        <w:jc w:val="both"/>
      </w:pPr>
      <w:r>
        <w:rPr>
          <w:sz w:val="20"/>
        </w:rPr>
        <w:t xml:space="preserve">заключения дополнительного соглашения к соглашению.</w:t>
      </w:r>
    </w:p>
    <w:p>
      <w:pPr>
        <w:pStyle w:val="0"/>
        <w:spacing w:before="200" w:line-rule="auto"/>
        <w:ind w:firstLine="540"/>
        <w:jc w:val="both"/>
      </w:pPr>
      <w:r>
        <w:rPr>
          <w:sz w:val="20"/>
        </w:rPr>
        <w:t xml:space="preserve">28. Получатель субсидии представляет в министерство ежеквартально, в</w:t>
      </w:r>
    </w:p>
    <w:p>
      <w:pPr>
        <w:pStyle w:val="0"/>
        <w:spacing w:before="200" w:line-rule="auto"/>
        <w:ind w:firstLine="540"/>
        <w:jc w:val="both"/>
      </w:pPr>
      <w:r>
        <w:rPr>
          <w:sz w:val="20"/>
        </w:rPr>
        <w:t xml:space="preserve">срок до 10 числа месяца, следующего за отчетным, отчет о достижении результатов предоставления субсидии, значений и показателей, необходимых для достижения результатов предоставления субсидии, по форме, установленной соглашением.</w:t>
      </w:r>
    </w:p>
    <w:p>
      <w:pPr>
        <w:pStyle w:val="0"/>
        <w:spacing w:before="200" w:line-rule="auto"/>
        <w:ind w:firstLine="540"/>
        <w:jc w:val="both"/>
      </w:pPr>
      <w:r>
        <w:rPr>
          <w:sz w:val="20"/>
        </w:rPr>
        <w:t xml:space="preserve">Министерство вправе устанавливать в соглашении дополнительные формы представления получателем субсидии отчетности и сроки их представления, исходя из целей предоставления субсидии.</w:t>
      </w:r>
    </w:p>
    <w:p>
      <w:pPr>
        <w:pStyle w:val="0"/>
        <w:spacing w:before="200" w:line-rule="auto"/>
        <w:ind w:firstLine="540"/>
        <w:jc w:val="both"/>
      </w:pPr>
      <w:hyperlink w:history="0" w:anchor="P439" w:tooltip="РЕЗУЛЬТАТЫ">
        <w:r>
          <w:rPr>
            <w:sz w:val="20"/>
            <w:color w:val="0000ff"/>
          </w:rPr>
          <w:t xml:space="preserve">Результаты</w:t>
        </w:r>
      </w:hyperlink>
      <w:r>
        <w:rPr>
          <w:sz w:val="20"/>
        </w:rPr>
        <w:t xml:space="preserve"> предоставления субсидии и показатели, необходимые для достижения результатов предоставления субсидии, установлены в приложении N 3 к настоящему Порядку. Значения результатов предоставления субсидии устанавливаются в соглашении.</w:t>
      </w:r>
    </w:p>
    <w:p>
      <w:pPr>
        <w:pStyle w:val="0"/>
        <w:spacing w:before="200" w:line-rule="auto"/>
        <w:ind w:firstLine="540"/>
        <w:jc w:val="both"/>
      </w:pPr>
      <w:r>
        <w:rPr>
          <w:sz w:val="20"/>
        </w:rPr>
        <w:t xml:space="preserve">29. Министерство обеспечивает соблюдение получателем субсидии условий и порядка, установленных при предоставлении субсидии.</w:t>
      </w:r>
    </w:p>
    <w:p>
      <w:pPr>
        <w:pStyle w:val="0"/>
        <w:spacing w:before="200" w:line-rule="auto"/>
        <w:ind w:firstLine="540"/>
        <w:jc w:val="both"/>
      </w:pPr>
      <w:r>
        <w:rPr>
          <w:sz w:val="20"/>
        </w:rPr>
        <w:t xml:space="preserve">Министерство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в соответствии со </w:t>
      </w:r>
      <w:hyperlink w:history="0" r:id="rId19"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20"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30. Ответственность за соблюдение условий и порядка, установленных при предоставлении субсидии, целевое использование субсидии, достоверность представляемых документов несет получатель субсидии.</w:t>
      </w:r>
    </w:p>
    <w:p>
      <w:pPr>
        <w:pStyle w:val="0"/>
        <w:spacing w:before="200" w:line-rule="auto"/>
        <w:ind w:firstLine="540"/>
        <w:jc w:val="both"/>
      </w:pPr>
      <w:r>
        <w:rPr>
          <w:sz w:val="20"/>
        </w:rPr>
        <w:t xml:space="preserve">В случае установления фактов нарушения получателем субсидии условий и порядка предоставления субсидии, выявленных в том числе по результатам проверок, а также при недостижении результатов, значений и показателей, необходимых для достижения результатов предоставления субсидии, установленных соглашением (далее - нарушения), получатель субсидии обязан осуществить возврат субсидии в краевой бюджет на основании требования о возврате субсидии (далее - требование) в объеме выявленного нарушения либо в размере, определенном </w:t>
      </w:r>
      <w:hyperlink w:history="0" w:anchor="P198" w:tooltip="31. В случае недостижения получателем субсидии значений показателей, необходимых для достижения результатов предоставления субсидии, установленных соглашением, соответствующие средства подлежат возврату в краевой бюджет в размере, который рассчитывается по формуле:">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Требование направляется получателю субсидии министерством в пятидневный срок со дня выявления нарушения.</w:t>
      </w:r>
    </w:p>
    <w:p>
      <w:pPr>
        <w:pStyle w:val="0"/>
        <w:spacing w:before="200" w:line-rule="auto"/>
        <w:ind w:firstLine="540"/>
        <w:jc w:val="both"/>
      </w:pPr>
      <w:r>
        <w:rPr>
          <w:sz w:val="20"/>
        </w:rPr>
        <w:t xml:space="preserve">Возврат субсидии производится получателем субсидии в течение 10 рабочих дней со дня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При отказе получателя субсидии от возврата субсидии в краевой бюджет в добровольном порядке сумма субсидии взыскивается министерством в судебном порядке в соответствии с действующим законодательством.</w:t>
      </w:r>
    </w:p>
    <w:bookmarkStart w:id="198" w:name="P198"/>
    <w:bookmarkEnd w:id="198"/>
    <w:p>
      <w:pPr>
        <w:pStyle w:val="0"/>
        <w:spacing w:before="200" w:line-rule="auto"/>
        <w:ind w:firstLine="540"/>
        <w:jc w:val="both"/>
      </w:pPr>
      <w:r>
        <w:rPr>
          <w:sz w:val="20"/>
        </w:rPr>
        <w:t xml:space="preserve">31. В случае недостижения получателем субсидии значений показателей, необходимых для достижения результатов предоставления субсидии, установленных соглашением, соответствующие средства подлежат возврату в краевой бюджет в размере, который рассчитывается по формуле:</w:t>
      </w:r>
    </w:p>
    <w:p>
      <w:pPr>
        <w:pStyle w:val="0"/>
        <w:jc w:val="both"/>
      </w:pPr>
      <w:r>
        <w:rPr>
          <w:sz w:val="20"/>
        </w:rPr>
      </w:r>
    </w:p>
    <w:p>
      <w:pPr>
        <w:pStyle w:val="0"/>
        <w:ind w:firstLine="540"/>
        <w:jc w:val="both"/>
      </w:pPr>
      <w:r>
        <w:rPr>
          <w:sz w:val="20"/>
        </w:rPr>
        <w:t xml:space="preserve">V возврата = C x k, где:</w:t>
      </w:r>
    </w:p>
    <w:p>
      <w:pPr>
        <w:pStyle w:val="0"/>
        <w:jc w:val="both"/>
      </w:pPr>
      <w:r>
        <w:rPr>
          <w:sz w:val="20"/>
        </w:rPr>
      </w:r>
    </w:p>
    <w:p>
      <w:pPr>
        <w:pStyle w:val="0"/>
        <w:ind w:firstLine="540"/>
        <w:jc w:val="both"/>
      </w:pPr>
      <w:r>
        <w:rPr>
          <w:sz w:val="20"/>
        </w:rPr>
        <w:t xml:space="preserve">V возврата - объем средств, подлежащих возврату в краевой бюджет;</w:t>
      </w:r>
    </w:p>
    <w:p>
      <w:pPr>
        <w:pStyle w:val="0"/>
        <w:spacing w:before="200" w:line-rule="auto"/>
        <w:ind w:firstLine="540"/>
        <w:jc w:val="both"/>
      </w:pPr>
      <w:r>
        <w:rPr>
          <w:sz w:val="20"/>
        </w:rPr>
        <w:t xml:space="preserve">C - размер субсидии, предоставленный получателю субсидии;</w:t>
      </w:r>
    </w:p>
    <w:p>
      <w:pPr>
        <w:pStyle w:val="0"/>
        <w:spacing w:before="200" w:line-rule="auto"/>
        <w:ind w:firstLine="540"/>
        <w:jc w:val="both"/>
      </w:pPr>
      <w:r>
        <w:rPr>
          <w:sz w:val="20"/>
        </w:rPr>
        <w:t xml:space="preserve">k - коэффициент возврата субсидии, отражающий уровень недостижения значения показателя, необходимого для достижения результатов предоставления субсидии, рассчитывается по формуле:</w:t>
      </w:r>
    </w:p>
    <w:p>
      <w:pPr>
        <w:pStyle w:val="0"/>
        <w:jc w:val="both"/>
      </w:pPr>
      <w:r>
        <w:rPr>
          <w:sz w:val="20"/>
        </w:rPr>
      </w:r>
    </w:p>
    <w:p>
      <w:pPr>
        <w:pStyle w:val="0"/>
        <w:ind w:firstLine="540"/>
        <w:jc w:val="both"/>
      </w:pPr>
      <w:r>
        <w:rPr>
          <w:sz w:val="20"/>
        </w:rPr>
        <w:t xml:space="preserve">k = 1 - n / p, где:</w:t>
      </w:r>
    </w:p>
    <w:p>
      <w:pPr>
        <w:pStyle w:val="0"/>
        <w:jc w:val="both"/>
      </w:pPr>
      <w:r>
        <w:rPr>
          <w:sz w:val="20"/>
        </w:rPr>
      </w:r>
    </w:p>
    <w:p>
      <w:pPr>
        <w:pStyle w:val="0"/>
        <w:ind w:firstLine="540"/>
        <w:jc w:val="both"/>
      </w:pPr>
      <w:r>
        <w:rPr>
          <w:sz w:val="20"/>
        </w:rPr>
        <w:t xml:space="preserve">n - фактически достигнутое значение показателя, необходимого для достижения результатов предоставления субсидии;</w:t>
      </w:r>
    </w:p>
    <w:p>
      <w:pPr>
        <w:pStyle w:val="0"/>
        <w:spacing w:before="200" w:line-rule="auto"/>
        <w:ind w:firstLine="540"/>
        <w:jc w:val="both"/>
      </w:pPr>
      <w:r>
        <w:rPr>
          <w:sz w:val="20"/>
        </w:rPr>
        <w:t xml:space="preserve">p - плановое значение показателя, необходимого для достижения результатов предоставления субсидии, установленное соглашением.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в 2022 году субсидии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оказывающим услуги</w:t>
      </w:r>
    </w:p>
    <w:p>
      <w:pPr>
        <w:pStyle w:val="0"/>
        <w:jc w:val="right"/>
      </w:pPr>
      <w:r>
        <w:rPr>
          <w:sz w:val="20"/>
        </w:rPr>
        <w:t xml:space="preserve">по социальной адаптации</w:t>
      </w:r>
    </w:p>
    <w:p>
      <w:pPr>
        <w:pStyle w:val="0"/>
        <w:jc w:val="right"/>
      </w:pPr>
      <w:r>
        <w:rPr>
          <w:sz w:val="20"/>
        </w:rPr>
        <w:t xml:space="preserve">инвалидов и их семей,</w:t>
      </w:r>
    </w:p>
    <w:p>
      <w:pPr>
        <w:pStyle w:val="0"/>
        <w:jc w:val="right"/>
      </w:pPr>
      <w:r>
        <w:rPr>
          <w:sz w:val="20"/>
        </w:rPr>
        <w:t xml:space="preserve">в том числе профессиональной</w:t>
      </w:r>
    </w:p>
    <w:p>
      <w:pPr>
        <w:pStyle w:val="0"/>
        <w:jc w:val="right"/>
      </w:pPr>
      <w:r>
        <w:rPr>
          <w:sz w:val="20"/>
        </w:rPr>
        <w:t xml:space="preserve">ориентации, содействию</w:t>
      </w:r>
    </w:p>
    <w:p>
      <w:pPr>
        <w:pStyle w:val="0"/>
        <w:jc w:val="right"/>
      </w:pPr>
      <w:r>
        <w:rPr>
          <w:sz w:val="20"/>
        </w:rPr>
        <w:t xml:space="preserve">в трудоустройстве и</w:t>
      </w:r>
    </w:p>
    <w:p>
      <w:pPr>
        <w:pStyle w:val="0"/>
        <w:jc w:val="right"/>
      </w:pPr>
      <w:r>
        <w:rPr>
          <w:sz w:val="20"/>
        </w:rPr>
        <w:t xml:space="preserve">сопровождению при содействии</w:t>
      </w:r>
    </w:p>
    <w:p>
      <w:pPr>
        <w:pStyle w:val="0"/>
        <w:jc w:val="right"/>
      </w:pPr>
      <w:r>
        <w:rPr>
          <w:sz w:val="20"/>
        </w:rPr>
        <w:t xml:space="preserve">в трудоустройстве инвалидов</w:t>
      </w:r>
    </w:p>
    <w:p>
      <w:pPr>
        <w:pStyle w:val="0"/>
        <w:jc w:val="both"/>
      </w:pPr>
      <w:r>
        <w:rPr>
          <w:sz w:val="20"/>
        </w:rPr>
      </w:r>
    </w:p>
    <w:p>
      <w:pPr>
        <w:pStyle w:val="0"/>
        <w:jc w:val="right"/>
      </w:pPr>
      <w:r>
        <w:rPr>
          <w:sz w:val="20"/>
        </w:rPr>
        <w:t xml:space="preserve">Форма</w:t>
      </w:r>
    </w:p>
    <w:p>
      <w:pPr>
        <w:pStyle w:val="0"/>
        <w:jc w:val="both"/>
      </w:pPr>
      <w:r>
        <w:rPr>
          <w:sz w:val="20"/>
        </w:rPr>
      </w:r>
    </w:p>
    <w:bookmarkStart w:id="232" w:name="P232"/>
    <w:bookmarkEnd w:id="232"/>
    <w:p>
      <w:pPr>
        <w:pStyle w:val="0"/>
        <w:jc w:val="center"/>
      </w:pPr>
      <w:r>
        <w:rPr>
          <w:sz w:val="20"/>
        </w:rPr>
        <w:t xml:space="preserve">ЗАЯВКА</w:t>
      </w:r>
    </w:p>
    <w:p>
      <w:pPr>
        <w:pStyle w:val="0"/>
        <w:jc w:val="center"/>
      </w:pPr>
      <w:r>
        <w:rPr>
          <w:sz w:val="20"/>
        </w:rPr>
        <w:t xml:space="preserve">НА УЧАСТИЕ В КОНКУРСНОМ ОТБОРЕ НА ПРЕДОСТАВЛЕНИЕ СУБСИДИИ</w:t>
      </w:r>
    </w:p>
    <w:p>
      <w:pPr>
        <w:pStyle w:val="0"/>
        <w:jc w:val="center"/>
      </w:pPr>
      <w:r>
        <w:rPr>
          <w:sz w:val="20"/>
        </w:rPr>
        <w:t xml:space="preserve">СОЦИАЛЬНО ОРИЕНТИРОВАННОЙ НЕКОММЕРЧЕСКОЙ ОРГАНИЗАЦИИ</w:t>
      </w:r>
    </w:p>
    <w:p>
      <w:pPr>
        <w:pStyle w:val="0"/>
        <w:jc w:val="both"/>
      </w:pPr>
      <w:r>
        <w:rPr>
          <w:sz w:val="20"/>
        </w:rPr>
      </w:r>
    </w:p>
    <w:p>
      <w:pPr>
        <w:pStyle w:val="0"/>
        <w:outlineLvl w:val="2"/>
        <w:jc w:val="center"/>
      </w:pPr>
      <w:r>
        <w:rPr>
          <w:sz w:val="20"/>
        </w:rPr>
        <w:t xml:space="preserve">I. Информация о социально ориентированной</w:t>
      </w:r>
    </w:p>
    <w:p>
      <w:pPr>
        <w:pStyle w:val="0"/>
        <w:jc w:val="center"/>
      </w:pPr>
      <w:r>
        <w:rPr>
          <w:sz w:val="20"/>
        </w:rPr>
        <w:t xml:space="preserve">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5783"/>
        <w:gridCol w:w="2720"/>
      </w:tblGrid>
      <w:tr>
        <w:tc>
          <w:tcPr>
            <w:tcW w:w="566" w:type="dxa"/>
          </w:tcPr>
          <w:p>
            <w:pPr>
              <w:pStyle w:val="0"/>
            </w:pPr>
            <w:r>
              <w:rPr>
                <w:sz w:val="20"/>
              </w:rPr>
              <w:t xml:space="preserve">1.</w:t>
            </w:r>
          </w:p>
        </w:tc>
        <w:tc>
          <w:tcPr>
            <w:tcW w:w="5783" w:type="dxa"/>
          </w:tcPr>
          <w:p>
            <w:pPr>
              <w:pStyle w:val="0"/>
            </w:pPr>
            <w:r>
              <w:rPr>
                <w:sz w:val="20"/>
              </w:rPr>
              <w:t xml:space="preserve">Полное название социально ориентированной некоммерческой организации согласно свидетельству о государственной регистрации (далее - организация)</w:t>
            </w:r>
          </w:p>
        </w:tc>
        <w:tc>
          <w:tcPr>
            <w:tcW w:w="2720" w:type="dxa"/>
          </w:tcPr>
          <w:p>
            <w:pPr>
              <w:pStyle w:val="0"/>
            </w:pPr>
            <w:r>
              <w:rPr>
                <w:sz w:val="20"/>
              </w:rPr>
            </w:r>
          </w:p>
        </w:tc>
      </w:tr>
      <w:tr>
        <w:tc>
          <w:tcPr>
            <w:tcW w:w="566" w:type="dxa"/>
          </w:tcPr>
          <w:p>
            <w:pPr>
              <w:pStyle w:val="0"/>
            </w:pPr>
            <w:r>
              <w:rPr>
                <w:sz w:val="20"/>
              </w:rPr>
              <w:t xml:space="preserve">2.</w:t>
            </w:r>
          </w:p>
        </w:tc>
        <w:tc>
          <w:tcPr>
            <w:tcW w:w="5783" w:type="dxa"/>
          </w:tcPr>
          <w:p>
            <w:pPr>
              <w:pStyle w:val="0"/>
            </w:pPr>
            <w:r>
              <w:rPr>
                <w:sz w:val="20"/>
              </w:rPr>
              <w:t xml:space="preserve">Сокращенное название организации (при наличии)</w:t>
            </w:r>
          </w:p>
        </w:tc>
        <w:tc>
          <w:tcPr>
            <w:tcW w:w="2720" w:type="dxa"/>
          </w:tcPr>
          <w:p>
            <w:pPr>
              <w:pStyle w:val="0"/>
            </w:pPr>
            <w:r>
              <w:rPr>
                <w:sz w:val="20"/>
              </w:rPr>
            </w:r>
          </w:p>
        </w:tc>
      </w:tr>
      <w:tr>
        <w:tc>
          <w:tcPr>
            <w:tcW w:w="566" w:type="dxa"/>
          </w:tcPr>
          <w:p>
            <w:pPr>
              <w:pStyle w:val="0"/>
            </w:pPr>
            <w:r>
              <w:rPr>
                <w:sz w:val="20"/>
              </w:rPr>
              <w:t xml:space="preserve">3.</w:t>
            </w:r>
          </w:p>
        </w:tc>
        <w:tc>
          <w:tcPr>
            <w:tcW w:w="5783" w:type="dxa"/>
          </w:tcPr>
          <w:p>
            <w:pPr>
              <w:pStyle w:val="0"/>
            </w:pPr>
            <w:r>
              <w:rPr>
                <w:sz w:val="20"/>
              </w:rPr>
              <w:t xml:space="preserve">Дата создания организации (число, месяц, год)</w:t>
            </w:r>
          </w:p>
        </w:tc>
        <w:tc>
          <w:tcPr>
            <w:tcW w:w="2720" w:type="dxa"/>
          </w:tcPr>
          <w:p>
            <w:pPr>
              <w:pStyle w:val="0"/>
            </w:pPr>
            <w:r>
              <w:rPr>
                <w:sz w:val="20"/>
              </w:rPr>
            </w:r>
          </w:p>
        </w:tc>
      </w:tr>
      <w:tr>
        <w:tc>
          <w:tcPr>
            <w:tcW w:w="566" w:type="dxa"/>
          </w:tcPr>
          <w:p>
            <w:pPr>
              <w:pStyle w:val="0"/>
            </w:pPr>
            <w:r>
              <w:rPr>
                <w:sz w:val="20"/>
              </w:rPr>
              <w:t xml:space="preserve">4.</w:t>
            </w:r>
          </w:p>
        </w:tc>
        <w:tc>
          <w:tcPr>
            <w:tcW w:w="5783" w:type="dxa"/>
          </w:tcPr>
          <w:p>
            <w:pPr>
              <w:pStyle w:val="0"/>
            </w:pPr>
            <w:r>
              <w:rPr>
                <w:sz w:val="20"/>
              </w:rPr>
              <w:t xml:space="preserve">Юридический (фактический) адрес с указанием почтового индекса организации</w:t>
            </w:r>
          </w:p>
        </w:tc>
        <w:tc>
          <w:tcPr>
            <w:tcW w:w="2720" w:type="dxa"/>
          </w:tcPr>
          <w:p>
            <w:pPr>
              <w:pStyle w:val="0"/>
            </w:pPr>
            <w:r>
              <w:rPr>
                <w:sz w:val="20"/>
              </w:rPr>
            </w:r>
          </w:p>
        </w:tc>
      </w:tr>
      <w:tr>
        <w:tc>
          <w:tcPr>
            <w:tcW w:w="566" w:type="dxa"/>
          </w:tcPr>
          <w:p>
            <w:pPr>
              <w:pStyle w:val="0"/>
            </w:pPr>
            <w:r>
              <w:rPr>
                <w:sz w:val="20"/>
              </w:rPr>
              <w:t xml:space="preserve">5.</w:t>
            </w:r>
          </w:p>
        </w:tc>
        <w:tc>
          <w:tcPr>
            <w:tcW w:w="5783" w:type="dxa"/>
          </w:tcPr>
          <w:p>
            <w:pPr>
              <w:pStyle w:val="0"/>
            </w:pPr>
            <w:r>
              <w:rPr>
                <w:sz w:val="20"/>
              </w:rPr>
              <w:t xml:space="preserve">Телефон, факс, адрес электронной почты, сайт организации в информационно-телекоммуникационной сети Интернет (при наличии)</w:t>
            </w:r>
          </w:p>
        </w:tc>
        <w:tc>
          <w:tcPr>
            <w:tcW w:w="2720" w:type="dxa"/>
          </w:tcPr>
          <w:p>
            <w:pPr>
              <w:pStyle w:val="0"/>
            </w:pPr>
            <w:r>
              <w:rPr>
                <w:sz w:val="20"/>
              </w:rPr>
            </w:r>
          </w:p>
        </w:tc>
      </w:tr>
      <w:tr>
        <w:tc>
          <w:tcPr>
            <w:tcW w:w="566" w:type="dxa"/>
          </w:tcPr>
          <w:p>
            <w:pPr>
              <w:pStyle w:val="0"/>
            </w:pPr>
            <w:r>
              <w:rPr>
                <w:sz w:val="20"/>
              </w:rPr>
              <w:t xml:space="preserve">6.</w:t>
            </w:r>
          </w:p>
        </w:tc>
        <w:tc>
          <w:tcPr>
            <w:tcW w:w="5783" w:type="dxa"/>
          </w:tcPr>
          <w:p>
            <w:pPr>
              <w:pStyle w:val="0"/>
            </w:pPr>
            <w:r>
              <w:rPr>
                <w:sz w:val="20"/>
              </w:rPr>
              <w:t xml:space="preserve">Фамилия, имя, отчество (последнее - при наличии) и должность руководителя организации</w:t>
            </w:r>
          </w:p>
        </w:tc>
        <w:tc>
          <w:tcPr>
            <w:tcW w:w="2720" w:type="dxa"/>
          </w:tcPr>
          <w:p>
            <w:pPr>
              <w:pStyle w:val="0"/>
            </w:pPr>
            <w:r>
              <w:rPr>
                <w:sz w:val="20"/>
              </w:rPr>
            </w:r>
          </w:p>
        </w:tc>
      </w:tr>
      <w:tr>
        <w:tc>
          <w:tcPr>
            <w:tcW w:w="566" w:type="dxa"/>
          </w:tcPr>
          <w:p>
            <w:pPr>
              <w:pStyle w:val="0"/>
            </w:pPr>
            <w:r>
              <w:rPr>
                <w:sz w:val="20"/>
              </w:rPr>
              <w:t xml:space="preserve">7.</w:t>
            </w:r>
          </w:p>
        </w:tc>
        <w:tc>
          <w:tcPr>
            <w:tcW w:w="5783" w:type="dxa"/>
          </w:tcPr>
          <w:p>
            <w:pPr>
              <w:pStyle w:val="0"/>
            </w:pPr>
            <w:r>
              <w:rPr>
                <w:sz w:val="20"/>
              </w:rPr>
              <w:t xml:space="preserve">Основной государственный регистрационный номер (ОГРН) организации</w:t>
            </w:r>
          </w:p>
        </w:tc>
        <w:tc>
          <w:tcPr>
            <w:tcW w:w="2720" w:type="dxa"/>
          </w:tcPr>
          <w:p>
            <w:pPr>
              <w:pStyle w:val="0"/>
            </w:pPr>
            <w:r>
              <w:rPr>
                <w:sz w:val="20"/>
              </w:rPr>
            </w:r>
          </w:p>
        </w:tc>
      </w:tr>
      <w:tr>
        <w:tc>
          <w:tcPr>
            <w:tcW w:w="566" w:type="dxa"/>
          </w:tcPr>
          <w:p>
            <w:pPr>
              <w:pStyle w:val="0"/>
            </w:pPr>
            <w:r>
              <w:rPr>
                <w:sz w:val="20"/>
              </w:rPr>
              <w:t xml:space="preserve">8.</w:t>
            </w:r>
          </w:p>
        </w:tc>
        <w:tc>
          <w:tcPr>
            <w:tcW w:w="5783" w:type="dxa"/>
          </w:tcPr>
          <w:p>
            <w:pPr>
              <w:pStyle w:val="0"/>
            </w:pPr>
            <w:r>
              <w:rPr>
                <w:sz w:val="20"/>
              </w:rPr>
              <w:t xml:space="preserve">Общая сумма денежных средств, полученных организацией в предыдущем году, тыс. рублей в том числе:</w:t>
            </w:r>
          </w:p>
        </w:tc>
        <w:tc>
          <w:tcPr>
            <w:tcW w:w="2720" w:type="dxa"/>
          </w:tcPr>
          <w:p>
            <w:pPr>
              <w:pStyle w:val="0"/>
            </w:pPr>
            <w:r>
              <w:rPr>
                <w:sz w:val="20"/>
              </w:rPr>
            </w:r>
          </w:p>
        </w:tc>
      </w:tr>
      <w:tr>
        <w:tc>
          <w:tcPr>
            <w:tcW w:w="566" w:type="dxa"/>
          </w:tcPr>
          <w:p>
            <w:pPr>
              <w:pStyle w:val="0"/>
            </w:pPr>
            <w:r>
              <w:rPr>
                <w:sz w:val="20"/>
              </w:rPr>
              <w:t xml:space="preserve">8.1.</w:t>
            </w:r>
          </w:p>
        </w:tc>
        <w:tc>
          <w:tcPr>
            <w:tcW w:w="5783" w:type="dxa"/>
          </w:tcPr>
          <w:p>
            <w:pPr>
              <w:pStyle w:val="0"/>
            </w:pPr>
            <w:r>
              <w:rPr>
                <w:sz w:val="20"/>
              </w:rPr>
              <w:t xml:space="preserve">Взносы учредителей и (или) участников, членов тыс. рублей (за год)</w:t>
            </w:r>
          </w:p>
        </w:tc>
        <w:tc>
          <w:tcPr>
            <w:tcW w:w="2720" w:type="dxa"/>
          </w:tcPr>
          <w:p>
            <w:pPr>
              <w:pStyle w:val="0"/>
            </w:pPr>
            <w:r>
              <w:rPr>
                <w:sz w:val="20"/>
              </w:rPr>
            </w:r>
          </w:p>
        </w:tc>
      </w:tr>
      <w:tr>
        <w:tc>
          <w:tcPr>
            <w:tcW w:w="566" w:type="dxa"/>
          </w:tcPr>
          <w:p>
            <w:pPr>
              <w:pStyle w:val="0"/>
            </w:pPr>
            <w:r>
              <w:rPr>
                <w:sz w:val="20"/>
              </w:rPr>
              <w:t xml:space="preserve">8.2</w:t>
            </w:r>
          </w:p>
        </w:tc>
        <w:tc>
          <w:tcPr>
            <w:tcW w:w="5783" w:type="dxa"/>
          </w:tcPr>
          <w:p>
            <w:pPr>
              <w:pStyle w:val="0"/>
            </w:pPr>
            <w:r>
              <w:rPr>
                <w:sz w:val="20"/>
              </w:rPr>
              <w:t xml:space="preserve">Гранты и пожертвования юридических лиц, тыс. рублей</w:t>
            </w:r>
          </w:p>
        </w:tc>
        <w:tc>
          <w:tcPr>
            <w:tcW w:w="2720" w:type="dxa"/>
          </w:tcPr>
          <w:p>
            <w:pPr>
              <w:pStyle w:val="0"/>
            </w:pPr>
            <w:r>
              <w:rPr>
                <w:sz w:val="20"/>
              </w:rPr>
            </w:r>
          </w:p>
        </w:tc>
      </w:tr>
      <w:tr>
        <w:tc>
          <w:tcPr>
            <w:tcW w:w="566" w:type="dxa"/>
          </w:tcPr>
          <w:p>
            <w:pPr>
              <w:pStyle w:val="0"/>
            </w:pPr>
            <w:r>
              <w:rPr>
                <w:sz w:val="20"/>
              </w:rPr>
              <w:t xml:space="preserve">8.3</w:t>
            </w:r>
          </w:p>
        </w:tc>
        <w:tc>
          <w:tcPr>
            <w:tcW w:w="5783" w:type="dxa"/>
          </w:tcPr>
          <w:p>
            <w:pPr>
              <w:pStyle w:val="0"/>
            </w:pPr>
            <w:r>
              <w:rPr>
                <w:sz w:val="20"/>
              </w:rPr>
              <w:t xml:space="preserve">Пожертвования физических лиц, тыс. рублей</w:t>
            </w:r>
          </w:p>
        </w:tc>
        <w:tc>
          <w:tcPr>
            <w:tcW w:w="2720" w:type="dxa"/>
          </w:tcPr>
          <w:p>
            <w:pPr>
              <w:pStyle w:val="0"/>
            </w:pPr>
            <w:r>
              <w:rPr>
                <w:sz w:val="20"/>
              </w:rPr>
            </w:r>
          </w:p>
        </w:tc>
      </w:tr>
      <w:tr>
        <w:tc>
          <w:tcPr>
            <w:tcW w:w="566" w:type="dxa"/>
          </w:tcPr>
          <w:p>
            <w:pPr>
              <w:pStyle w:val="0"/>
            </w:pPr>
            <w:r>
              <w:rPr>
                <w:sz w:val="20"/>
              </w:rPr>
              <w:t xml:space="preserve">8.4</w:t>
            </w:r>
          </w:p>
        </w:tc>
        <w:tc>
          <w:tcPr>
            <w:tcW w:w="5783" w:type="dxa"/>
          </w:tcPr>
          <w:p>
            <w:pPr>
              <w:pStyle w:val="0"/>
            </w:pPr>
            <w:r>
              <w:rPr>
                <w:sz w:val="20"/>
              </w:rPr>
              <w:t xml:space="preserve">Средства, предоставленные из федерального бюджета, тыс. рублей</w:t>
            </w:r>
          </w:p>
        </w:tc>
        <w:tc>
          <w:tcPr>
            <w:tcW w:w="2720" w:type="dxa"/>
          </w:tcPr>
          <w:p>
            <w:pPr>
              <w:pStyle w:val="0"/>
            </w:pPr>
            <w:r>
              <w:rPr>
                <w:sz w:val="20"/>
              </w:rPr>
            </w:r>
          </w:p>
        </w:tc>
      </w:tr>
      <w:tr>
        <w:tc>
          <w:tcPr>
            <w:tcW w:w="566" w:type="dxa"/>
          </w:tcPr>
          <w:p>
            <w:pPr>
              <w:pStyle w:val="0"/>
            </w:pPr>
            <w:r>
              <w:rPr>
                <w:sz w:val="20"/>
              </w:rPr>
              <w:t xml:space="preserve">8.5</w:t>
            </w:r>
          </w:p>
        </w:tc>
        <w:tc>
          <w:tcPr>
            <w:tcW w:w="5783" w:type="dxa"/>
          </w:tcPr>
          <w:p>
            <w:pPr>
              <w:pStyle w:val="0"/>
            </w:pPr>
            <w:r>
              <w:rPr>
                <w:sz w:val="20"/>
              </w:rPr>
              <w:t xml:space="preserve">Средства, предоставленные из краевого бюджета, тыс. рублей</w:t>
            </w:r>
          </w:p>
        </w:tc>
        <w:tc>
          <w:tcPr>
            <w:tcW w:w="2720" w:type="dxa"/>
          </w:tcPr>
          <w:p>
            <w:pPr>
              <w:pStyle w:val="0"/>
            </w:pPr>
            <w:r>
              <w:rPr>
                <w:sz w:val="20"/>
              </w:rPr>
            </w:r>
          </w:p>
        </w:tc>
      </w:tr>
      <w:tr>
        <w:tc>
          <w:tcPr>
            <w:tcW w:w="566" w:type="dxa"/>
          </w:tcPr>
          <w:p>
            <w:pPr>
              <w:pStyle w:val="0"/>
            </w:pPr>
            <w:r>
              <w:rPr>
                <w:sz w:val="20"/>
              </w:rPr>
              <w:t xml:space="preserve">8.6</w:t>
            </w:r>
          </w:p>
        </w:tc>
        <w:tc>
          <w:tcPr>
            <w:tcW w:w="5783" w:type="dxa"/>
          </w:tcPr>
          <w:p>
            <w:pPr>
              <w:pStyle w:val="0"/>
            </w:pPr>
            <w:r>
              <w:rPr>
                <w:sz w:val="20"/>
              </w:rPr>
              <w:t xml:space="preserve">Доход от целевого капитала, тыс. рублей</w:t>
            </w:r>
          </w:p>
        </w:tc>
        <w:tc>
          <w:tcPr>
            <w:tcW w:w="2720" w:type="dxa"/>
          </w:tcPr>
          <w:p>
            <w:pPr>
              <w:pStyle w:val="0"/>
            </w:pPr>
            <w:r>
              <w:rPr>
                <w:sz w:val="20"/>
              </w:rPr>
            </w:r>
          </w:p>
        </w:tc>
      </w:tr>
      <w:tr>
        <w:tc>
          <w:tcPr>
            <w:tcW w:w="566" w:type="dxa"/>
          </w:tcPr>
          <w:p>
            <w:pPr>
              <w:pStyle w:val="0"/>
            </w:pPr>
            <w:r>
              <w:rPr>
                <w:sz w:val="20"/>
              </w:rPr>
              <w:t xml:space="preserve">9.</w:t>
            </w:r>
          </w:p>
        </w:tc>
        <w:tc>
          <w:tcPr>
            <w:tcW w:w="5783" w:type="dxa"/>
          </w:tcPr>
          <w:p>
            <w:pPr>
              <w:pStyle w:val="0"/>
            </w:pPr>
            <w:r>
              <w:rPr>
                <w:sz w:val="20"/>
              </w:rPr>
              <w:t xml:space="preserve">Фамилия, имя, отчество (последнее - при наличии), телефон, адрес электронной почты руководителя (координатора) проекта</w:t>
            </w:r>
          </w:p>
        </w:tc>
        <w:tc>
          <w:tcPr>
            <w:tcW w:w="2720" w:type="dxa"/>
          </w:tcPr>
          <w:p>
            <w:pPr>
              <w:pStyle w:val="0"/>
            </w:pPr>
            <w:r>
              <w:rPr>
                <w:sz w:val="20"/>
              </w:rPr>
            </w:r>
          </w:p>
        </w:tc>
      </w:tr>
      <w:tr>
        <w:tc>
          <w:tcPr>
            <w:tcW w:w="566" w:type="dxa"/>
          </w:tcPr>
          <w:p>
            <w:pPr>
              <w:pStyle w:val="0"/>
            </w:pPr>
            <w:r>
              <w:rPr>
                <w:sz w:val="20"/>
              </w:rPr>
              <w:t xml:space="preserve">10.</w:t>
            </w:r>
          </w:p>
        </w:tc>
        <w:tc>
          <w:tcPr>
            <w:tcW w:w="5783" w:type="dxa"/>
          </w:tcPr>
          <w:p>
            <w:pPr>
              <w:pStyle w:val="0"/>
            </w:pPr>
            <w:r>
              <w:rPr>
                <w:sz w:val="20"/>
              </w:rPr>
              <w:t xml:space="preserve">Реквизиты организации (ИНН, наименование учреждения банка, местонахождение банка, ИНН/КПП организации, расчетный счет, корреспондентский счет, БИК)</w:t>
            </w:r>
          </w:p>
        </w:tc>
        <w:tc>
          <w:tcPr>
            <w:tcW w:w="2720" w:type="dxa"/>
          </w:tcPr>
          <w:p>
            <w:pPr>
              <w:pStyle w:val="0"/>
            </w:pPr>
            <w:r>
              <w:rPr>
                <w:sz w:val="20"/>
              </w:rPr>
            </w:r>
          </w:p>
        </w:tc>
      </w:tr>
    </w:tbl>
    <w:p>
      <w:pPr>
        <w:pStyle w:val="0"/>
        <w:jc w:val="both"/>
      </w:pPr>
      <w:r>
        <w:rPr>
          <w:sz w:val="20"/>
        </w:rPr>
      </w:r>
    </w:p>
    <w:p>
      <w:pPr>
        <w:pStyle w:val="0"/>
        <w:outlineLvl w:val="2"/>
        <w:jc w:val="center"/>
      </w:pPr>
      <w:r>
        <w:rPr>
          <w:sz w:val="20"/>
        </w:rPr>
        <w:t xml:space="preserve">II. Информация о деятельности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5783"/>
        <w:gridCol w:w="2720"/>
      </w:tblGrid>
      <w:tr>
        <w:tc>
          <w:tcPr>
            <w:tcW w:w="566" w:type="dxa"/>
          </w:tcPr>
          <w:p>
            <w:pPr>
              <w:pStyle w:val="0"/>
            </w:pPr>
            <w:r>
              <w:rPr>
                <w:sz w:val="20"/>
              </w:rPr>
              <w:t xml:space="preserve">1.</w:t>
            </w:r>
          </w:p>
        </w:tc>
        <w:tc>
          <w:tcPr>
            <w:tcW w:w="5783" w:type="dxa"/>
          </w:tcPr>
          <w:p>
            <w:pPr>
              <w:pStyle w:val="0"/>
            </w:pPr>
            <w:r>
              <w:rPr>
                <w:sz w:val="20"/>
              </w:rPr>
              <w:t xml:space="preserve">Основные сферы деятельности организации</w:t>
            </w:r>
          </w:p>
        </w:tc>
        <w:tc>
          <w:tcPr>
            <w:tcW w:w="2720" w:type="dxa"/>
          </w:tcPr>
          <w:p>
            <w:pPr>
              <w:pStyle w:val="0"/>
            </w:pPr>
            <w:r>
              <w:rPr>
                <w:sz w:val="20"/>
              </w:rPr>
            </w:r>
          </w:p>
        </w:tc>
      </w:tr>
      <w:tr>
        <w:tc>
          <w:tcPr>
            <w:tcW w:w="566" w:type="dxa"/>
          </w:tcPr>
          <w:p>
            <w:pPr>
              <w:pStyle w:val="0"/>
            </w:pPr>
            <w:r>
              <w:rPr>
                <w:sz w:val="20"/>
              </w:rPr>
              <w:t xml:space="preserve">2.</w:t>
            </w:r>
          </w:p>
        </w:tc>
        <w:tc>
          <w:tcPr>
            <w:tcW w:w="5783" w:type="dxa"/>
          </w:tcPr>
          <w:p>
            <w:pPr>
              <w:pStyle w:val="0"/>
            </w:pPr>
            <w:r>
              <w:rPr>
                <w:sz w:val="20"/>
              </w:rPr>
              <w:t xml:space="preserve">Основные виды деятельности организации с код(ами) по общероссийскому классификатору внешнеэкономической деятельности </w:t>
            </w:r>
            <w:hyperlink w:history="0" r:id="rId2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r>
              <w:rPr>
                <w:sz w:val="20"/>
              </w:rPr>
              <w:t xml:space="preserve"> (не более пяти)</w:t>
            </w:r>
          </w:p>
        </w:tc>
        <w:tc>
          <w:tcPr>
            <w:tcW w:w="2720" w:type="dxa"/>
          </w:tcPr>
          <w:p>
            <w:pPr>
              <w:pStyle w:val="0"/>
            </w:pPr>
            <w:r>
              <w:rPr>
                <w:sz w:val="20"/>
              </w:rPr>
            </w:r>
          </w:p>
        </w:tc>
      </w:tr>
      <w:tr>
        <w:tc>
          <w:tcPr>
            <w:tcW w:w="566" w:type="dxa"/>
          </w:tcPr>
          <w:p>
            <w:pPr>
              <w:pStyle w:val="0"/>
            </w:pPr>
            <w:r>
              <w:rPr>
                <w:sz w:val="20"/>
              </w:rPr>
              <w:t xml:space="preserve">3.</w:t>
            </w:r>
          </w:p>
        </w:tc>
        <w:tc>
          <w:tcPr>
            <w:tcW w:w="5783" w:type="dxa"/>
          </w:tcPr>
          <w:p>
            <w:pPr>
              <w:pStyle w:val="0"/>
            </w:pPr>
            <w:r>
              <w:rPr>
                <w:sz w:val="20"/>
              </w:rPr>
              <w:t xml:space="preserve">Количество членов организации (данные приводятся по состоянию за предыдущий год)</w:t>
            </w:r>
          </w:p>
        </w:tc>
        <w:tc>
          <w:tcPr>
            <w:tcW w:w="2720" w:type="dxa"/>
          </w:tcPr>
          <w:p>
            <w:pPr>
              <w:pStyle w:val="0"/>
            </w:pPr>
            <w:r>
              <w:rPr>
                <w:sz w:val="20"/>
              </w:rPr>
            </w:r>
          </w:p>
        </w:tc>
      </w:tr>
      <w:tr>
        <w:tc>
          <w:tcPr>
            <w:tcW w:w="566" w:type="dxa"/>
          </w:tcPr>
          <w:p>
            <w:pPr>
              <w:pStyle w:val="0"/>
            </w:pPr>
            <w:r>
              <w:rPr>
                <w:sz w:val="20"/>
              </w:rPr>
              <w:t xml:space="preserve">4.</w:t>
            </w:r>
          </w:p>
        </w:tc>
        <w:tc>
          <w:tcPr>
            <w:tcW w:w="5783" w:type="dxa"/>
          </w:tcPr>
          <w:p>
            <w:pPr>
              <w:pStyle w:val="0"/>
            </w:pPr>
            <w:r>
              <w:rPr>
                <w:sz w:val="20"/>
              </w:rPr>
              <w:t xml:space="preserve">Количество специалистов (данные приводятся по состоянию за предыдущий год)</w:t>
            </w:r>
          </w:p>
        </w:tc>
        <w:tc>
          <w:tcPr>
            <w:tcW w:w="2720" w:type="dxa"/>
          </w:tcPr>
          <w:p>
            <w:pPr>
              <w:pStyle w:val="0"/>
            </w:pPr>
            <w:r>
              <w:rPr>
                <w:sz w:val="20"/>
              </w:rPr>
            </w:r>
          </w:p>
        </w:tc>
      </w:tr>
      <w:tr>
        <w:tc>
          <w:tcPr>
            <w:tcW w:w="566" w:type="dxa"/>
          </w:tcPr>
          <w:p>
            <w:pPr>
              <w:pStyle w:val="0"/>
            </w:pPr>
            <w:r>
              <w:rPr>
                <w:sz w:val="20"/>
              </w:rPr>
              <w:t xml:space="preserve">5.</w:t>
            </w:r>
          </w:p>
        </w:tc>
        <w:tc>
          <w:tcPr>
            <w:tcW w:w="5783" w:type="dxa"/>
          </w:tcPr>
          <w:p>
            <w:pPr>
              <w:pStyle w:val="0"/>
            </w:pPr>
            <w:r>
              <w:rPr>
                <w:sz w:val="20"/>
              </w:rPr>
              <w:t xml:space="preserve">Количество волонтеров организации (при наличии, данные приводятся по состоянию за предыдущий год)</w:t>
            </w:r>
          </w:p>
        </w:tc>
        <w:tc>
          <w:tcPr>
            <w:tcW w:w="2720" w:type="dxa"/>
          </w:tcPr>
          <w:p>
            <w:pPr>
              <w:pStyle w:val="0"/>
            </w:pPr>
            <w:r>
              <w:rPr>
                <w:sz w:val="20"/>
              </w:rPr>
            </w:r>
          </w:p>
        </w:tc>
      </w:tr>
      <w:tr>
        <w:tc>
          <w:tcPr>
            <w:tcW w:w="566" w:type="dxa"/>
          </w:tcPr>
          <w:p>
            <w:pPr>
              <w:pStyle w:val="0"/>
            </w:pPr>
            <w:r>
              <w:rPr>
                <w:sz w:val="20"/>
              </w:rPr>
              <w:t xml:space="preserve">6.</w:t>
            </w:r>
          </w:p>
        </w:tc>
        <w:tc>
          <w:tcPr>
            <w:tcW w:w="5783" w:type="dxa"/>
          </w:tcPr>
          <w:p>
            <w:pPr>
              <w:pStyle w:val="0"/>
            </w:pPr>
            <w:r>
              <w:rPr>
                <w:sz w:val="20"/>
              </w:rPr>
              <w:t xml:space="preserve">Наличие у организации статуса некоммерческой организации - исполнителя общественно полезных услуг</w:t>
            </w:r>
          </w:p>
        </w:tc>
        <w:tc>
          <w:tcPr>
            <w:tcW w:w="2720" w:type="dxa"/>
          </w:tcPr>
          <w:p>
            <w:pPr>
              <w:pStyle w:val="0"/>
            </w:pPr>
            <w:r>
              <w:rPr>
                <w:sz w:val="20"/>
              </w:rPr>
            </w:r>
          </w:p>
        </w:tc>
      </w:tr>
      <w:tr>
        <w:tc>
          <w:tcPr>
            <w:tcW w:w="566" w:type="dxa"/>
          </w:tcPr>
          <w:p>
            <w:pPr>
              <w:pStyle w:val="0"/>
            </w:pPr>
            <w:r>
              <w:rPr>
                <w:sz w:val="20"/>
              </w:rPr>
              <w:t xml:space="preserve">7.</w:t>
            </w:r>
          </w:p>
        </w:tc>
        <w:tc>
          <w:tcPr>
            <w:tcW w:w="5783" w:type="dxa"/>
          </w:tcPr>
          <w:p>
            <w:pPr>
              <w:pStyle w:val="0"/>
            </w:pPr>
            <w:r>
              <w:rPr>
                <w:sz w:val="20"/>
              </w:rPr>
              <w:t xml:space="preserve">Наличие у организации заключения о соответствии качества оказываемых организацией общественно полезных услуг критериям оценки качества оказания общественно полезных услуг, утвержденным </w:t>
            </w:r>
            <w:hyperlink w:history="0" r:id="rId2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w:t>
            </w:r>
          </w:p>
        </w:tc>
        <w:tc>
          <w:tcPr>
            <w:tcW w:w="2720" w:type="dxa"/>
          </w:tcPr>
          <w:p>
            <w:pPr>
              <w:pStyle w:val="0"/>
            </w:pPr>
            <w:r>
              <w:rPr>
                <w:sz w:val="20"/>
              </w:rPr>
            </w:r>
          </w:p>
        </w:tc>
      </w:tr>
      <w:tr>
        <w:tc>
          <w:tcPr>
            <w:tcW w:w="566" w:type="dxa"/>
          </w:tcPr>
          <w:p>
            <w:pPr>
              <w:pStyle w:val="0"/>
            </w:pPr>
            <w:r>
              <w:rPr>
                <w:sz w:val="20"/>
              </w:rPr>
              <w:t xml:space="preserve">8.</w:t>
            </w:r>
          </w:p>
        </w:tc>
        <w:tc>
          <w:tcPr>
            <w:tcW w:w="5783" w:type="dxa"/>
          </w:tcPr>
          <w:p>
            <w:pPr>
              <w:pStyle w:val="0"/>
            </w:pPr>
            <w:r>
              <w:rPr>
                <w:sz w:val="20"/>
              </w:rPr>
              <w:t xml:space="preserve">Основные реализованные программы и проекты за последние 2 года (перечислить с указанием периода выполнения проекта, названия проекта, суммы проекта, источника финансирования, достигнутых результатов)</w:t>
            </w:r>
          </w:p>
        </w:tc>
        <w:tc>
          <w:tcPr>
            <w:tcW w:w="2720" w:type="dxa"/>
          </w:tcPr>
          <w:p>
            <w:pPr>
              <w:pStyle w:val="0"/>
            </w:pPr>
            <w:r>
              <w:rPr>
                <w:sz w:val="20"/>
              </w:rPr>
            </w:r>
          </w:p>
        </w:tc>
      </w:tr>
      <w:tr>
        <w:tc>
          <w:tcPr>
            <w:tcW w:w="566" w:type="dxa"/>
          </w:tcPr>
          <w:p>
            <w:pPr>
              <w:pStyle w:val="0"/>
            </w:pPr>
            <w:r>
              <w:rPr>
                <w:sz w:val="20"/>
              </w:rPr>
              <w:t xml:space="preserve">9.</w:t>
            </w:r>
          </w:p>
        </w:tc>
        <w:tc>
          <w:tcPr>
            <w:tcW w:w="5783" w:type="dxa"/>
          </w:tcPr>
          <w:p>
            <w:pPr>
              <w:pStyle w:val="0"/>
            </w:pPr>
            <w:r>
              <w:rPr>
                <w:sz w:val="20"/>
              </w:rPr>
              <w:t xml:space="preserve">Имеющиеся кадровые, материально-технические и информационные ресурсы (краткое описание с количественными показателями: помещение, оборудование, уровень квалификации кадров)</w:t>
            </w:r>
          </w:p>
        </w:tc>
        <w:tc>
          <w:tcPr>
            <w:tcW w:w="2720" w:type="dxa"/>
          </w:tcPr>
          <w:p>
            <w:pPr>
              <w:pStyle w:val="0"/>
            </w:pPr>
            <w:r>
              <w:rPr>
                <w:sz w:val="20"/>
              </w:rPr>
            </w:r>
          </w:p>
        </w:tc>
      </w:tr>
    </w:tbl>
    <w:p>
      <w:pPr>
        <w:pStyle w:val="0"/>
        <w:jc w:val="both"/>
      </w:pPr>
      <w:r>
        <w:rPr>
          <w:sz w:val="20"/>
        </w:rPr>
      </w:r>
    </w:p>
    <w:p>
      <w:pPr>
        <w:pStyle w:val="0"/>
        <w:outlineLvl w:val="2"/>
        <w:jc w:val="center"/>
      </w:pPr>
      <w:r>
        <w:rPr>
          <w:sz w:val="20"/>
        </w:rPr>
        <w:t xml:space="preserve">III. Информация об оказываемых социальных услугах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5783"/>
        <w:gridCol w:w="2720"/>
      </w:tblGrid>
      <w:tr>
        <w:tc>
          <w:tcPr>
            <w:tcW w:w="566" w:type="dxa"/>
          </w:tcPr>
          <w:p>
            <w:pPr>
              <w:pStyle w:val="0"/>
            </w:pPr>
            <w:r>
              <w:rPr>
                <w:sz w:val="20"/>
              </w:rPr>
              <w:t xml:space="preserve">1.</w:t>
            </w:r>
          </w:p>
        </w:tc>
        <w:tc>
          <w:tcPr>
            <w:tcW w:w="5783" w:type="dxa"/>
          </w:tcPr>
          <w:p>
            <w:pPr>
              <w:pStyle w:val="0"/>
            </w:pPr>
            <w:r>
              <w:rPr>
                <w:sz w:val="20"/>
              </w:rPr>
              <w:t xml:space="preserve">Форма предоставления социального обслуживания (стационарная, полустационарная, на дому, срочные услуги)</w:t>
            </w:r>
          </w:p>
        </w:tc>
        <w:tc>
          <w:tcPr>
            <w:tcW w:w="2720" w:type="dxa"/>
          </w:tcPr>
          <w:p>
            <w:pPr>
              <w:pStyle w:val="0"/>
            </w:pPr>
            <w:r>
              <w:rPr>
                <w:sz w:val="20"/>
              </w:rPr>
            </w:r>
          </w:p>
        </w:tc>
      </w:tr>
      <w:tr>
        <w:tc>
          <w:tcPr>
            <w:tcW w:w="566" w:type="dxa"/>
          </w:tcPr>
          <w:p>
            <w:pPr>
              <w:pStyle w:val="0"/>
            </w:pPr>
            <w:r>
              <w:rPr>
                <w:sz w:val="20"/>
              </w:rPr>
              <w:t xml:space="preserve">2.</w:t>
            </w:r>
          </w:p>
        </w:tc>
        <w:tc>
          <w:tcPr>
            <w:tcW w:w="5783" w:type="dxa"/>
          </w:tcPr>
          <w:p>
            <w:pPr>
              <w:pStyle w:val="0"/>
            </w:pPr>
            <w:r>
              <w:rPr>
                <w:sz w:val="20"/>
              </w:rPr>
              <w:t xml:space="preserve">Наименование предоставляемых социальных услуг</w:t>
            </w:r>
          </w:p>
        </w:tc>
        <w:tc>
          <w:tcPr>
            <w:tcW w:w="2720" w:type="dxa"/>
          </w:tcPr>
          <w:p>
            <w:pPr>
              <w:pStyle w:val="0"/>
            </w:pPr>
            <w:r>
              <w:rPr>
                <w:sz w:val="20"/>
              </w:rPr>
            </w:r>
          </w:p>
        </w:tc>
      </w:tr>
      <w:tr>
        <w:tc>
          <w:tcPr>
            <w:tcW w:w="566" w:type="dxa"/>
          </w:tcPr>
          <w:p>
            <w:pPr>
              <w:pStyle w:val="0"/>
            </w:pPr>
            <w:r>
              <w:rPr>
                <w:sz w:val="20"/>
              </w:rPr>
              <w:t xml:space="preserve">3.</w:t>
            </w:r>
          </w:p>
        </w:tc>
        <w:tc>
          <w:tcPr>
            <w:tcW w:w="5783" w:type="dxa"/>
          </w:tcPr>
          <w:p>
            <w:pPr>
              <w:pStyle w:val="0"/>
            </w:pPr>
            <w:r>
              <w:rPr>
                <w:sz w:val="20"/>
              </w:rPr>
              <w:t xml:space="preserve">Характеристика получателей социальных услуг</w:t>
            </w:r>
          </w:p>
        </w:tc>
        <w:tc>
          <w:tcPr>
            <w:tcW w:w="2720" w:type="dxa"/>
          </w:tcPr>
          <w:p>
            <w:pPr>
              <w:pStyle w:val="0"/>
            </w:pPr>
            <w:r>
              <w:rPr>
                <w:sz w:val="20"/>
              </w:rPr>
            </w:r>
          </w:p>
        </w:tc>
      </w:tr>
      <w:tr>
        <w:tc>
          <w:tcPr>
            <w:tcW w:w="566" w:type="dxa"/>
          </w:tcPr>
          <w:p>
            <w:pPr>
              <w:pStyle w:val="0"/>
            </w:pPr>
            <w:r>
              <w:rPr>
                <w:sz w:val="20"/>
              </w:rPr>
              <w:t xml:space="preserve">4.</w:t>
            </w:r>
          </w:p>
        </w:tc>
        <w:tc>
          <w:tcPr>
            <w:tcW w:w="5783" w:type="dxa"/>
          </w:tcPr>
          <w:p>
            <w:pPr>
              <w:pStyle w:val="0"/>
            </w:pPr>
            <w:r>
              <w:rPr>
                <w:sz w:val="20"/>
              </w:rPr>
              <w:t xml:space="preserve">Количество получателей социальных услуг по состоянию на дату подачи заявки</w:t>
            </w:r>
          </w:p>
        </w:tc>
        <w:tc>
          <w:tcPr>
            <w:tcW w:w="2720" w:type="dxa"/>
          </w:tcPr>
          <w:p>
            <w:pPr>
              <w:pStyle w:val="0"/>
            </w:pPr>
            <w:r>
              <w:rPr>
                <w:sz w:val="20"/>
              </w:rPr>
            </w:r>
          </w:p>
        </w:tc>
      </w:tr>
      <w:tr>
        <w:tc>
          <w:tcPr>
            <w:tcW w:w="566" w:type="dxa"/>
          </w:tcPr>
          <w:p>
            <w:pPr>
              <w:pStyle w:val="0"/>
            </w:pPr>
            <w:r>
              <w:rPr>
                <w:sz w:val="20"/>
              </w:rPr>
              <w:t xml:space="preserve">5.</w:t>
            </w:r>
          </w:p>
        </w:tc>
        <w:tc>
          <w:tcPr>
            <w:tcW w:w="5783" w:type="dxa"/>
          </w:tcPr>
          <w:p>
            <w:pPr>
              <w:pStyle w:val="0"/>
            </w:pPr>
            <w:r>
              <w:rPr>
                <w:sz w:val="20"/>
              </w:rPr>
              <w:t xml:space="preserve">Информация о планируемом увеличении количества получателей социальных услуг (сколько человек)</w:t>
            </w:r>
          </w:p>
        </w:tc>
        <w:tc>
          <w:tcPr>
            <w:tcW w:w="2720" w:type="dxa"/>
          </w:tcPr>
          <w:p>
            <w:pPr>
              <w:pStyle w:val="0"/>
            </w:pPr>
            <w:r>
              <w:rPr>
                <w:sz w:val="20"/>
              </w:rPr>
            </w:r>
          </w:p>
        </w:tc>
      </w:tr>
      <w:tr>
        <w:tc>
          <w:tcPr>
            <w:tcW w:w="566" w:type="dxa"/>
          </w:tcPr>
          <w:p>
            <w:pPr>
              <w:pStyle w:val="0"/>
            </w:pPr>
            <w:r>
              <w:rPr>
                <w:sz w:val="20"/>
              </w:rPr>
              <w:t xml:space="preserve">6.</w:t>
            </w:r>
          </w:p>
        </w:tc>
        <w:tc>
          <w:tcPr>
            <w:tcW w:w="5783" w:type="dxa"/>
          </w:tcPr>
          <w:p>
            <w:pPr>
              <w:pStyle w:val="0"/>
            </w:pPr>
            <w:r>
              <w:rPr>
                <w:sz w:val="20"/>
              </w:rPr>
              <w:t xml:space="preserve">Удовлетворенность получателей социальных услуг качеством оказания услуг организацией</w:t>
            </w:r>
          </w:p>
        </w:tc>
        <w:tc>
          <w:tcPr>
            <w:tcW w:w="2720" w:type="dxa"/>
          </w:tcPr>
          <w:p>
            <w:pPr>
              <w:pStyle w:val="0"/>
            </w:pPr>
            <w:r>
              <w:rPr>
                <w:sz w:val="20"/>
              </w:rPr>
            </w:r>
          </w:p>
        </w:tc>
      </w:tr>
      <w:tr>
        <w:tc>
          <w:tcPr>
            <w:tcW w:w="566" w:type="dxa"/>
          </w:tcPr>
          <w:p>
            <w:pPr>
              <w:pStyle w:val="0"/>
            </w:pPr>
            <w:r>
              <w:rPr>
                <w:sz w:val="20"/>
              </w:rPr>
              <w:t xml:space="preserve">7.</w:t>
            </w:r>
          </w:p>
        </w:tc>
        <w:tc>
          <w:tcPr>
            <w:tcW w:w="5783" w:type="dxa"/>
          </w:tcPr>
          <w:p>
            <w:pPr>
              <w:pStyle w:val="0"/>
            </w:pPr>
            <w:r>
              <w:rPr>
                <w:sz w:val="20"/>
              </w:rPr>
              <w:t xml:space="preserve">Запрашиваемая сумма, полная стоимость проекта, имеющаяся сумма (цифрами и прописью)</w:t>
            </w:r>
          </w:p>
        </w:tc>
        <w:tc>
          <w:tcPr>
            <w:tcW w:w="2720" w:type="dxa"/>
          </w:tcPr>
          <w:p>
            <w:pPr>
              <w:pStyle w:val="0"/>
            </w:pPr>
            <w:r>
              <w:rPr>
                <w:sz w:val="20"/>
              </w:rPr>
            </w:r>
          </w:p>
        </w:tc>
      </w:tr>
      <w:tr>
        <w:tc>
          <w:tcPr>
            <w:tcW w:w="566" w:type="dxa"/>
          </w:tcPr>
          <w:p>
            <w:pPr>
              <w:pStyle w:val="0"/>
            </w:pPr>
            <w:r>
              <w:rPr>
                <w:sz w:val="20"/>
              </w:rPr>
              <w:t xml:space="preserve">8.</w:t>
            </w:r>
          </w:p>
        </w:tc>
        <w:tc>
          <w:tcPr>
            <w:tcW w:w="5783" w:type="dxa"/>
          </w:tcPr>
          <w:p>
            <w:pPr>
              <w:pStyle w:val="0"/>
            </w:pPr>
            <w:r>
              <w:rPr>
                <w:sz w:val="20"/>
              </w:rPr>
              <w:t xml:space="preserve">На какие расходы планируется направление полученной субсидии</w:t>
            </w:r>
          </w:p>
        </w:tc>
        <w:tc>
          <w:tcPr>
            <w:tcW w:w="2720" w:type="dxa"/>
          </w:tcPr>
          <w:p>
            <w:pPr>
              <w:pStyle w:val="0"/>
            </w:pPr>
            <w:r>
              <w:rPr>
                <w:sz w:val="20"/>
              </w:rPr>
            </w:r>
          </w:p>
        </w:tc>
      </w:tr>
      <w:tr>
        <w:tc>
          <w:tcPr>
            <w:tcW w:w="566" w:type="dxa"/>
          </w:tcPr>
          <w:p>
            <w:pPr>
              <w:pStyle w:val="0"/>
            </w:pPr>
            <w:r>
              <w:rPr>
                <w:sz w:val="20"/>
              </w:rPr>
              <w:t xml:space="preserve">9.</w:t>
            </w:r>
          </w:p>
        </w:tc>
        <w:tc>
          <w:tcPr>
            <w:tcW w:w="5783" w:type="dxa"/>
          </w:tcPr>
          <w:p>
            <w:pPr>
              <w:pStyle w:val="0"/>
            </w:pPr>
            <w:r>
              <w:rPr>
                <w:sz w:val="20"/>
              </w:rPr>
              <w:t xml:space="preserve">Дата заполнения заявки на конкурс</w:t>
            </w:r>
          </w:p>
        </w:tc>
        <w:tc>
          <w:tcPr>
            <w:tcW w:w="2720" w:type="dxa"/>
          </w:tcPr>
          <w:p>
            <w:pPr>
              <w:pStyle w:val="0"/>
            </w:pPr>
            <w:r>
              <w:rPr>
                <w:sz w:val="20"/>
              </w:rPr>
            </w:r>
          </w:p>
        </w:tc>
      </w:tr>
    </w:tbl>
    <w:p>
      <w:pPr>
        <w:pStyle w:val="0"/>
        <w:jc w:val="both"/>
      </w:pPr>
      <w:r>
        <w:rPr>
          <w:sz w:val="20"/>
        </w:rPr>
      </w:r>
    </w:p>
    <w:p>
      <w:pPr>
        <w:pStyle w:val="0"/>
        <w:ind w:firstLine="540"/>
        <w:jc w:val="both"/>
      </w:pPr>
      <w:r>
        <w:rPr>
          <w:sz w:val="20"/>
        </w:rPr>
        <w:t xml:space="preserve">Даю согласие на публикацию (размещение) на едином портале и на официальном сайте министерства труда и социальной политики Приморского края в информационно-телекоммуникационной сети Интернет информации об организации, как об участнике конкурсного отбора.</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2721"/>
        <w:gridCol w:w="3231"/>
      </w:tblGrid>
      <w:tr>
        <w:tblPrEx>
          <w:tblBorders>
            <w:insideH w:val="single" w:sz="4"/>
          </w:tblBorders>
        </w:tblPrEx>
        <w:tc>
          <w:tcPr>
            <w:tcW w:w="3118" w:type="dxa"/>
            <w:tcBorders>
              <w:top w:val="nil"/>
              <w:left w:val="nil"/>
              <w:bottom w:val="nil"/>
              <w:right w:val="nil"/>
            </w:tcBorders>
          </w:tcPr>
          <w:p>
            <w:pPr>
              <w:pStyle w:val="0"/>
            </w:pPr>
            <w:r>
              <w:rPr>
                <w:sz w:val="20"/>
              </w:rPr>
              <w:t xml:space="preserve">Должность руководителя организации</w:t>
            </w:r>
          </w:p>
        </w:tc>
        <w:tc>
          <w:tcPr>
            <w:tcW w:w="2721" w:type="dxa"/>
            <w:tcBorders>
              <w:top w:val="nil"/>
              <w:left w:val="nil"/>
              <w:bottom w:val="single" w:sz="4"/>
              <w:right w:val="nil"/>
            </w:tcBorders>
          </w:tcPr>
          <w:p>
            <w:pPr>
              <w:pStyle w:val="0"/>
            </w:pPr>
            <w:r>
              <w:rPr>
                <w:sz w:val="20"/>
              </w:rPr>
            </w:r>
          </w:p>
        </w:tc>
        <w:tc>
          <w:tcPr>
            <w:tcW w:w="3231" w:type="dxa"/>
            <w:tcBorders>
              <w:top w:val="nil"/>
              <w:left w:val="nil"/>
              <w:bottom w:val="single" w:sz="4"/>
              <w:right w:val="nil"/>
            </w:tcBorders>
          </w:tcPr>
          <w:p>
            <w:pPr>
              <w:pStyle w:val="0"/>
            </w:pPr>
            <w:r>
              <w:rPr>
                <w:sz w:val="20"/>
              </w:rPr>
            </w:r>
          </w:p>
        </w:tc>
      </w:tr>
      <w:tr>
        <w:tc>
          <w:tcPr>
            <w:tcW w:w="3118"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(подпись)</w:t>
            </w:r>
          </w:p>
        </w:tc>
        <w:tc>
          <w:tcPr>
            <w:tcW w:w="3231" w:type="dxa"/>
            <w:tcBorders>
              <w:top w:val="single" w:sz="4"/>
              <w:left w:val="nil"/>
              <w:bottom w:val="nil"/>
              <w:right w:val="nil"/>
            </w:tcBorders>
          </w:tcPr>
          <w:p>
            <w:pPr>
              <w:pStyle w:val="0"/>
              <w:jc w:val="center"/>
            </w:pPr>
            <w:r>
              <w:rPr>
                <w:sz w:val="20"/>
              </w:rPr>
              <w:t xml:space="preserve">(расшифровка подписи)</w:t>
            </w:r>
          </w:p>
        </w:tc>
      </w:tr>
      <w:tr>
        <w:tc>
          <w:tcPr>
            <w:tcW w:w="3118" w:type="dxa"/>
            <w:tcBorders>
              <w:top w:val="nil"/>
              <w:left w:val="nil"/>
              <w:bottom w:val="nil"/>
              <w:right w:val="nil"/>
            </w:tcBorders>
          </w:tcPr>
          <w:p>
            <w:pPr>
              <w:pStyle w:val="0"/>
            </w:pPr>
            <w:r>
              <w:rPr>
                <w:sz w:val="20"/>
              </w:rPr>
              <w:t xml:space="preserve">М.П.</w:t>
            </w:r>
          </w:p>
        </w:tc>
        <w:tc>
          <w:tcPr>
            <w:tcW w:w="2721"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в 2022 году субсидии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оказывающим услуги</w:t>
      </w:r>
    </w:p>
    <w:p>
      <w:pPr>
        <w:pStyle w:val="0"/>
        <w:jc w:val="right"/>
      </w:pPr>
      <w:r>
        <w:rPr>
          <w:sz w:val="20"/>
        </w:rPr>
        <w:t xml:space="preserve">по социальной адаптации</w:t>
      </w:r>
    </w:p>
    <w:p>
      <w:pPr>
        <w:pStyle w:val="0"/>
        <w:jc w:val="right"/>
      </w:pPr>
      <w:r>
        <w:rPr>
          <w:sz w:val="20"/>
        </w:rPr>
        <w:t xml:space="preserve">инвалидов и их семей,</w:t>
      </w:r>
    </w:p>
    <w:p>
      <w:pPr>
        <w:pStyle w:val="0"/>
        <w:jc w:val="right"/>
      </w:pPr>
      <w:r>
        <w:rPr>
          <w:sz w:val="20"/>
        </w:rPr>
        <w:t xml:space="preserve">в том числе профессиональной</w:t>
      </w:r>
    </w:p>
    <w:p>
      <w:pPr>
        <w:pStyle w:val="0"/>
        <w:jc w:val="right"/>
      </w:pPr>
      <w:r>
        <w:rPr>
          <w:sz w:val="20"/>
        </w:rPr>
        <w:t xml:space="preserve">ориентации, содействию</w:t>
      </w:r>
    </w:p>
    <w:p>
      <w:pPr>
        <w:pStyle w:val="0"/>
        <w:jc w:val="right"/>
      </w:pPr>
      <w:r>
        <w:rPr>
          <w:sz w:val="20"/>
        </w:rPr>
        <w:t xml:space="preserve">в трудоустройстве и</w:t>
      </w:r>
    </w:p>
    <w:p>
      <w:pPr>
        <w:pStyle w:val="0"/>
        <w:jc w:val="right"/>
      </w:pPr>
      <w:r>
        <w:rPr>
          <w:sz w:val="20"/>
        </w:rPr>
        <w:t xml:space="preserve">сопровождению при содействии</w:t>
      </w:r>
    </w:p>
    <w:p>
      <w:pPr>
        <w:pStyle w:val="0"/>
        <w:jc w:val="right"/>
      </w:pPr>
      <w:r>
        <w:rPr>
          <w:sz w:val="20"/>
        </w:rPr>
        <w:t xml:space="preserve">в трудоустройстве инвалидов</w:t>
      </w:r>
    </w:p>
    <w:p>
      <w:pPr>
        <w:pStyle w:val="0"/>
        <w:jc w:val="both"/>
      </w:pPr>
      <w:r>
        <w:rPr>
          <w:sz w:val="20"/>
        </w:rPr>
      </w:r>
    </w:p>
    <w:bookmarkStart w:id="379" w:name="P379"/>
    <w:bookmarkEnd w:id="379"/>
    <w:p>
      <w:pPr>
        <w:pStyle w:val="2"/>
        <w:jc w:val="center"/>
      </w:pPr>
      <w:r>
        <w:rPr>
          <w:sz w:val="20"/>
        </w:rPr>
        <w:t xml:space="preserve">КРИТЕРИИ ОЦЕНОК</w:t>
      </w:r>
    </w:p>
    <w:p>
      <w:pPr>
        <w:pStyle w:val="2"/>
        <w:jc w:val="center"/>
      </w:pPr>
      <w:r>
        <w:rPr>
          <w:sz w:val="20"/>
        </w:rPr>
        <w:t xml:space="preserve">ЗАЯВОК НА УЧАСТИЕ В КОНКУРСНОМ ОТБОРЕ СОЦИАЛЬНО</w:t>
      </w:r>
    </w:p>
    <w:p>
      <w:pPr>
        <w:pStyle w:val="2"/>
        <w:jc w:val="center"/>
      </w:pPr>
      <w:r>
        <w:rPr>
          <w:sz w:val="20"/>
        </w:rPr>
        <w:t xml:space="preserve">ОРИЕНТИРОВАННОЙ 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948"/>
        <w:gridCol w:w="5386"/>
      </w:tblGrid>
      <w:tr>
        <w:tc>
          <w:tcPr>
            <w:tcW w:w="566" w:type="dxa"/>
          </w:tcPr>
          <w:p>
            <w:pPr>
              <w:pStyle w:val="0"/>
              <w:jc w:val="center"/>
            </w:pPr>
            <w:r>
              <w:rPr>
                <w:sz w:val="20"/>
              </w:rPr>
              <w:t xml:space="preserve">N п/п</w:t>
            </w:r>
          </w:p>
        </w:tc>
        <w:tc>
          <w:tcPr>
            <w:tcW w:w="2948" w:type="dxa"/>
          </w:tcPr>
          <w:p>
            <w:pPr>
              <w:pStyle w:val="0"/>
              <w:jc w:val="center"/>
            </w:pPr>
            <w:r>
              <w:rPr>
                <w:sz w:val="20"/>
              </w:rPr>
              <w:t xml:space="preserve">Критерии оценки</w:t>
            </w:r>
          </w:p>
        </w:tc>
        <w:tc>
          <w:tcPr>
            <w:tcW w:w="5386" w:type="dxa"/>
          </w:tcPr>
          <w:p>
            <w:pPr>
              <w:pStyle w:val="0"/>
              <w:jc w:val="center"/>
            </w:pPr>
            <w:r>
              <w:rPr>
                <w:sz w:val="20"/>
              </w:rPr>
              <w:t xml:space="preserve">Значение критериев оценки и их балльная наполняемость</w:t>
            </w:r>
          </w:p>
        </w:tc>
      </w:tr>
      <w:tr>
        <w:tc>
          <w:tcPr>
            <w:tcW w:w="566" w:type="dxa"/>
          </w:tcPr>
          <w:p>
            <w:pPr>
              <w:pStyle w:val="0"/>
              <w:jc w:val="center"/>
            </w:pPr>
            <w:r>
              <w:rPr>
                <w:sz w:val="20"/>
              </w:rPr>
              <w:t xml:space="preserve">1</w:t>
            </w:r>
          </w:p>
        </w:tc>
        <w:tc>
          <w:tcPr>
            <w:tcW w:w="2948" w:type="dxa"/>
          </w:tcPr>
          <w:p>
            <w:pPr>
              <w:pStyle w:val="0"/>
              <w:jc w:val="center"/>
            </w:pPr>
            <w:r>
              <w:rPr>
                <w:sz w:val="20"/>
              </w:rPr>
              <w:t xml:space="preserve">2</w:t>
            </w:r>
          </w:p>
        </w:tc>
        <w:tc>
          <w:tcPr>
            <w:tcW w:w="5386" w:type="dxa"/>
          </w:tcPr>
          <w:p>
            <w:pPr>
              <w:pStyle w:val="0"/>
              <w:jc w:val="center"/>
            </w:pPr>
            <w:r>
              <w:rPr>
                <w:sz w:val="20"/>
              </w:rPr>
              <w:t xml:space="preserve">3</w:t>
            </w:r>
          </w:p>
        </w:tc>
      </w:tr>
      <w:tr>
        <w:tc>
          <w:tcPr>
            <w:tcW w:w="566" w:type="dxa"/>
          </w:tcPr>
          <w:p>
            <w:pPr>
              <w:pStyle w:val="0"/>
            </w:pPr>
            <w:r>
              <w:rPr>
                <w:sz w:val="20"/>
              </w:rPr>
              <w:t xml:space="preserve">1</w:t>
            </w:r>
          </w:p>
        </w:tc>
        <w:tc>
          <w:tcPr>
            <w:tcW w:w="2948" w:type="dxa"/>
          </w:tcPr>
          <w:p>
            <w:pPr>
              <w:pStyle w:val="0"/>
            </w:pPr>
            <w:r>
              <w:rPr>
                <w:sz w:val="20"/>
              </w:rPr>
              <w:t xml:space="preserve">Опыт использования целевых бюджетных средств</w:t>
            </w:r>
          </w:p>
        </w:tc>
        <w:tc>
          <w:tcPr>
            <w:tcW w:w="5386" w:type="dxa"/>
          </w:tcPr>
          <w:p>
            <w:pPr>
              <w:pStyle w:val="0"/>
            </w:pPr>
            <w:r>
              <w:rPr>
                <w:sz w:val="20"/>
              </w:rPr>
              <w:t xml:space="preserve">3 - организация имеет успешный опыт использования целевых бюджетных средств более 2 лет;</w:t>
            </w:r>
          </w:p>
          <w:p>
            <w:pPr>
              <w:pStyle w:val="0"/>
            </w:pPr>
            <w:r>
              <w:rPr>
                <w:sz w:val="20"/>
              </w:rPr>
              <w:t xml:space="preserve">2 - организация имеет успешный опыт использования целевых бюджетных средств от 1 года до 2 лет;</w:t>
            </w:r>
          </w:p>
          <w:p>
            <w:pPr>
              <w:pStyle w:val="0"/>
            </w:pPr>
            <w:r>
              <w:rPr>
                <w:sz w:val="20"/>
              </w:rPr>
              <w:t xml:space="preserve">1 - организация имеет успешный опыт использования целевых бюджетных средств не более 1 года;</w:t>
            </w:r>
          </w:p>
          <w:p>
            <w:pPr>
              <w:pStyle w:val="0"/>
            </w:pPr>
            <w:r>
              <w:rPr>
                <w:sz w:val="20"/>
              </w:rPr>
              <w:t xml:space="preserve">0 - организация не имеет опыта использования целевых бюджетных средств или при использовании целевых бюджетных средств допускались нарушения условий их предоставления</w:t>
            </w:r>
          </w:p>
        </w:tc>
      </w:tr>
      <w:tr>
        <w:tc>
          <w:tcPr>
            <w:tcW w:w="566" w:type="dxa"/>
          </w:tcPr>
          <w:p>
            <w:pPr>
              <w:pStyle w:val="0"/>
            </w:pPr>
            <w:r>
              <w:rPr>
                <w:sz w:val="20"/>
              </w:rPr>
              <w:t xml:space="preserve">2</w:t>
            </w:r>
          </w:p>
        </w:tc>
        <w:tc>
          <w:tcPr>
            <w:tcW w:w="2948" w:type="dxa"/>
          </w:tcPr>
          <w:p>
            <w:pPr>
              <w:pStyle w:val="0"/>
            </w:pPr>
            <w:r>
              <w:rPr>
                <w:sz w:val="20"/>
              </w:rPr>
              <w:t xml:space="preserve">Наличие мастерских для оказания социальных услуг гражданам</w:t>
            </w:r>
          </w:p>
        </w:tc>
        <w:tc>
          <w:tcPr>
            <w:tcW w:w="5386" w:type="dxa"/>
          </w:tcPr>
          <w:p>
            <w:pPr>
              <w:pStyle w:val="0"/>
            </w:pPr>
            <w:r>
              <w:rPr>
                <w:sz w:val="20"/>
              </w:rPr>
              <w:t xml:space="preserve">3 - наличие гончарной мастерской, литейной мастерской, мастерской по производству утилитарной керамики;</w:t>
            </w:r>
          </w:p>
          <w:p>
            <w:pPr>
              <w:pStyle w:val="0"/>
            </w:pPr>
            <w:r>
              <w:rPr>
                <w:sz w:val="20"/>
              </w:rPr>
              <w:t xml:space="preserve">1 - наличие одной из мастерских;</w:t>
            </w:r>
          </w:p>
          <w:p>
            <w:pPr>
              <w:pStyle w:val="0"/>
            </w:pPr>
            <w:r>
              <w:rPr>
                <w:sz w:val="20"/>
              </w:rPr>
              <w:t xml:space="preserve">0 - отсутствие мастерских</w:t>
            </w:r>
          </w:p>
        </w:tc>
      </w:tr>
      <w:tr>
        <w:tc>
          <w:tcPr>
            <w:tcW w:w="566" w:type="dxa"/>
          </w:tcPr>
          <w:p>
            <w:pPr>
              <w:pStyle w:val="0"/>
            </w:pPr>
            <w:r>
              <w:rPr>
                <w:sz w:val="20"/>
              </w:rPr>
              <w:t xml:space="preserve">3</w:t>
            </w:r>
          </w:p>
        </w:tc>
        <w:tc>
          <w:tcPr>
            <w:tcW w:w="2948" w:type="dxa"/>
          </w:tcPr>
          <w:p>
            <w:pPr>
              <w:pStyle w:val="0"/>
            </w:pPr>
            <w:r>
              <w:rPr>
                <w:sz w:val="20"/>
              </w:rPr>
              <w:t xml:space="preserve">Наличие актуальной информации о деятельности СОНКО на официальном сайте в соответствии с нормативными документами</w:t>
            </w:r>
          </w:p>
        </w:tc>
        <w:tc>
          <w:tcPr>
            <w:tcW w:w="5386" w:type="dxa"/>
          </w:tcPr>
          <w:p>
            <w:pPr>
              <w:pStyle w:val="0"/>
            </w:pPr>
            <w:r>
              <w:rPr>
                <w:sz w:val="20"/>
              </w:rPr>
              <w:t xml:space="preserve">2 - на официальном сайте организации размещена актуальная информация о ее деятельности в соответствии с нормативными документами;</w:t>
            </w:r>
          </w:p>
          <w:p>
            <w:pPr>
              <w:pStyle w:val="0"/>
            </w:pPr>
            <w:r>
              <w:rPr>
                <w:sz w:val="20"/>
              </w:rPr>
              <w:t xml:space="preserve">1 - на официальном сайте организации размещена неактуальная либо неполная информация о ее деятельности;</w:t>
            </w:r>
          </w:p>
          <w:p>
            <w:pPr>
              <w:pStyle w:val="0"/>
            </w:pPr>
            <w:r>
              <w:rPr>
                <w:sz w:val="20"/>
              </w:rPr>
              <w:t xml:space="preserve">0 - официальный сайт организации отсутствует</w:t>
            </w:r>
          </w:p>
        </w:tc>
      </w:tr>
      <w:tr>
        <w:tc>
          <w:tcPr>
            <w:tcW w:w="566" w:type="dxa"/>
          </w:tcPr>
          <w:p>
            <w:pPr>
              <w:pStyle w:val="0"/>
            </w:pPr>
            <w:r>
              <w:rPr>
                <w:sz w:val="20"/>
              </w:rPr>
              <w:t xml:space="preserve">4</w:t>
            </w:r>
          </w:p>
        </w:tc>
        <w:tc>
          <w:tcPr>
            <w:tcW w:w="2948" w:type="dxa"/>
          </w:tcPr>
          <w:p>
            <w:pPr>
              <w:pStyle w:val="0"/>
            </w:pPr>
            <w:r>
              <w:rPr>
                <w:sz w:val="20"/>
              </w:rPr>
              <w:t xml:space="preserve">Наличие кадрового состава</w:t>
            </w:r>
          </w:p>
        </w:tc>
        <w:tc>
          <w:tcPr>
            <w:tcW w:w="5386" w:type="dxa"/>
          </w:tcPr>
          <w:p>
            <w:pPr>
              <w:pStyle w:val="0"/>
            </w:pPr>
            <w:r>
              <w:rPr>
                <w:sz w:val="20"/>
              </w:rPr>
              <w:t xml:space="preserve">3 - наличие в штатном расписании персонала, занимающегося непосредственным оказанием услуг - не менее пяти педагогов;</w:t>
            </w:r>
          </w:p>
          <w:p>
            <w:pPr>
              <w:pStyle w:val="0"/>
            </w:pPr>
            <w:r>
              <w:rPr>
                <w:sz w:val="20"/>
              </w:rPr>
              <w:t xml:space="preserve">1 - наличие в штатном расписании персонала, занимающегося непосредственным оказанием услуг - менее пяти педагогов;</w:t>
            </w:r>
          </w:p>
          <w:p>
            <w:pPr>
              <w:pStyle w:val="0"/>
            </w:pPr>
            <w:r>
              <w:rPr>
                <w:sz w:val="20"/>
              </w:rPr>
              <w:t xml:space="preserve">0 - отсутствие в штатном расписании педагогов</w:t>
            </w:r>
          </w:p>
        </w:tc>
      </w:tr>
      <w:tr>
        <w:tc>
          <w:tcPr>
            <w:tcW w:w="566" w:type="dxa"/>
          </w:tcPr>
          <w:p>
            <w:pPr>
              <w:pStyle w:val="0"/>
            </w:pPr>
            <w:r>
              <w:rPr>
                <w:sz w:val="20"/>
              </w:rPr>
              <w:t xml:space="preserve">5</w:t>
            </w:r>
          </w:p>
        </w:tc>
        <w:tc>
          <w:tcPr>
            <w:tcW w:w="2948" w:type="dxa"/>
          </w:tcPr>
          <w:p>
            <w:pPr>
              <w:pStyle w:val="0"/>
            </w:pPr>
            <w:r>
              <w:rPr>
                <w:sz w:val="20"/>
              </w:rPr>
              <w:t xml:space="preserve">Наличие материально-технической базы</w:t>
            </w:r>
          </w:p>
        </w:tc>
        <w:tc>
          <w:tcPr>
            <w:tcW w:w="5386" w:type="dxa"/>
          </w:tcPr>
          <w:p>
            <w:pPr>
              <w:pStyle w:val="0"/>
            </w:pPr>
            <w:r>
              <w:rPr>
                <w:sz w:val="20"/>
              </w:rPr>
              <w:t xml:space="preserve">3 - оборудование, используемые для оказания услуг, принадлежат организации на праве собственности;</w:t>
            </w:r>
          </w:p>
          <w:p>
            <w:pPr>
              <w:pStyle w:val="0"/>
            </w:pPr>
            <w:r>
              <w:rPr>
                <w:sz w:val="20"/>
              </w:rPr>
              <w:t xml:space="preserve">1 - оборудование, используемые для оказания услуг, не принадлежат организации на праве собственности</w:t>
            </w:r>
          </w:p>
        </w:tc>
      </w:tr>
      <w:tr>
        <w:tc>
          <w:tcPr>
            <w:tcW w:w="566" w:type="dxa"/>
          </w:tcPr>
          <w:p>
            <w:pPr>
              <w:pStyle w:val="0"/>
            </w:pPr>
            <w:r>
              <w:rPr>
                <w:sz w:val="20"/>
              </w:rPr>
              <w:t xml:space="preserve">6</w:t>
            </w:r>
          </w:p>
        </w:tc>
        <w:tc>
          <w:tcPr>
            <w:tcW w:w="2948" w:type="dxa"/>
          </w:tcPr>
          <w:p>
            <w:pPr>
              <w:pStyle w:val="0"/>
            </w:pPr>
            <w:r>
              <w:rPr>
                <w:sz w:val="20"/>
              </w:rPr>
              <w:t xml:space="preserve">Получатели социальных услуг</w:t>
            </w:r>
          </w:p>
        </w:tc>
        <w:tc>
          <w:tcPr>
            <w:tcW w:w="5386" w:type="dxa"/>
          </w:tcPr>
          <w:p>
            <w:pPr>
              <w:pStyle w:val="0"/>
            </w:pPr>
            <w:r>
              <w:rPr>
                <w:sz w:val="20"/>
              </w:rPr>
              <w:t xml:space="preserve">3 - инвалиды старше 18 лет и дети-инвалиды;</w:t>
            </w:r>
          </w:p>
          <w:p>
            <w:pPr>
              <w:pStyle w:val="0"/>
            </w:pPr>
            <w:r>
              <w:rPr>
                <w:sz w:val="20"/>
              </w:rPr>
              <w:t xml:space="preserve">2 - только инвалиды старше 18 лет либо только дети-инвалиды;</w:t>
            </w:r>
          </w:p>
          <w:p>
            <w:pPr>
              <w:pStyle w:val="0"/>
            </w:pPr>
            <w:r>
              <w:rPr>
                <w:sz w:val="20"/>
              </w:rPr>
              <w:t xml:space="preserve">1 - получатели социальных услуг не относятся к категориям "инвалиды старше 18 лет" и "дети-инвалиды"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в 2022 году субсидии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оказывающим услуги</w:t>
      </w:r>
    </w:p>
    <w:p>
      <w:pPr>
        <w:pStyle w:val="0"/>
        <w:jc w:val="right"/>
      </w:pPr>
      <w:r>
        <w:rPr>
          <w:sz w:val="20"/>
        </w:rPr>
        <w:t xml:space="preserve">по социальной адаптации</w:t>
      </w:r>
    </w:p>
    <w:p>
      <w:pPr>
        <w:pStyle w:val="0"/>
        <w:jc w:val="right"/>
      </w:pPr>
      <w:r>
        <w:rPr>
          <w:sz w:val="20"/>
        </w:rPr>
        <w:t xml:space="preserve">инвалидов и их семей,</w:t>
      </w:r>
    </w:p>
    <w:p>
      <w:pPr>
        <w:pStyle w:val="0"/>
        <w:jc w:val="right"/>
      </w:pPr>
      <w:r>
        <w:rPr>
          <w:sz w:val="20"/>
        </w:rPr>
        <w:t xml:space="preserve">в том числе профессиональной</w:t>
      </w:r>
    </w:p>
    <w:p>
      <w:pPr>
        <w:pStyle w:val="0"/>
        <w:jc w:val="right"/>
      </w:pPr>
      <w:r>
        <w:rPr>
          <w:sz w:val="20"/>
        </w:rPr>
        <w:t xml:space="preserve">ориентации, содействию</w:t>
      </w:r>
    </w:p>
    <w:p>
      <w:pPr>
        <w:pStyle w:val="0"/>
        <w:jc w:val="right"/>
      </w:pPr>
      <w:r>
        <w:rPr>
          <w:sz w:val="20"/>
        </w:rPr>
        <w:t xml:space="preserve">в трудоустройстве и</w:t>
      </w:r>
    </w:p>
    <w:p>
      <w:pPr>
        <w:pStyle w:val="0"/>
        <w:jc w:val="right"/>
      </w:pPr>
      <w:r>
        <w:rPr>
          <w:sz w:val="20"/>
        </w:rPr>
        <w:t xml:space="preserve">сопровождению при содействии</w:t>
      </w:r>
    </w:p>
    <w:p>
      <w:pPr>
        <w:pStyle w:val="0"/>
        <w:jc w:val="right"/>
      </w:pPr>
      <w:r>
        <w:rPr>
          <w:sz w:val="20"/>
        </w:rPr>
        <w:t xml:space="preserve">в трудоустройстве инвалидов</w:t>
      </w:r>
    </w:p>
    <w:p>
      <w:pPr>
        <w:pStyle w:val="0"/>
        <w:jc w:val="both"/>
      </w:pPr>
      <w:r>
        <w:rPr>
          <w:sz w:val="20"/>
        </w:rPr>
      </w:r>
    </w:p>
    <w:bookmarkStart w:id="439" w:name="P439"/>
    <w:bookmarkEnd w:id="439"/>
    <w:p>
      <w:pPr>
        <w:pStyle w:val="2"/>
        <w:jc w:val="center"/>
      </w:pPr>
      <w:r>
        <w:rPr>
          <w:sz w:val="20"/>
        </w:rPr>
        <w:t xml:space="preserve">РЕЗУЛЬТАТЫ</w:t>
      </w:r>
    </w:p>
    <w:p>
      <w:pPr>
        <w:pStyle w:val="2"/>
        <w:jc w:val="center"/>
      </w:pPr>
      <w:r>
        <w:rPr>
          <w:sz w:val="20"/>
        </w:rPr>
        <w:t xml:space="preserve">ПРЕДОСТАВЛЕНИЯ СУБСИДИИ И ПОКАЗАТЕЛИ, НЕОБХОДИМЫЕ</w:t>
      </w:r>
    </w:p>
    <w:p>
      <w:pPr>
        <w:pStyle w:val="2"/>
        <w:jc w:val="center"/>
      </w:pPr>
      <w:r>
        <w:rPr>
          <w:sz w:val="20"/>
        </w:rPr>
        <w:t xml:space="preserve">ДЛЯ ДОСТИЖЕНИЯ РЕЗУЛЬТАТОВ ПРЕДОСТАВЛЕНИЯ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3855"/>
        <w:gridCol w:w="4422"/>
      </w:tblGrid>
      <w:tr>
        <w:tc>
          <w:tcPr>
            <w:tcW w:w="793" w:type="dxa"/>
          </w:tcPr>
          <w:p>
            <w:pPr>
              <w:pStyle w:val="0"/>
              <w:jc w:val="center"/>
            </w:pPr>
            <w:r>
              <w:rPr>
                <w:sz w:val="20"/>
              </w:rPr>
              <w:t xml:space="preserve">N п/п</w:t>
            </w:r>
          </w:p>
        </w:tc>
        <w:tc>
          <w:tcPr>
            <w:tcW w:w="3855" w:type="dxa"/>
          </w:tcPr>
          <w:p>
            <w:pPr>
              <w:pStyle w:val="0"/>
              <w:jc w:val="center"/>
            </w:pPr>
            <w:r>
              <w:rPr>
                <w:sz w:val="20"/>
              </w:rPr>
              <w:t xml:space="preserve">Наименование результата предоставления субсидии</w:t>
            </w:r>
          </w:p>
        </w:tc>
        <w:tc>
          <w:tcPr>
            <w:tcW w:w="4422" w:type="dxa"/>
          </w:tcPr>
          <w:p>
            <w:pPr>
              <w:pStyle w:val="0"/>
              <w:jc w:val="center"/>
            </w:pPr>
            <w:r>
              <w:rPr>
                <w:sz w:val="20"/>
              </w:rPr>
              <w:t xml:space="preserve">Наименование показателя, необходимого для достижения результатов предоставления субсидии</w:t>
            </w:r>
          </w:p>
        </w:tc>
      </w:tr>
      <w:tr>
        <w:tc>
          <w:tcPr>
            <w:tcW w:w="793" w:type="dxa"/>
          </w:tcPr>
          <w:p>
            <w:pPr>
              <w:pStyle w:val="0"/>
            </w:pPr>
            <w:r>
              <w:rPr>
                <w:sz w:val="20"/>
              </w:rPr>
              <w:t xml:space="preserve">1</w:t>
            </w:r>
          </w:p>
        </w:tc>
        <w:tc>
          <w:tcPr>
            <w:tcW w:w="3855" w:type="dxa"/>
          </w:tcPr>
          <w:p>
            <w:pPr>
              <w:pStyle w:val="0"/>
            </w:pPr>
            <w:r>
              <w:rPr>
                <w:sz w:val="20"/>
              </w:rPr>
              <w:t xml:space="preserve">Предоставление гражданам услуг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w:t>
            </w:r>
          </w:p>
        </w:tc>
        <w:tc>
          <w:tcPr>
            <w:tcW w:w="4422" w:type="dxa"/>
          </w:tcPr>
          <w:p>
            <w:pPr>
              <w:pStyle w:val="0"/>
            </w:pPr>
            <w:r>
              <w:rPr>
                <w:sz w:val="20"/>
              </w:rPr>
              <w:t xml:space="preserve">1.1. Доля получателей социальных услуг, признанных в установленном порядке нуждающимися в социальном обслуживании и имеющих индивидуальную программу предоставления социальных услуг (далее - ИППСУ), от общего числа лиц, получающих социальные услуги в социально ориентированной некоммерческой организации (далее - СОНКО) не менее 30 процентов;</w:t>
            </w:r>
          </w:p>
          <w:p>
            <w:pPr>
              <w:pStyle w:val="0"/>
            </w:pPr>
            <w:r>
              <w:rPr>
                <w:sz w:val="20"/>
              </w:rPr>
              <w:t xml:space="preserve">1.2. Исполнение ИППСУ</w:t>
            </w:r>
          </w:p>
        </w:tc>
      </w:tr>
      <w:tr>
        <w:tc>
          <w:tcPr>
            <w:tcW w:w="793" w:type="dxa"/>
          </w:tcPr>
          <w:p>
            <w:pPr>
              <w:pStyle w:val="0"/>
            </w:pPr>
            <w:r>
              <w:rPr>
                <w:sz w:val="20"/>
              </w:rPr>
              <w:t xml:space="preserve">2</w:t>
            </w:r>
          </w:p>
        </w:tc>
        <w:tc>
          <w:tcPr>
            <w:tcW w:w="3855" w:type="dxa"/>
          </w:tcPr>
          <w:p>
            <w:pPr>
              <w:pStyle w:val="0"/>
            </w:pPr>
            <w:r>
              <w:rPr>
                <w:sz w:val="20"/>
              </w:rPr>
              <w:t xml:space="preserve">Обеспечение комфортных условий пребывания получателей социальных услуг</w:t>
            </w:r>
          </w:p>
        </w:tc>
        <w:tc>
          <w:tcPr>
            <w:tcW w:w="4422" w:type="dxa"/>
          </w:tcPr>
          <w:p>
            <w:pPr>
              <w:pStyle w:val="0"/>
            </w:pPr>
            <w:r>
              <w:rPr>
                <w:sz w:val="20"/>
              </w:rPr>
              <w:t xml:space="preserve">отсутствие у СОНКО задолженности по коммунальным платежам за помещение, используемое для предоставления услуг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Приморского края от 29.08.2022 N 590-пп</w:t>
            <w:br/>
            <w:t>"Об утверждении Порядка предоставления в 2022 году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9F269353AC8E3403401D33127EA2C3CD0C67D942C68AEDE423084CB9D0209FA32BE80472B89419B399466F8FE6144D50E2F606A823E72F1K" TargetMode = "External"/>
	<Relationship Id="rId8" Type="http://schemas.openxmlformats.org/officeDocument/2006/relationships/hyperlink" Target="consultantplus://offline/ref=E9F269353AC8E3403401D33127EA2C3CD0C77B9E2164AEDE423084CB9D0209FA32BE80402D801CC129902FACF37E45C9112F7E6A78F0K" TargetMode = "External"/>
	<Relationship Id="rId9" Type="http://schemas.openxmlformats.org/officeDocument/2006/relationships/hyperlink" Target="consultantplus://offline/ref=E9F269353AC8E3403401D33127EA2C3CD0C77B9E2064AEDE423084CB9D0209FA20BED84C2C8B56916FDB20ADF176F2K" TargetMode = "External"/>
	<Relationship Id="rId10" Type="http://schemas.openxmlformats.org/officeDocument/2006/relationships/hyperlink" Target="consultantplus://offline/ref=E9F269353AC8E3403401CD3C31867233D4CE22912567A6811962829CC2520FAF72FE86156ECF4592669173E9A66D45CB112C7C76803C217CF5K" TargetMode = "External"/>
	<Relationship Id="rId11" Type="http://schemas.openxmlformats.org/officeDocument/2006/relationships/hyperlink" Target="consultantplus://offline/ref=E9F269353AC8E3403401CD3C31867233D4CE22912567A3881A64829CC2520FAF72FE86156ECF45916DC522AEFB6B109A4B787369822222C5A11D369B73F3K" TargetMode = "External"/>
	<Relationship Id="rId12" Type="http://schemas.openxmlformats.org/officeDocument/2006/relationships/hyperlink" Target="consultantplus://offline/ref=E9F269353AC8E3403401D33127EA2C3CD7CD7A952C65AEDE423084CB9D0209FA32BE80402D8B4A946ECE76FCB73549CA0F337F6A9C3E23C57BFDK" TargetMode = "External"/>
	<Relationship Id="rId13" Type="http://schemas.openxmlformats.org/officeDocument/2006/relationships/hyperlink" Target="consultantplus://offline/ref=E9F269353AC8E3403401D33127EA2C3CD0C67D942C68AEDE423084CB9D0209FA32BE80422A8B4C9B399466F8FE6144D50E2F606A823E72F1K" TargetMode = "External"/>
	<Relationship Id="rId14" Type="http://schemas.openxmlformats.org/officeDocument/2006/relationships/hyperlink" Target="consultantplus://offline/ref=E9F269353AC8E3403401D33127EA2C3CD0C67D942C68AEDE423084CB9D0209FA32BE80422A894A9B399466F8FE6144D50E2F606A823E72F1K" TargetMode = "External"/>
	<Relationship Id="rId15" Type="http://schemas.openxmlformats.org/officeDocument/2006/relationships/hyperlink" Target="consultantplus://offline/ref=E9F269353AC8E3403401D33127EA2C3CD7C07E9E2C64AEDE423084CB9D0209FA20BED84C2C8B56916FDB20ADF176F2K" TargetMode = "External"/>
	<Relationship Id="rId16" Type="http://schemas.openxmlformats.org/officeDocument/2006/relationships/image" Target="media/image2.wmf"/>
	<Relationship Id="rId17" Type="http://schemas.openxmlformats.org/officeDocument/2006/relationships/hyperlink" Target="consultantplus://offline/ref=E9F269353AC8E3403401D33127EA2C3CD0C67D942C68AEDE423084CB9D0209FA32BE80422A8B4C9B399466F8FE6144D50E2F606A823E72F1K" TargetMode = "External"/>
	<Relationship Id="rId18" Type="http://schemas.openxmlformats.org/officeDocument/2006/relationships/hyperlink" Target="consultantplus://offline/ref=E9F269353AC8E3403401D33127EA2C3CD0C67D942C68AEDE423084CB9D0209FA32BE80422A894A9B399466F8FE6144D50E2F606A823E72F1K" TargetMode = "External"/>
	<Relationship Id="rId19" Type="http://schemas.openxmlformats.org/officeDocument/2006/relationships/hyperlink" Target="consultantplus://offline/ref=E9F269353AC8E3403401D33127EA2C3CD0C67D942C68AEDE423084CB9D0209FA32BE80422A8B4C9B399466F8FE6144D50E2F606A823E72F1K" TargetMode = "External"/>
	<Relationship Id="rId20" Type="http://schemas.openxmlformats.org/officeDocument/2006/relationships/hyperlink" Target="consultantplus://offline/ref=E9F269353AC8E3403401D33127EA2C3CD0C67D942C68AEDE423084CB9D0209FA32BE80422A894A9B399466F8FE6144D50E2F606A823E72F1K" TargetMode = "External"/>
	<Relationship Id="rId21" Type="http://schemas.openxmlformats.org/officeDocument/2006/relationships/hyperlink" Target="consultantplus://offline/ref=E9F269353AC8E3403401D33127EA2C3CD0C774952164AEDE423084CB9D0209FA20BED84C2C8B56916FDB20ADF176F2K" TargetMode = "External"/>
	<Relationship Id="rId22" Type="http://schemas.openxmlformats.org/officeDocument/2006/relationships/hyperlink" Target="consultantplus://offline/ref=E9F269353AC8E3403401D33127EA2C3CD7C7749A2460AEDE423084CB9D0209FA20BED84C2C8B56916FDB20ADF176F2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Приморского края от 29.08.2022 N 590-пп
"Об утверждении Порядка предоставления в 2022 году субсидии социально ориентированным некоммерческим организациям, оказывающим услуги по социальной адаптации инвалидов и их семей, в том числе профессиональной ориентации, содействию в трудоустройстве и сопровождению при содействии в трудоустройстве инвалидов"</dc:title>
  <dcterms:created xsi:type="dcterms:W3CDTF">2022-12-10T10:05:59Z</dcterms:created>
</cp:coreProperties>
</file>