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РБ от 29.06.2023 N 500-р</w:t>
              <w:br/>
              <w:t xml:space="preserve">&lt;О перечне социально ориентированных некоммерческих организаций, осуществляющих свою деятельность на территории Республики Бурятия, которым в 2023 году предоставляются субсидии из республиканского бюджета на строительство, ремонт и реставрацию зданий и сооружений религиозного назначения и благоустройство территорий религиозных объектов&gt;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июня 2023 г. N 500-р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Б от 29.03.2013 N 158 (ред. от 24.06.2021) &quot;Об утверждении Порядка предоставления субсидий из республиканского бюджета на реализацию мероприятий по стимулированию деятельности социально ориентированных некоммерческих организаций, осуществляющих свою деятельность на территории Республики Бурятия, в части строительства, ремонта и реставрации зданий и сооружений религиозного назначения и благоустройства территорий религиозных объектов&quot; {КонсультантПлюс}">
        <w:r>
          <w:rPr>
            <w:sz w:val="20"/>
            <w:color w:val="0000ff"/>
          </w:rPr>
          <w:t xml:space="preserve">пунктом 2.26.2</w:t>
        </w:r>
      </w:hyperlink>
      <w:r>
        <w:rPr>
          <w:sz w:val="20"/>
        </w:rPr>
        <w:t xml:space="preserve"> Порядка предоставления субсидий из республиканского бюджета на реализацию мероприятий по стимулированию деятельности социально ориентированных некоммерческих организаций, осуществляющих свою деятельность на территории Республики Бурятия, в части строительства, ремонта и реставрации зданий и сооружений религиозного назначения и благоустройства территорий религиозных объектов, утвержденного постановлением Правительства Республики Бурятия от 29.03.2013 N 158, и протокола заседания Конкурсной комиссии от 8 июня 2023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Администрации Главы Республики Бурятия и Правительства Республики Бурятия (Гулгенов А.Ц.):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Предоставить победителям конкурса на предоставление в 2023 году субсидий из республиканского бюджета на реализацию мероприятий по стимулированию деятельности социально ориентированных некоммерческих организаций, осуществляющих свою деятельность на территории Республики Бурятия, в части строительства, ремонта и реставрации зданий и сооружений религиозного назначения и благоустройства территорий религиозных объектов - социально ориентированным некоммерческим организациям субсидии из средств республиканского бюджета на финансовое обеспечение затрат, связанных со строительством, ремонтом и реставрацией зданий и сооружений религиозного назначения и благоустройством территорий религиозных объектов, в соответствии с </w:t>
      </w:r>
      <w:hyperlink w:history="0" w:anchor="P28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Обеспечить заключение соглашений с победителями конкурса на предоставление в 2023 году субсидий из республиканского бюджета на реализацию мероприятий по стимулированию деятельности социально ориентированных некоммерческих организаций, осуществляющих свою деятельность на территории Республики Бурятия, в части строительства, ремонта и реставрации зданий и сооружений религиозного назначения и благоустройства территорий религиозных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А.ЦЫДЕНОВ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29.06.2023 N 500-р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СВОЮ ДЕЯТЕЛЬНОСТЬ НА ТЕРРИТОРИИ РЕСПУБЛИКИ</w:t>
      </w:r>
    </w:p>
    <w:p>
      <w:pPr>
        <w:pStyle w:val="2"/>
        <w:jc w:val="center"/>
      </w:pPr>
      <w:r>
        <w:rPr>
          <w:sz w:val="20"/>
        </w:rPr>
        <w:t xml:space="preserve">БУРЯТИЯ, КОТОРЫМ В 2023 ГОДУ ПРЕДОСТАВЛЯЮТСЯ СУБСИДИИ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НА СТРОИТЕЛЬСТВО, РЕМОНТ</w:t>
      </w:r>
    </w:p>
    <w:p>
      <w:pPr>
        <w:pStyle w:val="2"/>
        <w:jc w:val="center"/>
      </w:pPr>
      <w:r>
        <w:rPr>
          <w:sz w:val="20"/>
        </w:rPr>
        <w:t xml:space="preserve">И РЕСТАВРАЦИЮ ЗДАНИЙ И СООРУЖЕНИЙ РЕЛИГИОЗНОГО НАЗНАЧЕНИЯ</w:t>
      </w:r>
    </w:p>
    <w:p>
      <w:pPr>
        <w:pStyle w:val="2"/>
        <w:jc w:val="center"/>
      </w:pPr>
      <w:r>
        <w:rPr>
          <w:sz w:val="20"/>
        </w:rPr>
        <w:t xml:space="preserve">И БЛАГОУСТРОЙСТВО ТЕРРИТОРИЙ РЕЛИГИОЗНЫХ ОБЪЕКТОВ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365"/>
        <w:gridCol w:w="2977"/>
        <w:gridCol w:w="119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организации</w:t>
            </w:r>
          </w:p>
        </w:tc>
        <w:tc>
          <w:tcPr>
            <w:tcW w:w="2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работ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в руб.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буддистов Иволгинский дацан "Хамбын Хурээ", с. Верхняя Иволга Иволгинского района Республики Бурятия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духовно-просветительского центра Иволгинского дацана. Второй этап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5000000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Религиозная организация - духовная образовательная организация высшего религиозного образования Буддийский университет "Даши Чойнхорлин" имени Дамба Даржа Заяева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помещений Буддийского университета "Даши Чойнхорлин"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2500000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Православный приход храма святителя Николая, архиепископа Мирликийского, г. Улан-Удэ Республики Бурятия Улан-Удэнской и Бурятской Епархии Русской Православной Церкви (Московский Патриархат)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VI-й этап строительства кафедрального собора в парке им. Орешкова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15000000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древлеправославная религиозная организация Приход в честь Святителя Христова Николы с. Тарбагатай Тарбагатайского района Республики Бурятия Русской Древлеправославной Церкви (Древлеправославной Архиепископии Новозыбковской, Московской и Всея Руси)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древлеправославного храма Прихода в честь Святителя Христова Николы с. Тарбагатай (ремонт отмостки, установка дверей)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160000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буддистов Байкальский дацан Дамбадаржалин Кабанского района Республики Бурятия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Байкальского дацана Дамбадаржалин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древлеправославная религиозная организация Приход в честь Святителя Николы с. Куйтун Тарбагатайского района Республики Бурятия Русской Древлеправославной Церкви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древлеправославной церкви в с. Куйтун Тарбагатайского района Республики Бурятия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1400000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древлеправославная религиозная организация Приход в честь Рождества Христова г. Улан-Удэ Республики Бурятия Русской Древлеправославной Церкви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крыльца главного входа древлеправославной церкви в Октябрьском районе по ул. Ткацкой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2440000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буддистов Анинский дацан "Гандан Шаддувлинг" Хоринского района Республики Бурятия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ограды храмового комплекса Анинского дацана "Гандан Шаддувлинг"</w:t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2500000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30000000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РБ от 29.06.2023 N 500-р</w:t>
            <w:br/>
            <w:t>&lt;О перечне социально ориентированных некоммерческих организаций, 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42BD3802A66AF75DF4F6FA908BB5D29DE2F1C3AC330590ED0AC6DFEFB5C8D402CF83657374E1B898E0BD61BB6F107DB2C9373BF58D4D4B43056C2nF3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РБ от 29.06.2023 N 500-р
&lt;О перечне социально ориентированных некоммерческих организаций, осуществляющих свою деятельность на территории Республики Бурятия, которым в 2023 году предоставляются субсидии из республиканского бюджета на строительство, ремонт и реставрацию зданий и сооружений религиозного назначения и благоустройство территорий религиозных объектов&gt;</dc:title>
  <dcterms:created xsi:type="dcterms:W3CDTF">2023-10-31T12:55:39Z</dcterms:created>
</cp:coreProperties>
</file>