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02.06.2023 N 550</w:t>
              <w:br/>
              <w:t xml:space="preserve">"О предоставлении в 2023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 июня 2023 г. N 550</w:t>
      </w:r>
    </w:p>
    <w:p>
      <w:pPr>
        <w:pStyle w:val="2"/>
        <w:ind w:firstLine="540"/>
        <w:jc w:val="both"/>
      </w:pPr>
      <w:r>
        <w:rPr>
          <w:sz w:val="20"/>
        </w:rPr>
      </w:r>
    </w:p>
    <w:p>
      <w:pPr>
        <w:pStyle w:val="2"/>
        <w:jc w:val="center"/>
      </w:pPr>
      <w:r>
        <w:rPr>
          <w:sz w:val="20"/>
        </w:rPr>
        <w:t xml:space="preserve">О ПРЕДОСТАВЛЕНИИ В 2023 ГОДУ СУБСИДИИ САНКТ-ПЕТЕРБУРГСКОМУ</w:t>
      </w:r>
    </w:p>
    <w:p>
      <w:pPr>
        <w:pStyle w:val="2"/>
        <w:jc w:val="center"/>
      </w:pPr>
      <w:r>
        <w:rPr>
          <w:sz w:val="20"/>
        </w:rPr>
        <w:t xml:space="preserve">ГОРОДСКОМУ ОТДЕЛЕНИЮ ВСЕРОССИЙСКОЙ ОБЩЕСТВЕННОЙ ОРГАНИЗАЦИИ</w:t>
      </w:r>
    </w:p>
    <w:p>
      <w:pPr>
        <w:pStyle w:val="2"/>
        <w:jc w:val="center"/>
      </w:pPr>
      <w:r>
        <w:rPr>
          <w:sz w:val="20"/>
        </w:rPr>
        <w:t xml:space="preserve">"ВСЕРОССИЙСКОЕ ОБЩЕСТВО ОХРАНЫ ПАМЯТНИКОВ ИСТОРИИ</w:t>
      </w:r>
    </w:p>
    <w:p>
      <w:pPr>
        <w:pStyle w:val="2"/>
        <w:jc w:val="center"/>
      </w:pPr>
      <w:r>
        <w:rPr>
          <w:sz w:val="20"/>
        </w:rPr>
        <w:t xml:space="preserve">И КУЛЬТУРЫ" НА РЕАЛИЗАЦИЮ ПРОЕКТА "ОТКРЫТЫЙ ГОРОД"</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 Недействующая редакция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0" w:tooltip="Закон Санкт-Петербурга от 11.04.2011 N 153-41 (ред. от 22.02.2023)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1"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7" w:tooltip="ПОРЯДОК">
        <w:r>
          <w:rPr>
            <w:sz w:val="20"/>
            <w:color w:val="0000ff"/>
          </w:rPr>
          <w:t xml:space="preserve">Порядок</w:t>
        </w:r>
      </w:hyperlink>
      <w:r>
        <w:rPr>
          <w:sz w:val="20"/>
        </w:rPr>
        <w:t xml:space="preserve"> предоставления в 2023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 (далее - Порядок) согласно приложению.</w:t>
      </w:r>
    </w:p>
    <w:p>
      <w:pPr>
        <w:pStyle w:val="0"/>
        <w:spacing w:before="200" w:line-rule="auto"/>
        <w:ind w:firstLine="540"/>
        <w:jc w:val="both"/>
      </w:pPr>
      <w:r>
        <w:rPr>
          <w:sz w:val="20"/>
        </w:rPr>
        <w:t xml:space="preserve">2. Комитету по государственному контролю, использованию и охране памятников истории и культуры (далее - Комитет) в месячный срок в соответствии с </w:t>
      </w:r>
      <w:hyperlink w:history="0" r:id="rId12"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целях реализации Порядка принять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форму заявления на предоставление субсидии (далее - заявление) и сроки представления заявления в Комитет;</w:t>
      </w:r>
    </w:p>
    <w:p>
      <w:pPr>
        <w:pStyle w:val="0"/>
        <w:spacing w:before="200" w:line-rule="auto"/>
        <w:ind w:firstLine="540"/>
        <w:jc w:val="both"/>
      </w:pPr>
      <w:r>
        <w:rPr>
          <w:sz w:val="20"/>
        </w:rPr>
        <w:t xml:space="preserve">перечень документов на предоставление субсидии, в том числе документов, подтверждающих затраты на реализацию проекта "Открытый город" (далее - документы), и требования к ним;</w:t>
      </w:r>
    </w:p>
    <w:p>
      <w:pPr>
        <w:pStyle w:val="0"/>
        <w:spacing w:before="200" w:line-rule="auto"/>
        <w:ind w:firstLine="540"/>
        <w:jc w:val="both"/>
      </w:pPr>
      <w:r>
        <w:rPr>
          <w:sz w:val="20"/>
        </w:rPr>
        <w:t xml:space="preserve">порядок рассмотрения Комитетом заявления и документов;</w:t>
      </w:r>
    </w:p>
    <w:p>
      <w:pPr>
        <w:pStyle w:val="0"/>
        <w:spacing w:before="200" w:line-rule="auto"/>
        <w:ind w:firstLine="540"/>
        <w:jc w:val="both"/>
      </w:pPr>
      <w:r>
        <w:rPr>
          <w:sz w:val="20"/>
        </w:rPr>
        <w:t xml:space="preserve">порядок заключения между Комитетом и получателем субсидии соглашения о предоставлении субсидии;</w:t>
      </w:r>
    </w:p>
    <w:p>
      <w:pPr>
        <w:pStyle w:val="0"/>
        <w:spacing w:before="200" w:line-rule="auto"/>
        <w:ind w:firstLine="540"/>
        <w:jc w:val="both"/>
      </w:pPr>
      <w:r>
        <w:rPr>
          <w:sz w:val="20"/>
        </w:rPr>
        <w:t xml:space="preserve">срок возврата в бюджет Санкт-Петербурга не использованного получателем субсидии в отчетном финансовом году остатка субсидии;</w:t>
      </w:r>
    </w:p>
    <w:p>
      <w:pPr>
        <w:pStyle w:val="0"/>
        <w:spacing w:before="200" w:line-rule="auto"/>
        <w:ind w:firstLine="540"/>
        <w:jc w:val="both"/>
      </w:pPr>
      <w:r>
        <w:rPr>
          <w:sz w:val="20"/>
        </w:rPr>
        <w:t xml:space="preserve">порядок и сроки представления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порядок и сроки представления отчетности о достижении значений результата предоставления субсидии (далее - результат) и характеристики результата (показателя, необходимого для достижения результата);</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Линченко Н.В.</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02.06.2023 N 550</w:t>
      </w:r>
    </w:p>
    <w:p>
      <w:pPr>
        <w:pStyle w:val="0"/>
        <w:ind w:firstLine="54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В 2023 ГОДУ СУБСИДИИ САНКТ-ПЕТЕРБУРГСКОМУ</w:t>
      </w:r>
    </w:p>
    <w:p>
      <w:pPr>
        <w:pStyle w:val="2"/>
        <w:jc w:val="center"/>
      </w:pPr>
      <w:r>
        <w:rPr>
          <w:sz w:val="20"/>
        </w:rPr>
        <w:t xml:space="preserve">ГОРОДСКОМУ ОТДЕЛЕНИЮ ВСЕРОССИЙСКОЙ ОБЩЕСТВЕННОЙ ОРГАНИЗАЦИИ</w:t>
      </w:r>
    </w:p>
    <w:p>
      <w:pPr>
        <w:pStyle w:val="2"/>
        <w:jc w:val="center"/>
      </w:pPr>
      <w:r>
        <w:rPr>
          <w:sz w:val="20"/>
        </w:rPr>
        <w:t xml:space="preserve">"ВСЕРОССИЙСКОЕ ОБЩЕСТВО ОХРАНЫ ПАМЯТНИКОВ ИСТОРИИ</w:t>
      </w:r>
    </w:p>
    <w:p>
      <w:pPr>
        <w:pStyle w:val="2"/>
        <w:jc w:val="center"/>
      </w:pPr>
      <w:r>
        <w:rPr>
          <w:sz w:val="20"/>
        </w:rPr>
        <w:t xml:space="preserve">И КУЛЬТУРЫ" НА РЕАЛИЗАЦИЮ ПРОЕКТА "ОТКРЫТЫЙ ГОРОД"</w:t>
      </w:r>
    </w:p>
    <w:p>
      <w:pPr>
        <w:pStyle w:val="0"/>
        <w:ind w:firstLine="540"/>
        <w:jc w:val="both"/>
      </w:pPr>
      <w:r>
        <w:rPr>
          <w:sz w:val="20"/>
        </w:rPr>
      </w:r>
    </w:p>
    <w:p>
      <w:pPr>
        <w:pStyle w:val="2"/>
        <w:outlineLvl w:val="1"/>
        <w:jc w:val="center"/>
      </w:pPr>
      <w:r>
        <w:rPr>
          <w:sz w:val="20"/>
        </w:rPr>
        <w:t xml:space="preserve">1. Общие положения о предоставлении субсидии</w:t>
      </w:r>
    </w:p>
    <w:p>
      <w:pPr>
        <w:pStyle w:val="0"/>
        <w:ind w:firstLine="540"/>
        <w:jc w:val="both"/>
      </w:pPr>
      <w:r>
        <w:rPr>
          <w:sz w:val="20"/>
        </w:rPr>
      </w:r>
    </w:p>
    <w:bookmarkStart w:id="45" w:name="P45"/>
    <w:bookmarkEnd w:id="45"/>
    <w:p>
      <w:pPr>
        <w:pStyle w:val="0"/>
        <w:ind w:firstLine="540"/>
        <w:jc w:val="both"/>
      </w:pPr>
      <w:r>
        <w:rPr>
          <w:sz w:val="20"/>
        </w:rPr>
        <w:t xml:space="preserve">1.1. Порядок предоставления в 2023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 (далее - Порядок) устанавливает правила предоставления в 2023 году субсидии, предусмотренной Комитету по государственному контролю, использованию и охране памятников истории и культуры (далее - Комитет) </w:t>
      </w:r>
      <w:hyperlink w:history="0" r:id="rId13" w:tooltip="Закон Санкт-Петербурга от 29.11.2022 N 666-104 &quot;О бюджете Санкт-Петербурга на 2023 год и на плановый период 2024 и 2025 годов&quot; (принят ЗС СПб 23.11.2022) ------------ Недействующая редакция {КонсультантПлюс}">
        <w:r>
          <w:rPr>
            <w:sz w:val="20"/>
            <w:color w:val="0000ff"/>
          </w:rPr>
          <w:t xml:space="preserve">статьей расходов</w:t>
        </w:r>
      </w:hyperlink>
      <w:r>
        <w:rPr>
          <w:sz w:val="20"/>
        </w:rPr>
        <w:t xml:space="preserve"> "Субсидия социально ориентированной некоммерческой организации Санкт-Петербургскому городскому отделению "Всероссийское общество охраны памятников истории и культуры" (ВООПИиК) на реализацию проекта "Открытый город" (код целевой статьи 0810071450) в приложении 2 к Закону Санкт-Петербурга от 23.11.2022 N 666-104 "О бюджете Санкт-Петербурга на 2023 год и на плановый период 2024 и 2025 годов" (далее - субсидия) в соответствии с </w:t>
      </w:r>
      <w:hyperlink w:history="0" r:id="rId14" w:tooltip="Закон Санкт-Петербурга от 11.04.2011 N 153-41 (ред. от 22.02.2023)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(далее - Закон Санкт-Петербурга) и </w:t>
      </w:r>
      <w:hyperlink w:history="0" r:id="rId15"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w:t>
      </w:r>
    </w:p>
    <w:p>
      <w:pPr>
        <w:pStyle w:val="0"/>
        <w:spacing w:before="200" w:line-rule="auto"/>
        <w:ind w:firstLine="540"/>
        <w:jc w:val="both"/>
      </w:pPr>
      <w:r>
        <w:rPr>
          <w:sz w:val="20"/>
        </w:rPr>
        <w:t xml:space="preserve">1.2. Субсидия предоставляется на безвозмездной и безвозвратной основе Санкт-Петербургскому городскому отделению Всероссийской общественной организации "Всероссийское общество охраны памятников истории и культуры", осуществляющему на территории Санкт-Петербурга в соответствии с учредительными документами виды деятельности, указанные в </w:t>
      </w:r>
      <w:hyperlink w:history="0" r:id="rId16" w:tooltip="Закон Санкт-Петербурга от 11.04.2011 N 153-41 (ред. от 22.02.2023)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статье 3</w:t>
        </w:r>
      </w:hyperlink>
      <w:r>
        <w:rPr>
          <w:sz w:val="20"/>
        </w:rPr>
        <w:t xml:space="preserve"> Закона Санкт-Петербурга (далее - получатель субсидии).</w:t>
      </w:r>
    </w:p>
    <w:bookmarkStart w:id="47" w:name="P47"/>
    <w:bookmarkEnd w:id="47"/>
    <w:p>
      <w:pPr>
        <w:pStyle w:val="0"/>
        <w:spacing w:before="200" w:line-rule="auto"/>
        <w:ind w:firstLine="540"/>
        <w:jc w:val="both"/>
      </w:pPr>
      <w:r>
        <w:rPr>
          <w:sz w:val="20"/>
        </w:rPr>
        <w:t xml:space="preserve">1.3. Цель предоставления субсидии - финансовое обеспечение затрат получателя субсидии, возникших в 2023 году, в связи с реализацией проекта "Открытый город" (далее - затраты).</w:t>
      </w:r>
    </w:p>
    <w:p>
      <w:pPr>
        <w:pStyle w:val="0"/>
        <w:spacing w:before="200" w:line-rule="auto"/>
        <w:ind w:firstLine="540"/>
        <w:jc w:val="both"/>
      </w:pPr>
      <w:r>
        <w:rPr>
          <w:sz w:val="20"/>
        </w:rPr>
        <w:t xml:space="preserve">Под проектом "Открытый город" (далее - проект) понимается реализуемый получателем субсидии перечень социально значимых культурно-просветительских мероприятий, направленных на популяризацию объектов культурного наследия, расположенных на территории Санкт-Петербурга (далее - Объекты) и обеспечивающих организованное посещение гражданами Объектов (далее - Мероприятия).</w:t>
      </w:r>
    </w:p>
    <w:p>
      <w:pPr>
        <w:pStyle w:val="0"/>
        <w:spacing w:before="200" w:line-rule="auto"/>
        <w:ind w:firstLine="540"/>
        <w:jc w:val="both"/>
      </w:pPr>
      <w:r>
        <w:rPr>
          <w:sz w:val="20"/>
        </w:rPr>
        <w:t xml:space="preserve">1.4. Субсидия предоставляется в размере средств, предусмотренных Комитету </w:t>
      </w:r>
      <w:hyperlink w:history="0" r:id="rId17" w:tooltip="Закон Санкт-Петербурга от 29.11.2022 N 666-104 &quot;О бюджете Санкт-Петербурга на 2023 год и на плановый период 2024 и 2025 годов&quot; (принят ЗС СПб 23.11.2022) ------------ Недействующая редакция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по статье расходов, указанной в </w:t>
      </w:r>
      <w:hyperlink w:history="0" w:anchor="P45" w:tooltip="1.1. Порядок предоставления в 2023 году субсидии Санкт-Петербургскому городскому отделению Всероссийской общественной организации &quot;Всероссийское общество охраны памятников истории и культуры&quot; на реализацию проекта &quot;Открытый город&quot; (далее - Порядок) устанавливает правила предоставления в 2023 году субсидии, предусмотренной Комитету по государственному контролю, использованию и охране памятников истории и культуры (далее - Комитет) статьей расходов &quot;Субсидия социально ориентированной некоммерческой организ...">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1.5. Сведения о субсидии размещены на едином портале бюджетной системы Российской Федерации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bookmarkStart w:id="54" w:name="P54"/>
    <w:bookmarkEnd w:id="54"/>
    <w:p>
      <w:pPr>
        <w:pStyle w:val="0"/>
        <w:ind w:firstLine="540"/>
        <w:jc w:val="both"/>
      </w:pPr>
      <w:r>
        <w:rPr>
          <w:sz w:val="20"/>
        </w:rPr>
        <w:t xml:space="preserve">2.1. Условия предоставления субсидии, в том числе требования к получателю субсидии:</w:t>
      </w:r>
    </w:p>
    <w:p>
      <w:pPr>
        <w:pStyle w:val="0"/>
        <w:spacing w:before="200" w:line-rule="auto"/>
        <w:ind w:firstLine="540"/>
        <w:jc w:val="both"/>
      </w:pPr>
      <w:r>
        <w:rPr>
          <w:sz w:val="20"/>
        </w:rPr>
        <w:t xml:space="preserve">реализация на территории Санкт-Петербурга Мероприятий в соответствии с планом Мероприятий, согласованным с Комитетом (далее - план Мероприятий);</w:t>
      </w:r>
    </w:p>
    <w:p>
      <w:pPr>
        <w:pStyle w:val="0"/>
        <w:spacing w:before="200" w:line-rule="auto"/>
        <w:ind w:firstLine="540"/>
        <w:jc w:val="both"/>
      </w:pPr>
      <w:r>
        <w:rPr>
          <w:sz w:val="20"/>
        </w:rPr>
        <w:t xml:space="preserve">реализация Мероприятий без взимания платы с граждан;</w:t>
      </w:r>
    </w:p>
    <w:p>
      <w:pPr>
        <w:pStyle w:val="0"/>
        <w:spacing w:before="200" w:line-rule="auto"/>
        <w:ind w:firstLine="540"/>
        <w:jc w:val="both"/>
      </w:pPr>
      <w:r>
        <w:rPr>
          <w:sz w:val="20"/>
        </w:rPr>
        <w:t xml:space="preserve">соблюдение получателем субсидии при проведении Мероприятий требований и ограничений, действующих в соответствующий период на территории Санкт-Петербурга, в целях противодействия распространению на территории Санкт-Петербурга новой коронавирусной инфекции (COVID-19);</w:t>
      </w:r>
    </w:p>
    <w:p>
      <w:pPr>
        <w:pStyle w:val="0"/>
        <w:spacing w:before="200" w:line-rule="auto"/>
        <w:ind w:firstLine="540"/>
        <w:jc w:val="both"/>
      </w:pPr>
      <w:r>
        <w:rPr>
          <w:sz w:val="20"/>
        </w:rPr>
        <w:t xml:space="preserve">обеспечение получателем субсидии информационного сопровождения проекта в соответствии с планом Мероприятий;</w:t>
      </w:r>
    </w:p>
    <w:p>
      <w:pPr>
        <w:pStyle w:val="0"/>
        <w:spacing w:before="200" w:line-rule="auto"/>
        <w:ind w:firstLine="540"/>
        <w:jc w:val="both"/>
      </w:pPr>
      <w:r>
        <w:rPr>
          <w:sz w:val="20"/>
        </w:rPr>
        <w:t xml:space="preserve">обеспечение получателем субсидии привлечения к работе в проекте гидов, имеющих среднее специальное, высшее или незаконченное высшее образование и специализирующихся в области истории и теории художественной культуры, культурологии, истории и теории искусств, истории, регионоведения, архитектуры, реставрации Объектов, или имеющих образование, соответствующее профилю проводимых Мероприятий, или имеющих квалификацию гидов или экскурсоводов, подтвержденную документально, или предоставляемых пользователем Объекта;</w:t>
      </w:r>
    </w:p>
    <w:p>
      <w:pPr>
        <w:pStyle w:val="0"/>
        <w:spacing w:before="200" w:line-rule="auto"/>
        <w:ind w:firstLine="540"/>
        <w:jc w:val="both"/>
      </w:pPr>
      <w:r>
        <w:rPr>
          <w:sz w:val="20"/>
        </w:rPr>
        <w:t xml:space="preserve">обеспечение получателем субсидии записи граждан на участие в Мероприятиях по многоканальному телефону с максимальным сроком ожидания ответа оператора - пять минут и(или) онлайн-записи на официальном информационном интернет-ресурсе проекта;</w:t>
      </w:r>
    </w:p>
    <w:p>
      <w:pPr>
        <w:pStyle w:val="0"/>
        <w:spacing w:before="200" w:line-rule="auto"/>
        <w:ind w:firstLine="540"/>
        <w:jc w:val="both"/>
      </w:pPr>
      <w:r>
        <w:rPr>
          <w:sz w:val="20"/>
        </w:rPr>
        <w:t xml:space="preserve">согласие получателя субсидии и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Комитетом проверки соблюдения порядка и условий предоставления субсидии, в том числе в части достижения результата предоставления субсидии (далее - проверка), а также на осуществление проверок органами государственного финансового контроля в соответствии с Бюджетным </w:t>
      </w:r>
      <w:hyperlink w:history="0" r:id="rId18"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и включение таких положений в соглашение о предоставлении субсидии (далее - соглашение);</w:t>
      </w:r>
    </w:p>
    <w:p>
      <w:pPr>
        <w:pStyle w:val="0"/>
        <w:spacing w:before="200" w:line-rule="auto"/>
        <w:ind w:firstLine="540"/>
        <w:jc w:val="both"/>
      </w:pPr>
      <w:r>
        <w:rPr>
          <w:sz w:val="20"/>
        </w:rPr>
        <w:t xml:space="preserve">неприобретение получателем субсидии, а также контрагентами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наличие обязательства получателя субсидии возвратить не использованный в отчетном финансовом году остаток субсидии в бюджет Санкт-Петербурга в срок, установленный Комитетом;</w:t>
      </w:r>
    </w:p>
    <w:p>
      <w:pPr>
        <w:pStyle w:val="0"/>
        <w:spacing w:before="200" w:line-rule="auto"/>
        <w:ind w:firstLine="540"/>
        <w:jc w:val="both"/>
      </w:pPr>
      <w:r>
        <w:rPr>
          <w:sz w:val="20"/>
        </w:rPr>
        <w:t xml:space="preserve">документальное обоснование затрат;</w:t>
      </w:r>
    </w:p>
    <w:p>
      <w:pPr>
        <w:pStyle w:val="0"/>
        <w:spacing w:before="200" w:line-rule="auto"/>
        <w:ind w:firstLine="540"/>
        <w:jc w:val="both"/>
      </w:pPr>
      <w:r>
        <w:rPr>
          <w:sz w:val="20"/>
        </w:rPr>
        <w:t xml:space="preserve">отсутствие у получателя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по которым не исполнены вступившие в силу постановления о назначении административного наказания, за период не менее одного календарного года, предшествующего году получения субсидии;</w:t>
      </w:r>
    </w:p>
    <w:p>
      <w:pPr>
        <w:pStyle w:val="0"/>
        <w:spacing w:before="200" w:line-rule="auto"/>
        <w:ind w:firstLine="540"/>
        <w:jc w:val="both"/>
      </w:pPr>
      <w:r>
        <w:rPr>
          <w:sz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субсидии или ее частей на счет получателя субсидии;</w:t>
      </w:r>
    </w:p>
    <w:p>
      <w:pPr>
        <w:pStyle w:val="0"/>
        <w:spacing w:before="200" w:line-rule="auto"/>
        <w:ind w:firstLine="540"/>
        <w:jc w:val="both"/>
      </w:pPr>
      <w:r>
        <w:rPr>
          <w:sz w:val="20"/>
        </w:rPr>
        <w:t xml:space="preserve">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19"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предоставления субсидии (далее - результат) и характеристики результата (показателя, необходимого для достижения результата) (далее - характеристика)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0"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требования, которым должен соответствовать получатель субсидии на 1 число месяца, предшествующего месяцу представления в Комитет заявления на предоставление субсидии (далее - заявление):</w:t>
      </w:r>
    </w:p>
    <w:p>
      <w:pPr>
        <w:pStyle w:val="0"/>
        <w:spacing w:before="200" w:line-rule="auto"/>
        <w:ind w:firstLine="540"/>
        <w:jc w:val="both"/>
      </w:pPr>
      <w:r>
        <w:rPr>
          <w:sz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реестре недобросовестных поставщиков (подрядчиков, исполнителей), ведение которого осуществляется в соответствии с Федеральным </w:t>
      </w:r>
      <w:hyperlink w:history="0"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должна отсутствовать информация о получателе субсидии;</w:t>
      </w:r>
    </w:p>
    <w:p>
      <w:pPr>
        <w:pStyle w:val="0"/>
        <w:spacing w:before="200" w:line-rule="auto"/>
        <w:ind w:firstLine="540"/>
        <w:jc w:val="both"/>
      </w:pPr>
      <w:r>
        <w:rPr>
          <w:sz w:val="20"/>
        </w:rPr>
        <w:t xml:space="preserve">у получателя субсидии должна отсутствовать просроченная задолженность по возврату в бюджет Санкт-Петербурга субсидий (за исключением субсидий, предоставляемых в целях возмещения недополученных доходов, в целях финансового обеспечения или возмещения затрат, связанных с поставкой товаров (выполнением работ, оказанием услуг) получателем субсидии физическим лицам),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получатель субсидии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получатель субсидии не должен являться иностранным юридическим лицами,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получатель субсидии не должен получать средства из бюджета Санкт-Петербурга на основании иных нормативных правовых актов на цели, указанные в </w:t>
      </w:r>
      <w:hyperlink w:history="0" w:anchor="P47" w:tooltip="1.3. Цель предоставления субсидии - финансовое обеспечение затрат получателя субсидии, возникших в 2023 году, в связи с реализацией проекта &quot;Открытый город&quot; (далее - затраты).">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 Результатом является реализация в 2023 году на территории Санкт-Петербурга проекта.</w:t>
      </w:r>
    </w:p>
    <w:p>
      <w:pPr>
        <w:pStyle w:val="0"/>
        <w:spacing w:before="200" w:line-rule="auto"/>
        <w:ind w:firstLine="540"/>
        <w:jc w:val="both"/>
      </w:pPr>
      <w:r>
        <w:rPr>
          <w:sz w:val="20"/>
        </w:rPr>
        <w:t xml:space="preserve">Характеристикой является проведение в 2023 году Мероприятий в количестве, установленном планом Мероприятий. Значение характеристики устанавливается в соглашении.</w:t>
      </w:r>
    </w:p>
    <w:p>
      <w:pPr>
        <w:pStyle w:val="0"/>
        <w:spacing w:before="200" w:line-rule="auto"/>
        <w:ind w:firstLine="540"/>
        <w:jc w:val="both"/>
      </w:pPr>
      <w:r>
        <w:rPr>
          <w:sz w:val="20"/>
        </w:rPr>
        <w:t xml:space="preserve">2.3. В случае внесения изменений в план Мероприятий получатель субсидии представляет в Комитет на согласование новый план Мероприятий с материалами, обосновывающими необходимость внесения изменений и подтверждающими обеспечение выполнения получателем субсидии общего количества Мероприятий, установленного планом Мероприятий.</w:t>
      </w:r>
    </w:p>
    <w:bookmarkStart w:id="81" w:name="P81"/>
    <w:bookmarkEnd w:id="81"/>
    <w:p>
      <w:pPr>
        <w:pStyle w:val="0"/>
        <w:spacing w:before="200" w:line-rule="auto"/>
        <w:ind w:firstLine="540"/>
        <w:jc w:val="both"/>
      </w:pPr>
      <w:r>
        <w:rPr>
          <w:sz w:val="20"/>
        </w:rPr>
        <w:t xml:space="preserve">2.4. Для получения субсидии получатель субсидии в сроки, установленные Комитетом, представляет в Комитет заявление и документы на предоставление субсидии, в том числе документы, обосновывающие затраты (далее - документы).</w:t>
      </w:r>
    </w:p>
    <w:p>
      <w:pPr>
        <w:pStyle w:val="0"/>
        <w:spacing w:before="200" w:line-rule="auto"/>
        <w:ind w:firstLine="540"/>
        <w:jc w:val="both"/>
      </w:pPr>
      <w:r>
        <w:rPr>
          <w:sz w:val="20"/>
        </w:rPr>
        <w:t xml:space="preserve">Форма заявления, перечень документов и требования к документам утверждаются Комитетом.</w:t>
      </w:r>
    </w:p>
    <w:bookmarkStart w:id="83" w:name="P83"/>
    <w:bookmarkEnd w:id="83"/>
    <w:p>
      <w:pPr>
        <w:pStyle w:val="0"/>
        <w:spacing w:before="200" w:line-rule="auto"/>
        <w:ind w:firstLine="540"/>
        <w:jc w:val="both"/>
      </w:pPr>
      <w:r>
        <w:rPr>
          <w:sz w:val="20"/>
        </w:rPr>
        <w:t xml:space="preserve">2.5. Комитет организует рассмотрение заявления и документов в порядке, утвержденном Комитетом, в срок не более 15 рабочих дней со дня представления получателем субсидии заявления и документов. По окончании рассмотрения заявления и документов Комитетом принимается решение о предоставлении субсидии получателю субсидии либо об отказе в предоставлении субсидии.</w:t>
      </w:r>
    </w:p>
    <w:p>
      <w:pPr>
        <w:pStyle w:val="0"/>
        <w:spacing w:before="200" w:line-rule="auto"/>
        <w:ind w:firstLine="540"/>
        <w:jc w:val="both"/>
      </w:pPr>
      <w:r>
        <w:rPr>
          <w:sz w:val="20"/>
        </w:rPr>
        <w:t xml:space="preserve">Решение о предоставлении субсидии принимается в форме распоряжения Комитета, в котором указываются получатель субсидии и размер предоставляемой субсидии.</w:t>
      </w:r>
    </w:p>
    <w:bookmarkStart w:id="85" w:name="P85"/>
    <w:bookmarkEnd w:id="85"/>
    <w:p>
      <w:pPr>
        <w:pStyle w:val="0"/>
        <w:spacing w:before="200" w:line-rule="auto"/>
        <w:ind w:firstLine="540"/>
        <w:jc w:val="both"/>
      </w:pPr>
      <w:r>
        <w:rPr>
          <w:sz w:val="20"/>
        </w:rPr>
        <w:t xml:space="preserve">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10 рабочих дней с даты принятия решения о предоставлении субсидии (для перечисления части субсидии, указанной в </w:t>
      </w:r>
      <w:hyperlink w:history="0" w:anchor="P97" w:tooltip="40 процентов суммы субсидии (далее - первый аванс) в течение семи рабочих дней со дня заключения соглашения;">
        <w:r>
          <w:rPr>
            <w:sz w:val="20"/>
            <w:color w:val="0000ff"/>
          </w:rPr>
          <w:t xml:space="preserve">абзаце втором пункта 2.11</w:t>
        </w:r>
      </w:hyperlink>
      <w:r>
        <w:rPr>
          <w:sz w:val="20"/>
        </w:rPr>
        <w:t xml:space="preserve"> Порядка);</w:t>
      </w:r>
    </w:p>
    <w:p>
      <w:pPr>
        <w:pStyle w:val="0"/>
        <w:spacing w:before="200" w:line-rule="auto"/>
        <w:ind w:firstLine="540"/>
        <w:jc w:val="both"/>
      </w:pPr>
      <w:r>
        <w:rPr>
          <w:sz w:val="20"/>
        </w:rPr>
        <w:t xml:space="preserve">не позднее пяти рабочих дней после подписания акта проверки отчетности, указанной в </w:t>
      </w:r>
      <w:hyperlink w:history="0" w:anchor="P116"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ранее предоставленной части субсидии (для перечисления частей субсидии, указанных в </w:t>
      </w:r>
      <w:hyperlink w:history="0" w:anchor="P98" w:tooltip="30 процентов суммы субсидии (далее - второй аванс) в течение семи рабочих дней со дня подписания акта проверки отчетности, указанной в пункте 3.2 Порядка, в отношении средств первого аванса;">
        <w:r>
          <w:rPr>
            <w:sz w:val="20"/>
            <w:color w:val="0000ff"/>
          </w:rPr>
          <w:t xml:space="preserve">абзацах третьем</w:t>
        </w:r>
      </w:hyperlink>
      <w:r>
        <w:rPr>
          <w:sz w:val="20"/>
        </w:rPr>
        <w:t xml:space="preserve"> и </w:t>
      </w:r>
      <w:hyperlink w:history="0" w:anchor="P99" w:tooltip="30 процентов суммы субсидии в течение семи рабочих дней со дня подписания акта проверки отчетности, указанной в пункте 3.2 Порядка, в отношении средств второго аванса.">
        <w:r>
          <w:rPr>
            <w:sz w:val="20"/>
            <w:color w:val="0000ff"/>
          </w:rPr>
          <w:t xml:space="preserve">четвертом пункта 2.11</w:t>
        </w:r>
      </w:hyperlink>
      <w:r>
        <w:rPr>
          <w:sz w:val="20"/>
        </w:rPr>
        <w:t xml:space="preserve"> Порядка).</w:t>
      </w:r>
    </w:p>
    <w:p>
      <w:pPr>
        <w:pStyle w:val="0"/>
        <w:spacing w:before="200" w:line-rule="auto"/>
        <w:ind w:firstLine="540"/>
        <w:jc w:val="both"/>
      </w:pPr>
      <w:r>
        <w:rPr>
          <w:sz w:val="20"/>
        </w:rPr>
        <w:t xml:space="preserve">2.7. Субсидия предоставляется в соответствии с соглашением, заключаемым между Комитетом и получателем субсидии по форме, утвержденной Комитетом финансов Санкт-Петербурга, в срок не более десяти рабочих дней со дня принятия решения о предоставлении субсидии.</w:t>
      </w:r>
    </w:p>
    <w:p>
      <w:pPr>
        <w:pStyle w:val="0"/>
        <w:spacing w:before="200" w:line-rule="auto"/>
        <w:ind w:firstLine="540"/>
        <w:jc w:val="both"/>
      </w:pPr>
      <w:r>
        <w:rPr>
          <w:sz w:val="20"/>
        </w:rPr>
        <w:t xml:space="preserve">Соглашение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w:t>
      </w:r>
    </w:p>
    <w:bookmarkStart w:id="90" w:name="P90"/>
    <w:bookmarkEnd w:id="90"/>
    <w:p>
      <w:pPr>
        <w:pStyle w:val="0"/>
        <w:spacing w:before="200" w:line-rule="auto"/>
        <w:ind w:firstLine="540"/>
        <w:jc w:val="both"/>
      </w:pPr>
      <w:r>
        <w:rPr>
          <w:sz w:val="20"/>
        </w:rPr>
        <w:t xml:space="preserve">2.8. 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соглашении, Комитет в течение пяти рабочих дней со дня возникновения указанного обстоятельства направляет получателю субсидии проект дополнительного соглашения к соглашению об уменьшении размера субсидии (далее - дополнительное соглашение). Получатель субсидии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дополнительного соглашения получателем субсидии в срок, указанный в </w:t>
      </w:r>
      <w:hyperlink w:history="0" w:anchor="P90" w:tooltip="2.8. 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соглашении, Комитет в течение пяти рабочих дней со дня возникновения указанного обстоятельства направляет получателю субсидии проект дополнительного соглашения к соглашению об уменьшении размера субсидии (далее - дополнительное соглашение). Получатель субсидии подписыв...">
        <w:r>
          <w:rPr>
            <w:sz w:val="20"/>
            <w:color w:val="0000ff"/>
          </w:rPr>
          <w:t xml:space="preserve">абзаце первом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2.9. В соглашение включаются положения о том, что:</w:t>
      </w:r>
    </w:p>
    <w:p>
      <w:pPr>
        <w:pStyle w:val="0"/>
        <w:spacing w:before="200" w:line-rule="auto"/>
        <w:ind w:firstLine="540"/>
        <w:jc w:val="both"/>
      </w:pPr>
      <w:r>
        <w:rPr>
          <w:sz w:val="20"/>
        </w:rPr>
        <w:t xml:space="preserve">получатель субсидии обязуется поддерживать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w:t>
      </w:r>
    </w:p>
    <w:p>
      <w:pPr>
        <w:pStyle w:val="0"/>
        <w:spacing w:before="200" w:line-rule="auto"/>
        <w:ind w:firstLine="540"/>
        <w:jc w:val="both"/>
      </w:pPr>
      <w:r>
        <w:rPr>
          <w:sz w:val="20"/>
        </w:rPr>
        <w:t xml:space="preserve">получатель субсидии обязуется в порядке и сроки, которые указаны в </w:t>
      </w:r>
      <w:hyperlink w:history="0" w:anchor="P85" w:tooltip="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еля субсидии и заверенную о...">
        <w:r>
          <w:rPr>
            <w:sz w:val="20"/>
            <w:color w:val="0000ff"/>
          </w:rPr>
          <w:t xml:space="preserve">пункте 2.6</w:t>
        </w:r>
      </w:hyperlink>
      <w:r>
        <w:rPr>
          <w:sz w:val="20"/>
        </w:rPr>
        <w:t xml:space="preserve"> Порядка, представлять сведения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принятия решения о перечислении частей субсидии на счет получателя субсидии.</w:t>
      </w:r>
    </w:p>
    <w:p>
      <w:pPr>
        <w:pStyle w:val="0"/>
        <w:spacing w:before="200" w:line-rule="auto"/>
        <w:ind w:firstLine="540"/>
        <w:jc w:val="both"/>
      </w:pPr>
      <w:r>
        <w:rPr>
          <w:sz w:val="20"/>
        </w:rPr>
        <w:t xml:space="preserve">2.10. Порядок заключения между Комитетом и получателем субсидии соглашения утверждается Комитетом.</w:t>
      </w:r>
    </w:p>
    <w:p>
      <w:pPr>
        <w:pStyle w:val="0"/>
        <w:spacing w:before="200" w:line-rule="auto"/>
        <w:ind w:firstLine="540"/>
        <w:jc w:val="both"/>
      </w:pPr>
      <w:r>
        <w:rPr>
          <w:sz w:val="20"/>
        </w:rPr>
        <w:t xml:space="preserve">2.11. Перечисление субсидии осуществляется на расчетный счет, указанный в соглашении, открытый получателем субсидии в учреждениях Центрального банка Российской Федерации или кредитных организациях, в следующем порядке:</w:t>
      </w:r>
    </w:p>
    <w:bookmarkStart w:id="97" w:name="P97"/>
    <w:bookmarkEnd w:id="97"/>
    <w:p>
      <w:pPr>
        <w:pStyle w:val="0"/>
        <w:spacing w:before="200" w:line-rule="auto"/>
        <w:ind w:firstLine="540"/>
        <w:jc w:val="both"/>
      </w:pPr>
      <w:r>
        <w:rPr>
          <w:sz w:val="20"/>
        </w:rPr>
        <w:t xml:space="preserve">40 процентов суммы субсидии (далее - первый аванс) в течение семи рабочих дней со дня заключения соглашения;</w:t>
      </w:r>
    </w:p>
    <w:bookmarkStart w:id="98" w:name="P98"/>
    <w:bookmarkEnd w:id="98"/>
    <w:p>
      <w:pPr>
        <w:pStyle w:val="0"/>
        <w:spacing w:before="200" w:line-rule="auto"/>
        <w:ind w:firstLine="540"/>
        <w:jc w:val="both"/>
      </w:pPr>
      <w:r>
        <w:rPr>
          <w:sz w:val="20"/>
        </w:rPr>
        <w:t xml:space="preserve">30 процентов суммы субсидии (далее - второй аванс) в течение семи рабочих дней со дня подписания акта проверки отчетности, указанной в </w:t>
      </w:r>
      <w:hyperlink w:history="0" w:anchor="P116"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средств первого аванса;</w:t>
      </w:r>
    </w:p>
    <w:bookmarkStart w:id="99" w:name="P99"/>
    <w:bookmarkEnd w:id="99"/>
    <w:p>
      <w:pPr>
        <w:pStyle w:val="0"/>
        <w:spacing w:before="200" w:line-rule="auto"/>
        <w:ind w:firstLine="540"/>
        <w:jc w:val="both"/>
      </w:pPr>
      <w:r>
        <w:rPr>
          <w:sz w:val="20"/>
        </w:rPr>
        <w:t xml:space="preserve">30 процентов суммы субсидии в течение семи рабочих дней со дня подписания акта проверки отчетности, указанной в </w:t>
      </w:r>
      <w:hyperlink w:history="0" w:anchor="P116"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средств второго аванса.</w:t>
      </w:r>
    </w:p>
    <w:p>
      <w:pPr>
        <w:pStyle w:val="0"/>
        <w:spacing w:before="200" w:line-rule="auto"/>
        <w:ind w:firstLine="540"/>
        <w:jc w:val="both"/>
      </w:pPr>
      <w:r>
        <w:rPr>
          <w:sz w:val="20"/>
        </w:rPr>
        <w:t xml:space="preserve">Перечисление очередной части субсидии осуществляется при отсутствии нарушений получателем субсидии условий ее предоставления, отсутствии у получателя субсидии неиспользованного остатка субсидии, а также представления сведений в соответствии с </w:t>
      </w:r>
      <w:hyperlink w:history="0" w:anchor="P85" w:tooltip="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еля субсидии и заверенную о...">
        <w:r>
          <w:rPr>
            <w:sz w:val="20"/>
            <w:color w:val="0000ff"/>
          </w:rPr>
          <w:t xml:space="preserve">пунктом 2.6</w:t>
        </w:r>
      </w:hyperlink>
      <w:r>
        <w:rPr>
          <w:sz w:val="20"/>
        </w:rPr>
        <w:t xml:space="preserve"> Порядка.</w:t>
      </w:r>
    </w:p>
    <w:p>
      <w:pPr>
        <w:pStyle w:val="0"/>
        <w:spacing w:before="200" w:line-rule="auto"/>
        <w:ind w:firstLine="540"/>
        <w:jc w:val="both"/>
      </w:pPr>
      <w:r>
        <w:rPr>
          <w:sz w:val="20"/>
        </w:rPr>
        <w:t xml:space="preserve">Средства субсидии не подлежат казначейскому сопровождению.</w:t>
      </w:r>
    </w:p>
    <w:p>
      <w:pPr>
        <w:pStyle w:val="0"/>
        <w:spacing w:before="200" w:line-rule="auto"/>
        <w:ind w:firstLine="540"/>
        <w:jc w:val="both"/>
      </w:pPr>
      <w:r>
        <w:rPr>
          <w:sz w:val="20"/>
        </w:rPr>
        <w:t xml:space="preserve">2.12. Осуществление расходов, источником финансового обеспечения которых является субсидия, должно производиться в соответствии с </w:t>
      </w:r>
      <w:hyperlink w:history="0" w:anchor="P151" w:tooltip="ПЕРЕЧЕНЬ">
        <w:r>
          <w:rPr>
            <w:sz w:val="20"/>
            <w:color w:val="0000ff"/>
          </w:rPr>
          <w:t xml:space="preserve">перечнем</w:t>
        </w:r>
      </w:hyperlink>
      <w:r>
        <w:rPr>
          <w:sz w:val="20"/>
        </w:rPr>
        <w:t xml:space="preserve"> затрат и предельными объемами их финансового обеспечения, которые указаны в приложении к Порядку.</w:t>
      </w:r>
    </w:p>
    <w:p>
      <w:pPr>
        <w:pStyle w:val="0"/>
        <w:spacing w:before="200" w:line-rule="auto"/>
        <w:ind w:firstLine="540"/>
        <w:jc w:val="both"/>
      </w:pPr>
      <w:r>
        <w:rPr>
          <w:sz w:val="20"/>
        </w:rPr>
        <w:t xml:space="preserve">2.13.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получателя субсидии условиям предоставления субсидии, в том числе требованиям к получению субсидии, установленным в </w:t>
      </w:r>
      <w:hyperlink w:history="0" w:anchor="P54" w:tooltip="2.1. Условия предоставления субсидии, в том числе требования к получателю субсидии:">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несоответствие заявления форме, утвержденной Комитетом;</w:t>
      </w:r>
    </w:p>
    <w:p>
      <w:pPr>
        <w:pStyle w:val="0"/>
        <w:spacing w:before="200" w:line-rule="auto"/>
        <w:ind w:firstLine="540"/>
        <w:jc w:val="both"/>
      </w:pPr>
      <w:r>
        <w:rPr>
          <w:sz w:val="20"/>
        </w:rPr>
        <w:t xml:space="preserve">несоответствие документов требованиям к документам, утвержденным Комитетом, или непредставление (представление не в полном объеме)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 содержащейся в заявлении и документах;</w:t>
      </w:r>
    </w:p>
    <w:p>
      <w:pPr>
        <w:pStyle w:val="0"/>
        <w:spacing w:before="200" w:line-rule="auto"/>
        <w:ind w:firstLine="540"/>
        <w:jc w:val="both"/>
      </w:pPr>
      <w:r>
        <w:rPr>
          <w:sz w:val="20"/>
        </w:rPr>
        <w:t xml:space="preserve">непредставление получателем субсидии в течение десяти дней с даты принятия решения о предоставлении субсидии сведений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субсидии на счет получателя субсидии;</w:t>
      </w:r>
    </w:p>
    <w:p>
      <w:pPr>
        <w:pStyle w:val="0"/>
        <w:spacing w:before="200" w:line-rule="auto"/>
        <w:ind w:firstLine="540"/>
        <w:jc w:val="both"/>
      </w:pPr>
      <w:r>
        <w:rPr>
          <w:sz w:val="20"/>
        </w:rPr>
        <w:t xml:space="preserve">отсутствие бюджетных ассигнований на предоставление субсидии на дату рассмотрения заявления.</w:t>
      </w:r>
    </w:p>
    <w:p>
      <w:pPr>
        <w:pStyle w:val="0"/>
        <w:spacing w:before="200" w:line-rule="auto"/>
        <w:ind w:firstLine="540"/>
        <w:jc w:val="both"/>
      </w:pPr>
      <w:r>
        <w:rPr>
          <w:sz w:val="20"/>
        </w:rPr>
        <w:t xml:space="preserve">Решение об отказе в предоставлении субсидии направляется получателю субсидии письмом Комитета в течение пяти рабочих дней со дня принятия Комитетом решения об отказе в предоставлении субсидии с указанием причин отказа.</w:t>
      </w:r>
    </w:p>
    <w:p>
      <w:pPr>
        <w:pStyle w:val="0"/>
        <w:spacing w:before="200" w:line-rule="auto"/>
        <w:ind w:firstLine="540"/>
        <w:jc w:val="both"/>
      </w:pPr>
      <w:r>
        <w:rPr>
          <w:sz w:val="20"/>
        </w:rPr>
        <w:t xml:space="preserve">Повторное рассмотрение документов осуществляется Комитетом в соответствии с </w:t>
      </w:r>
      <w:hyperlink w:history="0" w:anchor="P81" w:tooltip="2.4. Для получения субсидии получатель субсидии в сроки, установленные Комитетом, представляет в Комитет заявление и документы на предоставление субсидии, в том числе документы, обосновывающие затраты (далее - документы).">
        <w:r>
          <w:rPr>
            <w:sz w:val="20"/>
            <w:color w:val="0000ff"/>
          </w:rPr>
          <w:t xml:space="preserve">пунктами 2.4</w:t>
        </w:r>
      </w:hyperlink>
      <w:r>
        <w:rPr>
          <w:sz w:val="20"/>
        </w:rPr>
        <w:t xml:space="preserve"> и </w:t>
      </w:r>
      <w:hyperlink w:history="0" w:anchor="P83" w:tooltip="2.5. Комитет организует рассмотрение заявления и документов в порядке, утвержденном Комитетом, в срок не более 15 рабочих дней со дня представления получателем субсидии заявления и документов. По окончании рассмотрения заявления и документов Комитетом принимается решение о предоставлении субсидии получателю субсидии либо об отказе в предоставлении субсидии.">
        <w:r>
          <w:rPr>
            <w:sz w:val="20"/>
            <w:color w:val="0000ff"/>
          </w:rPr>
          <w:t xml:space="preserve">2.5</w:t>
        </w:r>
      </w:hyperlink>
      <w:r>
        <w:rPr>
          <w:sz w:val="20"/>
        </w:rPr>
        <w:t xml:space="preserve"> Порядка.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115" w:name="P115"/>
    <w:bookmarkEnd w:id="115"/>
    <w:p>
      <w:pPr>
        <w:pStyle w:val="0"/>
        <w:ind w:firstLine="540"/>
        <w:jc w:val="both"/>
      </w:pPr>
      <w:r>
        <w:rPr>
          <w:sz w:val="20"/>
        </w:rPr>
        <w:t xml:space="preserve">3.1. Получатель субсидии представляет в Комитет отчетность о достижении значений результата и характеристики в соответствии с порядком и сроками ее представления, которые утверждены Комитетом (но не реже одного раза в квартал), по форме, определенной типовой формой соглашения, установленной Комитетом финансов Санкт-Петербурга.</w:t>
      </w:r>
    </w:p>
    <w:bookmarkStart w:id="116" w:name="P116"/>
    <w:bookmarkEnd w:id="116"/>
    <w:p>
      <w:pPr>
        <w:pStyle w:val="0"/>
        <w:spacing w:before="200" w:line-rule="auto"/>
        <w:ind w:firstLine="540"/>
        <w:jc w:val="both"/>
      </w:pPr>
      <w:r>
        <w:rPr>
          <w:sz w:val="20"/>
        </w:rPr>
        <w:t xml:space="preserve">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3.3. В составе ежеквартальной отчетности, указанной в </w:t>
      </w:r>
      <w:hyperlink w:history="0" w:anchor="P115" w:tooltip="3.1. Получатель субсидии представляет в Комитет отчетность о достижении значений результата и характеристики в соответствии с порядком и сроками ее представления, которые утверждены Комитетом (но не реже одного раза в квартал), по форме, определенной типовой формой соглашения, установленной Комитетом финансов Санкт-Петербурга.">
        <w:r>
          <w:rPr>
            <w:sz w:val="20"/>
            <w:color w:val="0000ff"/>
          </w:rPr>
          <w:t xml:space="preserve">пунктах 3.1</w:t>
        </w:r>
      </w:hyperlink>
      <w:r>
        <w:rPr>
          <w:sz w:val="20"/>
        </w:rPr>
        <w:t xml:space="preserve"> и </w:t>
      </w:r>
      <w:hyperlink w:history="0" w:anchor="P116"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3.2</w:t>
        </w:r>
      </w:hyperlink>
      <w:r>
        <w:rPr>
          <w:sz w:val="20"/>
        </w:rPr>
        <w:t xml:space="preserve"> Порядка, получатель субсидии представляет справку в свободной форме, подписанную руководителем или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w:t>
      </w:r>
    </w:p>
    <w:p>
      <w:pPr>
        <w:pStyle w:val="0"/>
        <w:spacing w:before="200" w:line-rule="auto"/>
        <w:ind w:firstLine="540"/>
        <w:jc w:val="both"/>
      </w:pPr>
      <w:r>
        <w:rPr>
          <w:sz w:val="20"/>
        </w:rPr>
        <w:t xml:space="preserve">3.4. Сроки и формы представления получателем субсидии дополнительной отчетности устанавливаются в соглашении.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4.2. Комитет в течение десяти рабочих дней после представления получателем субсидии отчетности осуществляет проверку, по результатам которой составляет акт проведения проверки (далее - акт).</w:t>
      </w:r>
    </w:p>
    <w:p>
      <w:pPr>
        <w:pStyle w:val="0"/>
        <w:spacing w:before="200" w:line-rule="auto"/>
        <w:ind w:firstLine="540"/>
        <w:jc w:val="both"/>
      </w:pPr>
      <w:r>
        <w:rPr>
          <w:sz w:val="20"/>
        </w:rPr>
        <w:t xml:space="preserve">Копия акта в течение трех рабочих дней после его составления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4.3. В случае выявления при проведении проверки недостижения значений результата или характеристики или нарушений получателем субсидии (контрагентами) условий предоставления субсидии Комитет одновременно с подписанием акта направляет получателю субсидии (контрагенту) уведомление о недостижении значений результата или характеристики и(или) о нарушении получателем субсидии (контрагентом) условий предоставления субсидии (далее - уведомление). В уведомлении указываются сроки достижения значений результата или характеристики и(или) устранения получателем субсидии (контрагентом) нарушений условий предоставления субсидии. Копия уведомления в течение трех рабочих дней после его подписания направляется Комитетом в КГФК.</w:t>
      </w:r>
    </w:p>
    <w:bookmarkStart w:id="129" w:name="P129"/>
    <w:bookmarkEnd w:id="129"/>
    <w:p>
      <w:pPr>
        <w:pStyle w:val="0"/>
        <w:spacing w:before="200" w:line-rule="auto"/>
        <w:ind w:firstLine="540"/>
        <w:jc w:val="both"/>
      </w:pPr>
      <w:r>
        <w:rPr>
          <w:sz w:val="20"/>
        </w:rPr>
        <w:t xml:space="preserve">4.4. В случае недостижения значений результата и(или) неустранения нарушений условий предоставления субсидии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субсидии, полученной получателем субсидии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(контрагенту)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(средств).</w:t>
      </w:r>
    </w:p>
    <w:bookmarkStart w:id="132" w:name="P132"/>
    <w:bookmarkEnd w:id="132"/>
    <w:p>
      <w:pPr>
        <w:pStyle w:val="0"/>
        <w:spacing w:before="200" w:line-rule="auto"/>
        <w:ind w:firstLine="540"/>
        <w:jc w:val="both"/>
      </w:pPr>
      <w:r>
        <w:rPr>
          <w:sz w:val="20"/>
        </w:rPr>
        <w:t xml:space="preserve">4.5.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w:t>
      </w:r>
      <w:hyperlink w:history="0" w:anchor="P129" w:tooltip="4.4. В случае недостижения значений результата и(или) неустранения нарушений условий предоставления субсидии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и, полученной получателем субсиди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w:r>
          <w:rPr>
            <w:sz w:val="20"/>
            <w:color w:val="0000ff"/>
          </w:rPr>
          <w:t xml:space="preserve">пункте 4.4</w:t>
        </w:r>
      </w:hyperlink>
      <w:r>
        <w:rPr>
          <w:sz w:val="20"/>
        </w:rPr>
        <w:t xml:space="preserve"> Порядка.</w:t>
      </w:r>
    </w:p>
    <w:bookmarkStart w:id="133" w:name="P133"/>
    <w:bookmarkEnd w:id="133"/>
    <w:p>
      <w:pPr>
        <w:pStyle w:val="0"/>
        <w:spacing w:before="200" w:line-rule="auto"/>
        <w:ind w:firstLine="540"/>
        <w:jc w:val="both"/>
      </w:pPr>
      <w:r>
        <w:rPr>
          <w:sz w:val="20"/>
        </w:rPr>
        <w:t xml:space="preserve">4.6.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указанному в требовании о возврате субсидии, направляемом Комитетом в адрес получателя субсидии.</w:t>
      </w:r>
    </w:p>
    <w:p>
      <w:pPr>
        <w:pStyle w:val="0"/>
        <w:spacing w:before="200" w:line-rule="auto"/>
        <w:ind w:firstLine="540"/>
        <w:jc w:val="both"/>
      </w:pPr>
      <w:r>
        <w:rPr>
          <w:sz w:val="20"/>
        </w:rPr>
        <w:t xml:space="preserve">4.7. В случае если средства субсидии (средства) не возвращены в бюджет Санкт-Петербурга получателем субсидии (контрагентом) в установленные в </w:t>
      </w:r>
      <w:hyperlink w:history="0" w:anchor="P132" w:tooltip="4.5.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4 Порядка.">
        <w:r>
          <w:rPr>
            <w:sz w:val="20"/>
            <w:color w:val="0000ff"/>
          </w:rPr>
          <w:t xml:space="preserve">пунктах 4.5</w:t>
        </w:r>
      </w:hyperlink>
      <w:r>
        <w:rPr>
          <w:sz w:val="20"/>
        </w:rPr>
        <w:t xml:space="preserve"> и </w:t>
      </w:r>
      <w:hyperlink w:history="0" w:anchor="P133" w:tooltip="4.6.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w:r>
          <w:rPr>
            <w:sz w:val="20"/>
            <w:color w:val="0000ff"/>
          </w:rPr>
          <w:t xml:space="preserve">4.6</w:t>
        </w:r>
      </w:hyperlink>
      <w:r>
        <w:rPr>
          <w:sz w:val="20"/>
        </w:rPr>
        <w:t xml:space="preserve"> Порядка сроки, Комитет в течение 15 рабочих дней со дня истечения сроков, установленных в </w:t>
      </w:r>
      <w:hyperlink w:history="0" w:anchor="P132" w:tooltip="4.5.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4 Порядка.">
        <w:r>
          <w:rPr>
            <w:sz w:val="20"/>
            <w:color w:val="0000ff"/>
          </w:rPr>
          <w:t xml:space="preserve">пунктах 4.5</w:t>
        </w:r>
      </w:hyperlink>
      <w:r>
        <w:rPr>
          <w:sz w:val="20"/>
        </w:rPr>
        <w:t xml:space="preserve"> и </w:t>
      </w:r>
      <w:hyperlink w:history="0" w:anchor="P133" w:tooltip="4.6.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w:r>
          <w:rPr>
            <w:sz w:val="20"/>
            <w:color w:val="0000ff"/>
          </w:rPr>
          <w:t xml:space="preserve">4.6</w:t>
        </w:r>
      </w:hyperlink>
      <w:r>
        <w:rPr>
          <w:sz w:val="20"/>
        </w:rPr>
        <w:t xml:space="preserve"> Порядка, направляет в суд исковое заявление о возврате субсидии (средств) в бюджет Санкт-Петербурга.</w:t>
      </w:r>
    </w:p>
    <w:p>
      <w:pPr>
        <w:pStyle w:val="0"/>
        <w:spacing w:before="200" w:line-rule="auto"/>
        <w:ind w:firstLine="540"/>
        <w:jc w:val="both"/>
      </w:pPr>
      <w:r>
        <w:rPr>
          <w:sz w:val="20"/>
        </w:rPr>
        <w:t xml:space="preserve">4.8. В случае недостижения результата или характеристики в установленный соглашением срок Комитет направляет получателю субсидии требование об уплате пени в размере 1/300 ключевой ставки Центрального банка Российской Федерации, действующей на момент просрочки, начисляемой со дня, следующего после дня истечения установленного соглашением срока исполнения обязательств, за каждый календарный день просрочки. Пеня начисляется на сумму полученной субсидии до момента представления отчетности или возврата субсидии в соответствии с </w:t>
      </w:r>
      <w:hyperlink w:history="0" w:anchor="P132" w:tooltip="4.5.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4 Порядка.">
        <w:r>
          <w:rPr>
            <w:sz w:val="20"/>
            <w:color w:val="0000ff"/>
          </w:rPr>
          <w:t xml:space="preserve">пунктами 4.5</w:t>
        </w:r>
      </w:hyperlink>
      <w:r>
        <w:rPr>
          <w:sz w:val="20"/>
        </w:rPr>
        <w:t xml:space="preserve"> и </w:t>
      </w:r>
      <w:hyperlink w:history="0" w:anchor="P133" w:tooltip="4.6.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4.9. Проверки органами государственного финансового контроля осуществляются в соответствии с положениями Бюджетного </w:t>
      </w:r>
      <w:hyperlink w:history="0" r:id="rId24"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2023 году</w:t>
      </w:r>
    </w:p>
    <w:p>
      <w:pPr>
        <w:pStyle w:val="0"/>
        <w:jc w:val="right"/>
      </w:pPr>
      <w:r>
        <w:rPr>
          <w:sz w:val="20"/>
        </w:rPr>
        <w:t xml:space="preserve">субсидии Санкт-Петербургскому городскому</w:t>
      </w:r>
    </w:p>
    <w:p>
      <w:pPr>
        <w:pStyle w:val="0"/>
        <w:jc w:val="right"/>
      </w:pPr>
      <w:r>
        <w:rPr>
          <w:sz w:val="20"/>
        </w:rPr>
        <w:t xml:space="preserve">отделению Всероссийской общественной</w:t>
      </w:r>
    </w:p>
    <w:p>
      <w:pPr>
        <w:pStyle w:val="0"/>
        <w:jc w:val="right"/>
      </w:pPr>
      <w:r>
        <w:rPr>
          <w:sz w:val="20"/>
        </w:rPr>
        <w:t xml:space="preserve">организации "Всероссийское общество</w:t>
      </w:r>
    </w:p>
    <w:p>
      <w:pPr>
        <w:pStyle w:val="0"/>
        <w:jc w:val="right"/>
      </w:pPr>
      <w:r>
        <w:rPr>
          <w:sz w:val="20"/>
        </w:rPr>
        <w:t xml:space="preserve">охраны памятников истории и культуры"</w:t>
      </w:r>
    </w:p>
    <w:p>
      <w:pPr>
        <w:pStyle w:val="0"/>
        <w:jc w:val="right"/>
      </w:pPr>
      <w:r>
        <w:rPr>
          <w:sz w:val="20"/>
        </w:rPr>
        <w:t xml:space="preserve">на реализацию проекта "Открытый город"</w:t>
      </w:r>
    </w:p>
    <w:p>
      <w:pPr>
        <w:pStyle w:val="0"/>
        <w:ind w:firstLine="540"/>
        <w:jc w:val="both"/>
      </w:pPr>
      <w:r>
        <w:rPr>
          <w:sz w:val="20"/>
        </w:rPr>
      </w:r>
    </w:p>
    <w:bookmarkStart w:id="151" w:name="P151"/>
    <w:bookmarkEnd w:id="151"/>
    <w:p>
      <w:pPr>
        <w:pStyle w:val="2"/>
        <w:jc w:val="center"/>
      </w:pPr>
      <w:r>
        <w:rPr>
          <w:sz w:val="20"/>
        </w:rPr>
        <w:t xml:space="preserve">ПЕРЕЧЕНЬ</w:t>
      </w:r>
    </w:p>
    <w:p>
      <w:pPr>
        <w:pStyle w:val="2"/>
        <w:jc w:val="center"/>
      </w:pPr>
      <w:r>
        <w:rPr>
          <w:sz w:val="20"/>
        </w:rPr>
        <w:t xml:space="preserve">ЗАТРАТ И ПРЕДЕЛЬНЫЕ ОБЪЕМЫ ИХ ФИНАНСОВОГО ОБЕСПЕЧЕНИЯ</w:t>
      </w:r>
    </w:p>
    <w:p>
      <w:pPr>
        <w:pStyle w:val="2"/>
        <w:jc w:val="center"/>
      </w:pPr>
      <w:r>
        <w:rPr>
          <w:sz w:val="20"/>
        </w:rPr>
        <w:t xml:space="preserve">ЗА СЧЕТ СУБСИДИИ САНКТ-ПЕТЕРБУРГСКОМУ ГОРОДСКОМУ ОТДЕЛЕНИЮ</w:t>
      </w:r>
    </w:p>
    <w:p>
      <w:pPr>
        <w:pStyle w:val="2"/>
        <w:jc w:val="center"/>
      </w:pPr>
      <w:r>
        <w:rPr>
          <w:sz w:val="20"/>
        </w:rPr>
        <w:t xml:space="preserve">ВСЕРОССИЙСКОЙ ОБЩЕСТВЕННОЙ ОРГАНИЗАЦИИ "ВСЕРОССИЙСКОЕ</w:t>
      </w:r>
    </w:p>
    <w:p>
      <w:pPr>
        <w:pStyle w:val="2"/>
        <w:jc w:val="center"/>
      </w:pPr>
      <w:r>
        <w:rPr>
          <w:sz w:val="20"/>
        </w:rPr>
        <w:t xml:space="preserve">ОБЩЕСТВО ОХРАНЫ ПАМЯТНИКОВ ИСТОРИИ И КУЛЬТУРЫ" НА РЕАЛИЗАЦИЮ</w:t>
      </w:r>
    </w:p>
    <w:p>
      <w:pPr>
        <w:pStyle w:val="2"/>
        <w:jc w:val="center"/>
      </w:pPr>
      <w:r>
        <w:rPr>
          <w:sz w:val="20"/>
        </w:rPr>
        <w:t xml:space="preserve">ПРОЕКТА "ОТКРЫТЫЙ ГОРОД" В 2023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Перечень затрат</w:t>
            </w:r>
          </w:p>
        </w:tc>
        <w:tc>
          <w:tcPr>
            <w:tcW w:w="2268" w:type="dxa"/>
          </w:tcPr>
          <w:p>
            <w:pPr>
              <w:pStyle w:val="0"/>
              <w:jc w:val="center"/>
            </w:pPr>
            <w:r>
              <w:rPr>
                <w:sz w:val="20"/>
              </w:rPr>
              <w:t xml:space="preserve">Предельный объем финансового обеспечения затрат</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236" w:type="dxa"/>
          </w:tcPr>
          <w:p>
            <w:pPr>
              <w:pStyle w:val="0"/>
            </w:pPr>
            <w:r>
              <w:rPr>
                <w:sz w:val="20"/>
              </w:rPr>
              <w:t xml:space="preserve">Услуги по разработке маршрутов, методическому сопровождению и экскурсионному обслуживанию в рамках реализации проекта "Открытый город" (далее - проект)</w:t>
            </w:r>
          </w:p>
        </w:tc>
        <w:tc>
          <w:tcPr>
            <w:tcW w:w="2268" w:type="dxa"/>
          </w:tcPr>
          <w:p>
            <w:pPr>
              <w:pStyle w:val="0"/>
              <w:jc w:val="center"/>
            </w:pPr>
            <w:r>
              <w:rPr>
                <w:sz w:val="20"/>
              </w:rPr>
              <w:t xml:space="preserve">До 30% от суммы субсидии</w:t>
            </w:r>
          </w:p>
        </w:tc>
      </w:tr>
      <w:tr>
        <w:tc>
          <w:tcPr>
            <w:tcW w:w="567" w:type="dxa"/>
          </w:tcPr>
          <w:p>
            <w:pPr>
              <w:pStyle w:val="0"/>
              <w:jc w:val="center"/>
            </w:pPr>
            <w:r>
              <w:rPr>
                <w:sz w:val="20"/>
              </w:rPr>
              <w:t xml:space="preserve">2</w:t>
            </w:r>
          </w:p>
        </w:tc>
        <w:tc>
          <w:tcPr>
            <w:tcW w:w="6236" w:type="dxa"/>
          </w:tcPr>
          <w:p>
            <w:pPr>
              <w:pStyle w:val="0"/>
            </w:pPr>
            <w:r>
              <w:rPr>
                <w:sz w:val="20"/>
              </w:rPr>
              <w:t xml:space="preserve">Услуги по проведению лекций в рамках реализации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3</w:t>
            </w:r>
          </w:p>
        </w:tc>
        <w:tc>
          <w:tcPr>
            <w:tcW w:w="6236" w:type="dxa"/>
          </w:tcPr>
          <w:p>
            <w:pPr>
              <w:pStyle w:val="0"/>
            </w:pPr>
            <w:r>
              <w:rPr>
                <w:sz w:val="20"/>
              </w:rPr>
              <w:t xml:space="preserve">Оплата аренды аудио-, видео- и иного демонстрационного оборудования в рамках реализации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4</w:t>
            </w:r>
          </w:p>
        </w:tc>
        <w:tc>
          <w:tcPr>
            <w:tcW w:w="6236" w:type="dxa"/>
          </w:tcPr>
          <w:p>
            <w:pPr>
              <w:pStyle w:val="0"/>
            </w:pPr>
            <w:r>
              <w:rPr>
                <w:sz w:val="20"/>
              </w:rPr>
              <w:t xml:space="preserve">Оплата аренды транспортных средств в рамках реализации проекта</w:t>
            </w:r>
          </w:p>
        </w:tc>
        <w:tc>
          <w:tcPr>
            <w:tcW w:w="2268" w:type="dxa"/>
          </w:tcPr>
          <w:p>
            <w:pPr>
              <w:pStyle w:val="0"/>
              <w:jc w:val="center"/>
            </w:pPr>
            <w:r>
              <w:rPr>
                <w:sz w:val="20"/>
              </w:rPr>
              <w:t xml:space="preserve">До 20% от суммы субсидии</w:t>
            </w:r>
          </w:p>
        </w:tc>
      </w:tr>
      <w:tr>
        <w:tc>
          <w:tcPr>
            <w:tcW w:w="567" w:type="dxa"/>
          </w:tcPr>
          <w:p>
            <w:pPr>
              <w:pStyle w:val="0"/>
              <w:jc w:val="center"/>
            </w:pPr>
            <w:r>
              <w:rPr>
                <w:sz w:val="20"/>
              </w:rPr>
              <w:t xml:space="preserve">5</w:t>
            </w:r>
          </w:p>
        </w:tc>
        <w:tc>
          <w:tcPr>
            <w:tcW w:w="6236" w:type="dxa"/>
          </w:tcPr>
          <w:p>
            <w:pPr>
              <w:pStyle w:val="0"/>
            </w:pPr>
            <w:r>
              <w:rPr>
                <w:sz w:val="20"/>
              </w:rPr>
              <w:t xml:space="preserve">Услуги по разработке сценариев и организации интерактивно-игровых мероприятий (квестов) в рамках реализации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6</w:t>
            </w:r>
          </w:p>
        </w:tc>
        <w:tc>
          <w:tcPr>
            <w:tcW w:w="6236" w:type="dxa"/>
          </w:tcPr>
          <w:p>
            <w:pPr>
              <w:pStyle w:val="0"/>
            </w:pPr>
            <w:r>
              <w:rPr>
                <w:sz w:val="20"/>
              </w:rPr>
              <w:t xml:space="preserve">Услуги по организации доступа на объекты культурного наследия Санкт-Петербурга в целях проведения социально значимых культурно-просветительских мероприятий, направленных на популяризацию объектов культурного наследия Санкт-Петербурга, в рамках реализации проекта</w:t>
            </w:r>
          </w:p>
        </w:tc>
        <w:tc>
          <w:tcPr>
            <w:tcW w:w="2268" w:type="dxa"/>
          </w:tcPr>
          <w:p>
            <w:pPr>
              <w:pStyle w:val="0"/>
              <w:jc w:val="center"/>
            </w:pPr>
            <w:r>
              <w:rPr>
                <w:sz w:val="20"/>
              </w:rPr>
              <w:t xml:space="preserve">До 10% от суммы субсидии</w:t>
            </w:r>
          </w:p>
        </w:tc>
      </w:tr>
      <w:tr>
        <w:tc>
          <w:tcPr>
            <w:tcW w:w="567" w:type="dxa"/>
          </w:tcPr>
          <w:p>
            <w:pPr>
              <w:pStyle w:val="0"/>
              <w:jc w:val="center"/>
            </w:pPr>
            <w:r>
              <w:rPr>
                <w:sz w:val="20"/>
              </w:rPr>
              <w:t xml:space="preserve">7</w:t>
            </w:r>
          </w:p>
        </w:tc>
        <w:tc>
          <w:tcPr>
            <w:tcW w:w="6236" w:type="dxa"/>
          </w:tcPr>
          <w:p>
            <w:pPr>
              <w:pStyle w:val="0"/>
            </w:pPr>
            <w:r>
              <w:rPr>
                <w:sz w:val="20"/>
              </w:rPr>
              <w:t xml:space="preserve">Заработная плата сотрудников, занятых в проекте (далее сотрудники), и начисления на выплаты по оплате труда</w:t>
            </w:r>
          </w:p>
        </w:tc>
        <w:tc>
          <w:tcPr>
            <w:tcW w:w="2268" w:type="dxa"/>
          </w:tcPr>
          <w:p>
            <w:pPr>
              <w:pStyle w:val="0"/>
              <w:jc w:val="center"/>
            </w:pPr>
            <w:r>
              <w:rPr>
                <w:sz w:val="20"/>
              </w:rPr>
              <w:t xml:space="preserve">До 45% от суммы субсидии</w:t>
            </w:r>
          </w:p>
        </w:tc>
      </w:tr>
      <w:tr>
        <w:tc>
          <w:tcPr>
            <w:tcW w:w="567" w:type="dxa"/>
          </w:tcPr>
          <w:p>
            <w:pPr>
              <w:pStyle w:val="0"/>
              <w:jc w:val="center"/>
            </w:pPr>
            <w:r>
              <w:rPr>
                <w:sz w:val="20"/>
              </w:rPr>
              <w:t xml:space="preserve">8</w:t>
            </w:r>
          </w:p>
        </w:tc>
        <w:tc>
          <w:tcPr>
            <w:tcW w:w="6236" w:type="dxa"/>
          </w:tcPr>
          <w:p>
            <w:pPr>
              <w:pStyle w:val="0"/>
            </w:pPr>
            <w:r>
              <w:rPr>
                <w:sz w:val="20"/>
              </w:rPr>
              <w:t xml:space="preserve">Аренда помещений для проведения мероприятий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9</w:t>
            </w:r>
          </w:p>
        </w:tc>
        <w:tc>
          <w:tcPr>
            <w:tcW w:w="6236" w:type="dxa"/>
          </w:tcPr>
          <w:p>
            <w:pPr>
              <w:pStyle w:val="0"/>
            </w:pPr>
            <w:r>
              <w:rPr>
                <w:sz w:val="20"/>
              </w:rPr>
              <w:t xml:space="preserve">Аренда оргтехники и офисной мебели для проведения мероприятий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10</w:t>
            </w:r>
          </w:p>
        </w:tc>
        <w:tc>
          <w:tcPr>
            <w:tcW w:w="6236" w:type="dxa"/>
          </w:tcPr>
          <w:p>
            <w:pPr>
              <w:pStyle w:val="0"/>
            </w:pPr>
            <w:r>
              <w:rPr>
                <w:sz w:val="20"/>
              </w:rPr>
              <w:t xml:space="preserve">Прочие расходы, включающие в себя затраты на услуги связи, канцелярские товары, расходные материалы и обслуживание оргтехники, компенсацию стоимости проезда сотрудникам, а также расходы на мероприятия, связанные с охраной труда, в рамках реализации проекта</w:t>
            </w:r>
          </w:p>
        </w:tc>
        <w:tc>
          <w:tcPr>
            <w:tcW w:w="2268"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11</w:t>
            </w:r>
          </w:p>
        </w:tc>
        <w:tc>
          <w:tcPr>
            <w:tcW w:w="6236" w:type="dxa"/>
          </w:tcPr>
          <w:p>
            <w:pPr>
              <w:pStyle w:val="0"/>
            </w:pPr>
            <w:r>
              <w:rPr>
                <w:sz w:val="20"/>
              </w:rPr>
              <w:t xml:space="preserve">Затраты на информационное сопровождение проекта, включающие в себя затраты на разработку, продвижение и обслуживание сайта проекта, услуги по подготовке и изготовлению полиграфической и печатной продукции, услуги по организации работы кол-центра, услуги по разработке и изготовлению рекламно-информационной продукции в целях популяризации проекта</w:t>
            </w:r>
          </w:p>
        </w:tc>
        <w:tc>
          <w:tcPr>
            <w:tcW w:w="2268" w:type="dxa"/>
          </w:tcPr>
          <w:p>
            <w:pPr>
              <w:pStyle w:val="0"/>
              <w:jc w:val="center"/>
            </w:pPr>
            <w:r>
              <w:rPr>
                <w:sz w:val="20"/>
              </w:rPr>
              <w:t xml:space="preserve">До 10% от суммы субсидии</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затраты - затраты, подлежащие финансовому обеспечению за счет средств субсидии;</w:t>
      </w:r>
    </w:p>
    <w:p>
      <w:pPr>
        <w:pStyle w:val="0"/>
        <w:spacing w:before="200" w:line-rule="auto"/>
        <w:ind w:firstLine="540"/>
        <w:jc w:val="both"/>
      </w:pPr>
      <w:r>
        <w:rPr>
          <w:sz w:val="20"/>
        </w:rPr>
        <w:t xml:space="preserve">субсидия - субсидия, предусмотренная Комитету по государственному контролю, использованию и охране памятников истории и культуры </w:t>
      </w:r>
      <w:hyperlink w:history="0" r:id="rId25" w:tooltip="Закон Санкт-Петербурга от 29.11.2022 N 666-104 &quot;О бюджете Санкт-Петербурга на 2023 год и на плановый период 2024 и 2025 годов&quot; (принят ЗС СПб 23.11.2022) ------------ Недействующая редакция {КонсультантПлюс}">
        <w:r>
          <w:rPr>
            <w:sz w:val="20"/>
            <w:color w:val="0000ff"/>
          </w:rPr>
          <w:t xml:space="preserve">статьей расходов</w:t>
        </w:r>
      </w:hyperlink>
      <w:r>
        <w:rPr>
          <w:sz w:val="20"/>
        </w:rPr>
        <w:t xml:space="preserve"> "Субсидия социально ориентированной некоммерческой организации Санкт-Петербургскому городскому отделению "Всероссийское общество охраны памятников истории и культуры" (ВООПИиК) на реализацию проекта "Открытый город" (код целевой статьи 0810071450) в приложении 2 к Закону Санкт-Петербурга от 23.11.2022 N 666-104 "О бюджете Санкт-Петербурга на 2023 год и на плановый период 2024 и 2025 годов".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02.06.2023 N 550</w:t>
            <w:br/>
            <w:t>"О предоставлении в 2023 году субсидии Санкт-Петербургс...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2230" TargetMode = "External"/>
	<Relationship Id="rId8" Type="http://schemas.openxmlformats.org/officeDocument/2006/relationships/hyperlink" Target="https://login.consultant.ru/link/?req=doc&amp;base=LAW&amp;n=435381&amp;dst=100016" TargetMode = "External"/>
	<Relationship Id="rId9" Type="http://schemas.openxmlformats.org/officeDocument/2006/relationships/hyperlink" Target="https://login.consultant.ru/link/?req=doc&amp;base=SPB&amp;n=265413" TargetMode = "External"/>
	<Relationship Id="rId10" Type="http://schemas.openxmlformats.org/officeDocument/2006/relationships/hyperlink" Target="https://login.consultant.ru/link/?req=doc&amp;base=SPB&amp;n=270094" TargetMode = "External"/>
	<Relationship Id="rId11" Type="http://schemas.openxmlformats.org/officeDocument/2006/relationships/hyperlink" Target="https://login.consultant.ru/link/?req=doc&amp;base=SPB&amp;n=272577" TargetMode = "External"/>
	<Relationship Id="rId12" Type="http://schemas.openxmlformats.org/officeDocument/2006/relationships/hyperlink" Target="https://login.consultant.ru/link/?req=doc&amp;base=LAW&amp;n=432230&amp;dst=7270" TargetMode = "External"/>
	<Relationship Id="rId13" Type="http://schemas.openxmlformats.org/officeDocument/2006/relationships/hyperlink" Target="https://login.consultant.ru/link/?req=doc&amp;base=SPB&amp;n=265413&amp;dst=103856" TargetMode = "External"/>
	<Relationship Id="rId14" Type="http://schemas.openxmlformats.org/officeDocument/2006/relationships/hyperlink" Target="https://login.consultant.ru/link/?req=doc&amp;base=SPB&amp;n=270094" TargetMode = "External"/>
	<Relationship Id="rId15" Type="http://schemas.openxmlformats.org/officeDocument/2006/relationships/hyperlink" Target="https://login.consultant.ru/link/?req=doc&amp;base=SPB&amp;n=272577" TargetMode = "External"/>
	<Relationship Id="rId16" Type="http://schemas.openxmlformats.org/officeDocument/2006/relationships/hyperlink" Target="https://login.consultant.ru/link/?req=doc&amp;base=SPB&amp;n=270094&amp;dst=100050" TargetMode = "External"/>
	<Relationship Id="rId17" Type="http://schemas.openxmlformats.org/officeDocument/2006/relationships/hyperlink" Target="https://login.consultant.ru/link/?req=doc&amp;base=SPB&amp;n=265413" TargetMode = "External"/>
	<Relationship Id="rId18" Type="http://schemas.openxmlformats.org/officeDocument/2006/relationships/hyperlink" Target="https://login.consultant.ru/link/?req=doc&amp;base=LAW&amp;n=432230" TargetMode = "External"/>
	<Relationship Id="rId19" Type="http://schemas.openxmlformats.org/officeDocument/2006/relationships/hyperlink" Target="https://login.consultant.ru/link/?req=doc&amp;base=LAW&amp;n=419240&amp;dst=100948" TargetMode = "External"/>
	<Relationship Id="rId20" Type="http://schemas.openxmlformats.org/officeDocument/2006/relationships/hyperlink" Target="https://login.consultant.ru/link/?req=doc&amp;base=LAW&amp;n=419240&amp;dst=100948" TargetMode = "External"/>
	<Relationship Id="rId21" Type="http://schemas.openxmlformats.org/officeDocument/2006/relationships/hyperlink" Target="https://login.consultant.ru/link/?req=doc&amp;base=LAW&amp;n=448215" TargetMode = "External"/>
	<Relationship Id="rId22" Type="http://schemas.openxmlformats.org/officeDocument/2006/relationships/hyperlink" Target="https://login.consultant.ru/link/?req=doc&amp;base=LAW&amp;n=419240&amp;dst=100948" TargetMode = "External"/>
	<Relationship Id="rId23" Type="http://schemas.openxmlformats.org/officeDocument/2006/relationships/hyperlink" Target="https://login.consultant.ru/link/?req=doc&amp;base=LAW&amp;n=419240&amp;dst=100948" TargetMode = "External"/>
	<Relationship Id="rId24" Type="http://schemas.openxmlformats.org/officeDocument/2006/relationships/hyperlink" Target="https://login.consultant.ru/link/?req=doc&amp;base=LAW&amp;n=432230" TargetMode = "External"/>
	<Relationship Id="rId25" Type="http://schemas.openxmlformats.org/officeDocument/2006/relationships/hyperlink" Target="https://login.consultant.ru/link/?req=doc&amp;base=SPB&amp;n=265413&amp;dst=1038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02.06.2023 N 550
"О предоставлении в 2023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dc:title>
  <dcterms:created xsi:type="dcterms:W3CDTF">2023-11-30T13:21:12Z</dcterms:created>
</cp:coreProperties>
</file>