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Ставропольского края от 16.06.2023 N 370-п</w:t>
              <w:br/>
              <w:t xml:space="preserve">"О предоставлении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подготовкой и проведением Международной конкурс-премии уличной культуры и спорта "КАРДО" на территории Ставропольского края в 2023 году"</w:t>
              <w:br/>
              <w:t xml:space="preserve">(вместе с "Порядком предоставления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подготовкой и проведением Международной конкурс-премии уличной культуры и спорта "КАРДО" на территории Ставропольского края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июня 2023 г. N 370-п</w:t>
      </w:r>
    </w:p>
    <w:p>
      <w:pPr>
        <w:pStyle w:val="2"/>
        <w:jc w:val="center"/>
      </w:pPr>
      <w:r>
        <w:rPr>
          <w:sz w:val="20"/>
        </w:rPr>
      </w:r>
    </w:p>
    <w:p>
      <w:pPr>
        <w:pStyle w:val="2"/>
        <w:jc w:val="center"/>
      </w:pPr>
      <w:r>
        <w:rPr>
          <w:sz w:val="20"/>
        </w:rPr>
        <w:t xml:space="preserve">О ПРЕДОСТАВЛЕНИИ ИЗ БЮДЖЕТА СТАВРОПОЛЬСКОГО КРАЯ ГРАНТОВ</w:t>
      </w:r>
    </w:p>
    <w:p>
      <w:pPr>
        <w:pStyle w:val="2"/>
        <w:jc w:val="center"/>
      </w:pPr>
      <w:r>
        <w:rPr>
          <w:sz w:val="20"/>
        </w:rPr>
        <w:t xml:space="preserve">В ФОРМЕ СУБСИДИЙ НЕКОММЕРЧЕСКИМ ОРГАНИЗАЦИЯМ (ЗА ИСКЛЮЧЕНИЕМ</w:t>
      </w:r>
    </w:p>
    <w:p>
      <w:pPr>
        <w:pStyle w:val="2"/>
        <w:jc w:val="center"/>
      </w:pPr>
      <w:r>
        <w:rPr>
          <w:sz w:val="20"/>
        </w:rPr>
        <w:t xml:space="preserve">ГОСУДАРСТВЕННЫХ УЧРЕЖДЕНИЙ) НА ФИНАНСОВОЕ ОБЕСПЕЧЕНИЕ</w:t>
      </w:r>
    </w:p>
    <w:p>
      <w:pPr>
        <w:pStyle w:val="2"/>
        <w:jc w:val="center"/>
      </w:pPr>
      <w:r>
        <w:rPr>
          <w:sz w:val="20"/>
        </w:rPr>
        <w:t xml:space="preserve">МЕРОПРИЯТИЙ, СВЯЗАННЫХ С ПОДГОТОВКОЙ И ПРОВЕДЕНИЕМ</w:t>
      </w:r>
    </w:p>
    <w:p>
      <w:pPr>
        <w:pStyle w:val="2"/>
        <w:jc w:val="center"/>
      </w:pPr>
      <w:r>
        <w:rPr>
          <w:sz w:val="20"/>
        </w:rPr>
        <w:t xml:space="preserve">МЕЖДУНАРОДНОЙ КОНКУРС-ПРЕМИИ УЛИЧНОЙ КУЛЬТУРЫ И СПОРТА</w:t>
      </w:r>
    </w:p>
    <w:p>
      <w:pPr>
        <w:pStyle w:val="2"/>
        <w:jc w:val="center"/>
      </w:pPr>
      <w:r>
        <w:rPr>
          <w:sz w:val="20"/>
        </w:rPr>
        <w:t xml:space="preserve">"КАРДО" НА ТЕРРИТОРИИ СТАВРОПОЛЬСКОГО КРАЯ В 2023 ГОДУ</w:t>
      </w:r>
    </w:p>
    <w:p>
      <w:pPr>
        <w:pStyle w:val="0"/>
        <w:jc w:val="both"/>
      </w:pPr>
      <w:r>
        <w:rPr>
          <w:sz w:val="20"/>
        </w:rPr>
      </w:r>
    </w:p>
    <w:p>
      <w:pPr>
        <w:pStyle w:val="1"/>
        <w:jc w:val="both"/>
      </w:pPr>
      <w:r>
        <w:rPr>
          <w:sz w:val="20"/>
        </w:rPr>
        <w:t xml:space="preserve">                                            1</w:t>
      </w:r>
    </w:p>
    <w:p>
      <w:pPr>
        <w:pStyle w:val="1"/>
        <w:jc w:val="both"/>
      </w:pPr>
      <w:r>
        <w:rPr>
          <w:sz w:val="20"/>
        </w:rPr>
        <w:t xml:space="preserve">    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пунктом  4 статьи 78</w:t>
        </w:r>
      </w:hyperlink>
      <w:r>
        <w:rPr>
          <w:sz w:val="20"/>
        </w:rPr>
        <w:t xml:space="preserve">  Бюджетного кодекса Российской</w:t>
      </w:r>
    </w:p>
    <w:p>
      <w:pPr>
        <w:pStyle w:val="1"/>
        <w:jc w:val="both"/>
      </w:pPr>
      <w:r>
        <w:rPr>
          <w:sz w:val="20"/>
        </w:rPr>
        <w:t xml:space="preserve">Федерации и </w:t>
      </w:r>
      <w:hyperlink w:history="0" r:id="rId8" w:tooltip="Постановление Правительства Ставропольского края от 28.12.2018 N 615-п (ред. от 31.03.2023) &quot;Об утверждении государственной программы Ставропольского края &quot;Молодежная политика&quot; {КонсультантПлюс}">
        <w:r>
          <w:rPr>
            <w:sz w:val="20"/>
            <w:color w:val="0000ff"/>
          </w:rPr>
          <w:t xml:space="preserve">постановлением</w:t>
        </w:r>
      </w:hyperlink>
      <w:r>
        <w:rPr>
          <w:sz w:val="20"/>
        </w:rPr>
        <w:t xml:space="preserve"> Правительства Ставропольского края от 28 декабря</w:t>
      </w:r>
    </w:p>
    <w:p>
      <w:pPr>
        <w:pStyle w:val="1"/>
        <w:jc w:val="both"/>
      </w:pPr>
      <w:r>
        <w:rPr>
          <w:sz w:val="20"/>
        </w:rPr>
        <w:t xml:space="preserve">2018  г.  N 615-п "Об утверждении государственной программы Ставропольского</w:t>
      </w:r>
    </w:p>
    <w:p>
      <w:pPr>
        <w:pStyle w:val="1"/>
        <w:jc w:val="both"/>
      </w:pPr>
      <w:r>
        <w:rPr>
          <w:sz w:val="20"/>
        </w:rPr>
        <w:t xml:space="preserve">края "Молодежная политика" Правительство Ставропольского края постановляет:</w:t>
      </w:r>
    </w:p>
    <w:p>
      <w:pPr>
        <w:pStyle w:val="0"/>
        <w:jc w:val="both"/>
      </w:pPr>
      <w:r>
        <w:rPr>
          <w:sz w:val="20"/>
        </w:rPr>
      </w:r>
    </w:p>
    <w:p>
      <w:pPr>
        <w:pStyle w:val="0"/>
        <w:ind w:firstLine="540"/>
        <w:jc w:val="both"/>
      </w:pPr>
      <w:r>
        <w:rPr>
          <w:sz w:val="20"/>
        </w:rPr>
        <w:t xml:space="preserve">1. Предоставить из бюджета Ставропольского края гранты в форме субсидий некоммерческим организациям (за исключением государственных учреждений) на финансовое обеспечение мероприятий, связанных с подготовкой и проведением Международной конкурс-премии уличной культуры и спорта "КАРДО" на территории Ставропольского края в 2023 году.</w:t>
      </w:r>
    </w:p>
    <w:p>
      <w:pPr>
        <w:pStyle w:val="0"/>
        <w:spacing w:before="200" w:line-rule="auto"/>
        <w:ind w:firstLine="540"/>
        <w:jc w:val="both"/>
      </w:pPr>
      <w:r>
        <w:rPr>
          <w:sz w:val="20"/>
        </w:rPr>
        <w:t xml:space="preserve">2. Утвердить прилагаемый </w:t>
      </w:r>
      <w:hyperlink w:history="0" w:anchor="P39" w:tooltip="ПОРЯДОК">
        <w:r>
          <w:rPr>
            <w:sz w:val="20"/>
            <w:color w:val="0000ff"/>
          </w:rPr>
          <w:t xml:space="preserve">Порядок</w:t>
        </w:r>
      </w:hyperlink>
      <w:r>
        <w:rPr>
          <w:sz w:val="20"/>
        </w:rPr>
        <w:t xml:space="preserve"> предоставления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подготовкой и проведением Международной конкурс-премии уличной культуры и спорта "КАРДО" на территории Ставропольского края в 2023 году.</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4.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Ставропольского края</w:t>
      </w:r>
    </w:p>
    <w:p>
      <w:pPr>
        <w:pStyle w:val="0"/>
        <w:jc w:val="right"/>
      </w:pPr>
      <w:r>
        <w:rPr>
          <w:sz w:val="20"/>
        </w:rPr>
        <w:t xml:space="preserve">первый заместитель председателя</w:t>
      </w:r>
    </w:p>
    <w:p>
      <w:pPr>
        <w:pStyle w:val="0"/>
        <w:jc w:val="right"/>
      </w:pPr>
      <w:r>
        <w:rPr>
          <w:sz w:val="20"/>
        </w:rPr>
        <w:t xml:space="preserve">Правительства Ставропольского края</w:t>
      </w:r>
    </w:p>
    <w:p>
      <w:pPr>
        <w:pStyle w:val="0"/>
        <w:jc w:val="right"/>
      </w:pPr>
      <w:r>
        <w:rPr>
          <w:sz w:val="20"/>
        </w:rPr>
        <w:t xml:space="preserve">А.Г.ХЛОПЯНОВ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16 июня 2023 г. N 370-п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ИЗ БЮДЖЕТА СТАВРОПОЛЬСКОГО КРАЯ ГРАНТОВ</w:t>
      </w:r>
    </w:p>
    <w:p>
      <w:pPr>
        <w:pStyle w:val="2"/>
        <w:jc w:val="center"/>
      </w:pPr>
      <w:r>
        <w:rPr>
          <w:sz w:val="20"/>
        </w:rPr>
        <w:t xml:space="preserve">В ФОРМЕ СУБСИДИЙ НЕКОММЕРЧЕСКИМ ОРГАНИЗАЦИЯМ (ЗА ИСКЛЮЧЕНИЕМ</w:t>
      </w:r>
    </w:p>
    <w:p>
      <w:pPr>
        <w:pStyle w:val="2"/>
        <w:jc w:val="center"/>
      </w:pPr>
      <w:r>
        <w:rPr>
          <w:sz w:val="20"/>
        </w:rPr>
        <w:t xml:space="preserve">ГОСУДАРСТВЕННЫХ УЧРЕЖДЕНИЙ) НА ФИНАНСОВОЕ ОБЕСПЕЧЕНИЕ</w:t>
      </w:r>
    </w:p>
    <w:p>
      <w:pPr>
        <w:pStyle w:val="2"/>
        <w:jc w:val="center"/>
      </w:pPr>
      <w:r>
        <w:rPr>
          <w:sz w:val="20"/>
        </w:rPr>
        <w:t xml:space="preserve">МЕРОПРИЯТИЙ, СВЯЗАННЫХ С ПОДГОТОВКОЙ И ПРОВЕДЕНИЕМ</w:t>
      </w:r>
    </w:p>
    <w:p>
      <w:pPr>
        <w:pStyle w:val="2"/>
        <w:jc w:val="center"/>
      </w:pPr>
      <w:r>
        <w:rPr>
          <w:sz w:val="20"/>
        </w:rPr>
        <w:t xml:space="preserve">МЕЖДУНАРОДНОЙ КОНКУРС-ПРЕМИИ УЛИЧНОЙ КУЛЬТУРЫ И СПОРТА</w:t>
      </w:r>
    </w:p>
    <w:p>
      <w:pPr>
        <w:pStyle w:val="2"/>
        <w:jc w:val="center"/>
      </w:pPr>
      <w:r>
        <w:rPr>
          <w:sz w:val="20"/>
        </w:rPr>
        <w:t xml:space="preserve">"КАРДО" НА ТЕРРИТОРИИ СТАВРОПОЛЬСКОГО КРАЯ В 2023 ГОДУ</w:t>
      </w:r>
    </w:p>
    <w:p>
      <w:pPr>
        <w:pStyle w:val="0"/>
        <w:jc w:val="both"/>
      </w:pPr>
      <w:r>
        <w:rPr>
          <w:sz w:val="20"/>
        </w:rPr>
      </w:r>
    </w:p>
    <w:p>
      <w:pPr>
        <w:pStyle w:val="0"/>
        <w:ind w:firstLine="540"/>
        <w:jc w:val="both"/>
      </w:pPr>
      <w:r>
        <w:rPr>
          <w:sz w:val="20"/>
        </w:rPr>
        <w:t xml:space="preserve">1. Настоящий Порядок определяет условия, цель и механизм предоставления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подготовкой и проведением Международной конкурс-премии уличной культуры и спорта "КАРДО" на территории Ставропольского края в 2023 году, в рамках реализации государственной </w:t>
      </w:r>
      <w:hyperlink w:history="0" r:id="rId9" w:tooltip="Постановление Правительства Ставропольского края от 28.12.2018 N 615-п (ред. от 31.03.2023) &quot;Об утверждении государственной программы Ставропольского края &quot;Молодежная политика&quot; {КонсультантПлюс}">
        <w:r>
          <w:rPr>
            <w:sz w:val="20"/>
            <w:color w:val="0000ff"/>
          </w:rPr>
          <w:t xml:space="preserve">программы</w:t>
        </w:r>
      </w:hyperlink>
      <w:r>
        <w:rPr>
          <w:sz w:val="20"/>
        </w:rPr>
        <w:t xml:space="preserve"> Ставропольского края "Молодежная политика", утвержденной постановлением Правительства Ставропольского края от 28 декабря 2018 г. N 615-п (далее соответственно - Международная конкурс-премия, краевой бюджет, грант).</w:t>
      </w:r>
    </w:p>
    <w:bookmarkStart w:id="48" w:name="P48"/>
    <w:bookmarkEnd w:id="48"/>
    <w:p>
      <w:pPr>
        <w:pStyle w:val="0"/>
        <w:spacing w:before="200" w:line-rule="auto"/>
        <w:ind w:firstLine="540"/>
        <w:jc w:val="both"/>
      </w:pPr>
      <w:r>
        <w:rPr>
          <w:sz w:val="20"/>
        </w:rPr>
        <w:t xml:space="preserve">2. Грант предоставляется с целью финансового обеспечения мероприятий, связанных с подготовкой и проведением Международной конкурс-премии (в том числе на оплату аренды нежилых помещений, транспорта, а также оплату товаров, работ, услуг, связанных с подготовкой и проведением Международной конкурс-премии), за исключением:</w:t>
      </w:r>
    </w:p>
    <w:p>
      <w:pPr>
        <w:pStyle w:val="0"/>
        <w:spacing w:before="200" w:line-rule="auto"/>
        <w:ind w:firstLine="540"/>
        <w:jc w:val="both"/>
      </w:pPr>
      <w:r>
        <w:rPr>
          <w:sz w:val="20"/>
        </w:rPr>
        <w:t xml:space="preserve">1) расходов, не связанных с подготовкой и проведением Международной конкурс-премии;</w:t>
      </w:r>
    </w:p>
    <w:p>
      <w:pPr>
        <w:pStyle w:val="0"/>
        <w:spacing w:before="200" w:line-rule="auto"/>
        <w:ind w:firstLine="540"/>
        <w:jc w:val="both"/>
      </w:pPr>
      <w:r>
        <w:rPr>
          <w:sz w:val="20"/>
        </w:rPr>
        <w:t xml:space="preserve">2)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расходов на фундаментальные научные исследования;</w:t>
      </w:r>
    </w:p>
    <w:p>
      <w:pPr>
        <w:pStyle w:val="0"/>
        <w:spacing w:before="200" w:line-rule="auto"/>
        <w:ind w:firstLine="540"/>
        <w:jc w:val="both"/>
      </w:pPr>
      <w:r>
        <w:rPr>
          <w:sz w:val="20"/>
        </w:rPr>
        <w:t xml:space="preserve">4)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5) расходов на приобретение автомототранспортных средств;</w:t>
      </w:r>
    </w:p>
    <w:p>
      <w:pPr>
        <w:pStyle w:val="0"/>
        <w:spacing w:before="200" w:line-rule="auto"/>
        <w:ind w:firstLine="540"/>
        <w:jc w:val="both"/>
      </w:pPr>
      <w:r>
        <w:rPr>
          <w:sz w:val="20"/>
        </w:rPr>
        <w:t xml:space="preserve">6)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7) расходов, предусматривающих финансирование деятельности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8) расходов на погашение задолженности по денежным обязательствам;</w:t>
      </w:r>
    </w:p>
    <w:p>
      <w:pPr>
        <w:pStyle w:val="0"/>
        <w:spacing w:before="200" w:line-rule="auto"/>
        <w:ind w:firstLine="540"/>
        <w:jc w:val="both"/>
      </w:pPr>
      <w:r>
        <w:rPr>
          <w:sz w:val="20"/>
        </w:rPr>
        <w:t xml:space="preserve">9) расходов на уплату штрафов, пеней</w:t>
      </w:r>
    </w:p>
    <w:p>
      <w:pPr>
        <w:pStyle w:val="0"/>
        <w:spacing w:before="200" w:line-rule="auto"/>
      </w:pPr>
      <w:r>
        <w:rPr>
          <w:sz w:val="20"/>
        </w:rPr>
        <w:t xml:space="preserve">(далее - расходы).</w:t>
      </w:r>
    </w:p>
    <w:bookmarkStart w:id="59" w:name="P59"/>
    <w:bookmarkEnd w:id="59"/>
    <w:p>
      <w:pPr>
        <w:pStyle w:val="0"/>
        <w:spacing w:before="200" w:line-rule="auto"/>
        <w:ind w:firstLine="540"/>
        <w:jc w:val="both"/>
      </w:pPr>
      <w:r>
        <w:rPr>
          <w:sz w:val="20"/>
        </w:rPr>
        <w:t xml:space="preserve">3. Грант предоставляется министерством молодежной политики Ставропольского края (далее - министерство) за счет средств краевого бюджета, предусмотренных </w:t>
      </w:r>
      <w:hyperlink w:history="0" r:id="rId10"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2023 год и плановый период 2024 и 2025 годов" на предоставление гранта, и лимитов бюджетных обязательств, утвержденных и доведенных министерству в установленном порядке на предоставление гранта.</w:t>
      </w:r>
    </w:p>
    <w:p>
      <w:pPr>
        <w:pStyle w:val="0"/>
        <w:spacing w:before="200" w:line-rule="auto"/>
        <w:ind w:firstLine="540"/>
        <w:jc w:val="both"/>
      </w:pPr>
      <w:r>
        <w:rPr>
          <w:sz w:val="20"/>
        </w:rPr>
        <w:t xml:space="preserve">4. 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в срок не позднее 15-го рабочего дня, следующего за днем принятия закона Ставропольского края "О внесении изменений в Закон Ставропольского края "О бюджете Ставропольского края на 2023 год и плановый период 2024 и 2025 годов".</w:t>
      </w:r>
    </w:p>
    <w:bookmarkStart w:id="61" w:name="P61"/>
    <w:bookmarkEnd w:id="61"/>
    <w:p>
      <w:pPr>
        <w:pStyle w:val="0"/>
        <w:spacing w:before="200" w:line-rule="auto"/>
        <w:ind w:firstLine="540"/>
        <w:jc w:val="both"/>
      </w:pPr>
      <w:r>
        <w:rPr>
          <w:sz w:val="20"/>
        </w:rPr>
        <w:t xml:space="preserve">5. Участниками отбора для предоставления гранта, проводимого министерством в форме конкурса, являются некоммерческие организации (за исключением государственных учреждений), зарегистрированные и осуществляющие деятельность на территории Ставропольского края (далее соответственно - конкурс, некоммерческая организация).</w:t>
      </w:r>
    </w:p>
    <w:p>
      <w:pPr>
        <w:pStyle w:val="0"/>
        <w:spacing w:before="200" w:line-rule="auto"/>
        <w:ind w:firstLine="540"/>
        <w:jc w:val="both"/>
      </w:pPr>
      <w:r>
        <w:rPr>
          <w:sz w:val="20"/>
        </w:rPr>
        <w:t xml:space="preserve">6. Министерство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образует конкурсную комиссию по проведению конкурса, утверждает ее состав, положение о ней и порядок проведения конкурса (далее - конкурсная комиссия).</w:t>
      </w:r>
    </w:p>
    <w:p>
      <w:pPr>
        <w:pStyle w:val="0"/>
        <w:spacing w:before="200" w:line-rule="auto"/>
        <w:ind w:firstLine="540"/>
        <w:jc w:val="both"/>
      </w:pPr>
      <w:r>
        <w:rPr>
          <w:sz w:val="20"/>
        </w:rPr>
        <w:t xml:space="preserve">7. Объявление о проведении конкурса и положение о проведении Международной конкурс-премии, утверждаемое министерством, содержащее в том числе программу мероприятий, цели, задачи и ожидаемые результаты проведения Международной конкурс-премии (далее - Положение), размещаются министерством в срок не менее чем за 30 календарных дней до даты окончания срока подачи заявок на официальном информационном Интернет-портале органов государственной власти Ставропольского края в сети "Интернет" в разделе "Поддержка НКО" по адресу: </w:t>
      </w:r>
      <w:r>
        <w:rPr>
          <w:sz w:val="20"/>
        </w:rPr>
        <w:t xml:space="preserve">https://stavregion.ru/podderzhka-nko/</w:t>
      </w:r>
      <w:r>
        <w:rPr>
          <w:sz w:val="20"/>
        </w:rPr>
        <w:t xml:space="preserve"> (далее - информационный портал).</w:t>
      </w:r>
    </w:p>
    <w:p>
      <w:pPr>
        <w:pStyle w:val="0"/>
        <w:spacing w:before="200" w:line-rule="auto"/>
        <w:ind w:firstLine="540"/>
        <w:jc w:val="both"/>
      </w:pPr>
      <w:r>
        <w:rPr>
          <w:sz w:val="20"/>
        </w:rPr>
        <w:t xml:space="preserve">8. В объявлении о проведении конкурса указываются положения, предусмотренные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p>
      <w:pPr>
        <w:pStyle w:val="0"/>
        <w:spacing w:before="200" w:line-rule="auto"/>
        <w:ind w:firstLine="540"/>
        <w:jc w:val="both"/>
      </w:pPr>
      <w:r>
        <w:rPr>
          <w:sz w:val="20"/>
        </w:rPr>
        <w:t xml:space="preserve">Объявление о проведении конкурса размещается на едином портале в срок не менее чем за 30 календарных дней до даты окончания срока подачи заявок.</w:t>
      </w:r>
    </w:p>
    <w:bookmarkStart w:id="68" w:name="P68"/>
    <w:bookmarkEnd w:id="68"/>
    <w:p>
      <w:pPr>
        <w:pStyle w:val="0"/>
        <w:spacing w:before="200" w:line-rule="auto"/>
        <w:ind w:firstLine="540"/>
        <w:jc w:val="both"/>
      </w:pPr>
      <w:r>
        <w:rPr>
          <w:sz w:val="20"/>
        </w:rPr>
        <w:t xml:space="preserve">9. Некоммерческая организация, претендующая на участие в конкурсе, должна одновременно соответствовать следующим требованиям:</w:t>
      </w:r>
    </w:p>
    <w:p>
      <w:pPr>
        <w:pStyle w:val="0"/>
        <w:spacing w:before="200" w:line-rule="auto"/>
        <w:ind w:firstLine="540"/>
        <w:jc w:val="both"/>
      </w:pPr>
      <w:r>
        <w:rPr>
          <w:sz w:val="20"/>
        </w:rPr>
        <w:t xml:space="preserve">1) отсутствие у некоммерческой организации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государственная регистрация некоммерческой организации на территории Ставропольского края в качестве юридического лица и осуществление ею деятельности на территории Ставропольского края не менее 1 года;</w:t>
      </w:r>
    </w:p>
    <w:bookmarkStart w:id="71" w:name="P71"/>
    <w:bookmarkEnd w:id="71"/>
    <w:p>
      <w:pPr>
        <w:pStyle w:val="0"/>
        <w:spacing w:before="200" w:line-rule="auto"/>
        <w:ind w:firstLine="540"/>
        <w:jc w:val="both"/>
      </w:pPr>
      <w:r>
        <w:rPr>
          <w:sz w:val="20"/>
        </w:rPr>
        <w:t xml:space="preserve">3) отсутствие у некоммерческой организации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4) отсутствие в отношении некоммерческой организации на дату не ранее чем за 30 календарных дней до даты подачи заявки процесса реорганизации (за исключением реорганизации в форме присоединения к некоммерческой организации другого юридического лица), ликвидации, введения процедуры банкротства, приостановления ее деятельности в порядке, предусмотренном законодательством Российской Федерации;</w:t>
      </w:r>
    </w:p>
    <w:bookmarkStart w:id="73" w:name="P73"/>
    <w:bookmarkEnd w:id="73"/>
    <w:p>
      <w:pPr>
        <w:pStyle w:val="0"/>
        <w:spacing w:before="200" w:line-rule="auto"/>
        <w:ind w:firstLine="540"/>
        <w:jc w:val="both"/>
      </w:pPr>
      <w:r>
        <w:rPr>
          <w:sz w:val="20"/>
        </w:rPr>
        <w:t xml:space="preserve">5) некоммерческая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bookmarkStart w:id="74" w:name="P74"/>
    <w:bookmarkEnd w:id="74"/>
    <w:p>
      <w:pPr>
        <w:pStyle w:val="0"/>
        <w:spacing w:before="200" w:line-rule="auto"/>
        <w:ind w:firstLine="540"/>
        <w:jc w:val="both"/>
      </w:pPr>
      <w:r>
        <w:rPr>
          <w:sz w:val="20"/>
        </w:rPr>
        <w:t xml:space="preserve">6) некоммерческая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48" w:tooltip="2. Грант предоставляется с целью финансового обеспечения мероприятий, связанных с подготовкой и проведением Международной конкурс-премии (в том числе на оплату аренды нежилых помещений, транспорта, а также оплату товаров, работ, услуг, связанных с подготовкой и проведением Международной конкурс-премии), за исключением:">
        <w:r>
          <w:rPr>
            <w:sz w:val="20"/>
            <w:color w:val="0000ff"/>
          </w:rPr>
          <w:t xml:space="preserve">пункте 2</w:t>
        </w:r>
      </w:hyperlink>
      <w:r>
        <w:rPr>
          <w:sz w:val="20"/>
        </w:rPr>
        <w:t xml:space="preserve"> настоящего Порядка;</w:t>
      </w:r>
    </w:p>
    <w:bookmarkStart w:id="75" w:name="P75"/>
    <w:bookmarkEnd w:id="75"/>
    <w:p>
      <w:pPr>
        <w:pStyle w:val="1"/>
        <w:spacing w:before="200" w:line-rule="auto"/>
        <w:jc w:val="both"/>
      </w:pPr>
      <w:r>
        <w:rPr>
          <w:sz w:val="20"/>
        </w:rPr>
        <w:t xml:space="preserve">    7)   наличие   согласия  некоммерческой  организации  на  осуществление</w:t>
      </w:r>
    </w:p>
    <w:p>
      <w:pPr>
        <w:pStyle w:val="1"/>
        <w:jc w:val="both"/>
      </w:pPr>
      <w:r>
        <w:rPr>
          <w:sz w:val="20"/>
        </w:rPr>
        <w:t xml:space="preserve">министерством  в  отношении  нее  проверок  соблюдения ею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предоставления  гранта,  установленного соглашением о предоставлении гранта</w:t>
      </w:r>
    </w:p>
    <w:p>
      <w:pPr>
        <w:pStyle w:val="1"/>
        <w:jc w:val="both"/>
      </w:pPr>
      <w:r>
        <w:rPr>
          <w:sz w:val="20"/>
        </w:rPr>
        <w:t xml:space="preserve">(далее   -   соглашение),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13"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4"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bookmarkStart w:id="84" w:name="P84"/>
    <w:bookmarkEnd w:id="84"/>
    <w:p>
      <w:pPr>
        <w:pStyle w:val="1"/>
        <w:jc w:val="both"/>
      </w:pPr>
      <w:r>
        <w:rPr>
          <w:sz w:val="20"/>
        </w:rPr>
        <w:t xml:space="preserve">    8)  наличие  обязательства  некоммерческой  организации  о  включении в</w:t>
      </w:r>
    </w:p>
    <w:p>
      <w:pPr>
        <w:pStyle w:val="1"/>
        <w:jc w:val="both"/>
      </w:pPr>
      <w:r>
        <w:rPr>
          <w:sz w:val="20"/>
        </w:rPr>
        <w:t xml:space="preserve">договоры,   заключаемые  некоммерческой  организацией  в  целях  исполнения</w:t>
      </w:r>
    </w:p>
    <w:p>
      <w:pPr>
        <w:pStyle w:val="1"/>
        <w:jc w:val="both"/>
      </w:pPr>
      <w:r>
        <w:rPr>
          <w:sz w:val="20"/>
        </w:rPr>
        <w:t xml:space="preserve">                                                                          1</w:t>
      </w:r>
    </w:p>
    <w:p>
      <w:pPr>
        <w:pStyle w:val="1"/>
        <w:jc w:val="both"/>
      </w:pPr>
      <w:r>
        <w:rPr>
          <w:sz w:val="20"/>
        </w:rPr>
        <w:t xml:space="preserve">обязательств  по  соглашению, согласия лиц, указанных в </w:t>
      </w:r>
      <w:hyperlink w:history="0" r:id="rId15"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на осуществление министерством в</w:t>
      </w:r>
    </w:p>
    <w:p>
      <w:pPr>
        <w:pStyle w:val="1"/>
        <w:jc w:val="both"/>
      </w:pPr>
      <w:r>
        <w:rPr>
          <w:sz w:val="20"/>
        </w:rPr>
        <w:t xml:space="preserve">отношении  них  проверок  соблюдения  ими  условий и порядка предоставления</w:t>
      </w:r>
    </w:p>
    <w:p>
      <w:pPr>
        <w:pStyle w:val="1"/>
        <w:jc w:val="both"/>
      </w:pPr>
      <w:r>
        <w:rPr>
          <w:sz w:val="20"/>
        </w:rPr>
        <w:t xml:space="preserve">гранта,  в  том числе в части достижения значения результата предоставления</w:t>
      </w:r>
    </w:p>
    <w:p>
      <w:pPr>
        <w:pStyle w:val="1"/>
        <w:jc w:val="both"/>
      </w:pPr>
      <w:r>
        <w:rPr>
          <w:sz w:val="20"/>
        </w:rPr>
        <w:t xml:space="preserve">гранта,    установленного    соглашением,   а   также   проверок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16"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17"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9) наличие обязательства некоммерческой организации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96" w:name="P96"/>
    <w:bookmarkEnd w:id="96"/>
    <w:p>
      <w:pPr>
        <w:pStyle w:val="0"/>
        <w:spacing w:before="200" w:line-rule="auto"/>
        <w:ind w:firstLine="540"/>
        <w:jc w:val="both"/>
      </w:pPr>
      <w:r>
        <w:rPr>
          <w:sz w:val="20"/>
        </w:rPr>
        <w:t xml:space="preserve">10) наличие обязательства некоммерческой организации о включении в договоры, заключаемые некоммерческой организацией в целях исполнения обязательств по соглашению, обязательств юридических лиц, получающих средства на основании таких договоров,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11) наличие опыта выполнения некоммерческой организацией аналогичных мероприятий на территории Российской Федерации;</w:t>
      </w:r>
    </w:p>
    <w:p>
      <w:pPr>
        <w:pStyle w:val="0"/>
        <w:spacing w:before="200" w:line-rule="auto"/>
        <w:ind w:firstLine="540"/>
        <w:jc w:val="both"/>
      </w:pPr>
      <w:r>
        <w:rPr>
          <w:sz w:val="20"/>
        </w:rPr>
        <w:t xml:space="preserve">12) наличие согласия органа,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w:t>
      </w:r>
    </w:p>
    <w:bookmarkStart w:id="99" w:name="P99"/>
    <w:bookmarkEnd w:id="99"/>
    <w:p>
      <w:pPr>
        <w:pStyle w:val="0"/>
        <w:spacing w:before="200" w:line-rule="auto"/>
        <w:ind w:firstLine="540"/>
        <w:jc w:val="both"/>
      </w:pPr>
      <w:r>
        <w:rPr>
          <w:sz w:val="20"/>
        </w:rPr>
        <w:t xml:space="preserve">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w:t>
      </w:r>
      <w:hyperlink w:history="0" w:anchor="P61" w:tooltip="5. Участниками отбора для предоставления гранта, проводимого министерством в форме конкурса, являются некоммерческие организации (за исключением государственных учреждений), зарегистрированные и осуществляющие деятельность на территории Ставропольского края (далее соответственно - конкурс, некоммерческая организация).">
        <w:r>
          <w:rPr>
            <w:sz w:val="20"/>
            <w:color w:val="0000ff"/>
          </w:rPr>
          <w:t xml:space="preserve">пунктом 5</w:t>
        </w:r>
      </w:hyperlink>
      <w:r>
        <w:rPr>
          <w:sz w:val="20"/>
        </w:rPr>
        <w:t xml:space="preserve"> настоящего Порядка, и требованиями, установленным </w:t>
      </w:r>
      <w:hyperlink w:history="0" w:anchor="P68" w:tooltip="9. Некоммерческ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 заявление на участие в конкурсе, содержащее согласие некоммерческой организации, предусмотренное </w:t>
      </w:r>
      <w:hyperlink w:history="0" w:anchor="P75" w:tooltip="    7)   наличие   согласия  некоммерческой  организации  на  осуществление">
        <w:r>
          <w:rPr>
            <w:sz w:val="20"/>
            <w:color w:val="0000ff"/>
          </w:rPr>
          <w:t xml:space="preserve">подпунктом "7" пункта 9</w:t>
        </w:r>
      </w:hyperlink>
      <w:r>
        <w:rPr>
          <w:sz w:val="20"/>
        </w:rPr>
        <w:t xml:space="preserve"> настоящего Порядка, согласие на публикацию (размещение) в сети "Интернет" информации о ней, о подаваемой заявке, иной информации о некоммерческой организации, связанной с конкурсом, и обязательства, предусмотренные </w:t>
      </w:r>
      <w:hyperlink w:history="0" w:anchor="P84" w:tooltip="    8)  наличие  обязательства  некоммерческой  организации  о  включении в">
        <w:r>
          <w:rPr>
            <w:sz w:val="20"/>
            <w:color w:val="0000ff"/>
          </w:rPr>
          <w:t xml:space="preserve">подпунктами "8"</w:t>
        </w:r>
      </w:hyperlink>
      <w:r>
        <w:rPr>
          <w:sz w:val="20"/>
        </w:rPr>
        <w:t xml:space="preserve"> - </w:t>
      </w:r>
      <w:hyperlink w:history="0" w:anchor="P96" w:tooltip="10) наличие обязательства некоммерческой организации о включении в договоры, заключаемые некоммерческой организацией в целях исполнения обязательств по соглашению, обязательств юридических лиц, получающих средства на основании таких договоров,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
        <w:r>
          <w:rPr>
            <w:sz w:val="20"/>
            <w:color w:val="0000ff"/>
          </w:rPr>
          <w:t xml:space="preserve">"10" пункта 9</w:t>
        </w:r>
      </w:hyperlink>
      <w:r>
        <w:rPr>
          <w:sz w:val="20"/>
        </w:rPr>
        <w:t xml:space="preserve"> настоящего Порядка, по форме, утверждаемой министерством;</w:t>
      </w:r>
    </w:p>
    <w:p>
      <w:pPr>
        <w:pStyle w:val="0"/>
        <w:spacing w:before="200" w:line-rule="auto"/>
        <w:ind w:firstLine="540"/>
        <w:jc w:val="both"/>
      </w:pPr>
      <w:r>
        <w:rPr>
          <w:sz w:val="20"/>
        </w:rPr>
        <w:t xml:space="preserve">2) план мероприятий, связанных с подготовкой и проведением Международной конкурс-премии, содержащий информацию о сроках их реализации, подготовленный в соответствии с Положением, по форме, утверждаемой министерством (далее - план мероприятий);</w:t>
      </w:r>
    </w:p>
    <w:p>
      <w:pPr>
        <w:pStyle w:val="0"/>
        <w:spacing w:before="200" w:line-rule="auto"/>
        <w:ind w:firstLine="540"/>
        <w:jc w:val="both"/>
      </w:pPr>
      <w:r>
        <w:rPr>
          <w:sz w:val="20"/>
        </w:rPr>
        <w:t xml:space="preserve">3) расчет-обоснование размера гранта, составленный на основании не менее чем 3 коммерческих предложений поставщиков (подрядчиков, исполнителей), запрошенных некоммерческой организацией по соответствующим направлениям расходов с приложением копий таких коммерческих предложений, заверенных руководителем некоммерческой организации или уполномоченным лицом некоммерческой организации и скрепленных печатью некоммерческой организации (при наличии печати), по форме, утверждаемой министерством (далее - расчет-обоснование);</w:t>
      </w:r>
    </w:p>
    <w:p>
      <w:pPr>
        <w:pStyle w:val="0"/>
        <w:spacing w:before="200" w:line-rule="auto"/>
        <w:ind w:firstLine="540"/>
        <w:jc w:val="both"/>
      </w:pPr>
      <w:r>
        <w:rPr>
          <w:sz w:val="20"/>
        </w:rPr>
        <w:t xml:space="preserve">4) смета расходов на осуществление мероприятий, связанных с подготовкой и проведением Международной конкурс-премии, по форме, утверждаемой министерством;</w:t>
      </w:r>
    </w:p>
    <w:p>
      <w:pPr>
        <w:pStyle w:val="0"/>
        <w:spacing w:before="200" w:line-rule="auto"/>
        <w:ind w:firstLine="540"/>
        <w:jc w:val="both"/>
      </w:pPr>
      <w:r>
        <w:rPr>
          <w:sz w:val="20"/>
        </w:rPr>
        <w:t xml:space="preserve">5) копии документов, подтверждающих наличие опыта выполнения аналогичных мероприятий, заверенные руководителем некоммерческой организации или уполномоченным лицом некоммерческой организации и скрепленные печатью некоммерческой организации (при наличии печати);</w:t>
      </w:r>
    </w:p>
    <w:p>
      <w:pPr>
        <w:pStyle w:val="0"/>
        <w:spacing w:before="200" w:line-rule="auto"/>
        <w:ind w:firstLine="540"/>
        <w:jc w:val="both"/>
      </w:pPr>
      <w:r>
        <w:rPr>
          <w:sz w:val="20"/>
        </w:rPr>
        <w:t xml:space="preserve">6) копия устава некоммерческой организации со всеми актуальными и зарегистрированными изменениями к нему, заверенная руководителем некоммерческой организации или уполномоченным лицом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7) справка по форме, утверждаемой министерством, подтверждающая, что на дату не ранее чем за 30 календарных дней до даты подачи заявки:</w:t>
      </w:r>
    </w:p>
    <w:p>
      <w:pPr>
        <w:pStyle w:val="0"/>
        <w:spacing w:before="200" w:line-rule="auto"/>
        <w:ind w:firstLine="540"/>
        <w:jc w:val="both"/>
      </w:pPr>
      <w:r>
        <w:rPr>
          <w:sz w:val="20"/>
        </w:rPr>
        <w:t xml:space="preserve">некоммерческая организация соответствует требованиям, установленным </w:t>
      </w:r>
      <w:hyperlink w:history="0" w:anchor="P71" w:tooltip="3) отсутствие у некоммерческой организации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w:r>
          <w:rPr>
            <w:sz w:val="20"/>
            <w:color w:val="0000ff"/>
          </w:rPr>
          <w:t xml:space="preserve">подпунктами "3"</w:t>
        </w:r>
      </w:hyperlink>
      <w:r>
        <w:rPr>
          <w:sz w:val="20"/>
        </w:rPr>
        <w:t xml:space="preserve">, </w:t>
      </w:r>
      <w:hyperlink w:history="0" w:anchor="P73" w:tooltip="5) некоммерческ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
        <w:r>
          <w:rPr>
            <w:sz w:val="20"/>
            <w:color w:val="0000ff"/>
          </w:rPr>
          <w:t xml:space="preserve">"5"</w:t>
        </w:r>
      </w:hyperlink>
      <w:r>
        <w:rPr>
          <w:sz w:val="20"/>
        </w:rPr>
        <w:t xml:space="preserve"> и </w:t>
      </w:r>
      <w:hyperlink w:history="0" w:anchor="P74" w:tooltip="6) некоммерческ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пункте 2 настоящего Порядка;">
        <w:r>
          <w:rPr>
            <w:sz w:val="20"/>
            <w:color w:val="0000ff"/>
          </w:rPr>
          <w:t xml:space="preserve">"6" пункта 9</w:t>
        </w:r>
      </w:hyperlink>
      <w:r>
        <w:rPr>
          <w:sz w:val="20"/>
        </w:rPr>
        <w:t xml:space="preserve"> настоящего Порядка;</w:t>
      </w:r>
    </w:p>
    <w:p>
      <w:pPr>
        <w:pStyle w:val="0"/>
        <w:spacing w:before="200" w:line-rule="auto"/>
        <w:ind w:firstLine="540"/>
        <w:jc w:val="both"/>
      </w:pPr>
      <w:r>
        <w:rPr>
          <w:sz w:val="20"/>
        </w:rPr>
        <w:t xml:space="preserve">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8) копия документа, подтверждающего полномочия руководителя некоммерческой организации или уполномоченного представителя некоммерческой организации на подачу заявки от имени некоммерческой организации, заверенная руководителем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9) согласие органа,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оформленное на бланке указанного органа.</w:t>
      </w:r>
    </w:p>
    <w:p>
      <w:pPr>
        <w:pStyle w:val="0"/>
        <w:spacing w:before="200" w:line-rule="auto"/>
        <w:ind w:firstLine="540"/>
        <w:jc w:val="both"/>
      </w:pPr>
      <w:r>
        <w:rPr>
          <w:sz w:val="20"/>
        </w:rPr>
        <w:t xml:space="preserve">11. Некоммерческая организация вправе включить в состав заявки дополнительную информацию (в том числе документы).</w:t>
      </w:r>
    </w:p>
    <w:p>
      <w:pPr>
        <w:pStyle w:val="0"/>
        <w:spacing w:before="200" w:line-rule="auto"/>
        <w:ind w:firstLine="540"/>
        <w:jc w:val="both"/>
      </w:pPr>
      <w:r>
        <w:rPr>
          <w:sz w:val="20"/>
        </w:rPr>
        <w:t xml:space="preserve">12. Некоммерческая организация для участия в конкурсе может подать только одну заявку.</w:t>
      </w:r>
    </w:p>
    <w:p>
      <w:pPr>
        <w:pStyle w:val="0"/>
        <w:spacing w:before="200" w:line-rule="auto"/>
        <w:ind w:firstLine="540"/>
        <w:jc w:val="both"/>
      </w:pPr>
      <w:r>
        <w:rPr>
          <w:sz w:val="20"/>
        </w:rPr>
        <w:t xml:space="preserve">13. Министерство осуществляет прием и регистрацию заявок в день их поступления в порядке очередности в журнале регистрации заявок, листы которого должны быть пронумерованы, прошнурованы и скреплены печатью министерства (далее - журнал регистрации заявок), с указанием даты их поступления и выдает некоммерческой организации письменное уведомление о принятии заявки к рассмотрению в день поступления заявки.</w:t>
      </w:r>
    </w:p>
    <w:p>
      <w:pPr>
        <w:pStyle w:val="0"/>
        <w:spacing w:before="200" w:line-rule="auto"/>
        <w:ind w:firstLine="540"/>
        <w:jc w:val="both"/>
      </w:pPr>
      <w:r>
        <w:rPr>
          <w:sz w:val="20"/>
        </w:rPr>
        <w:t xml:space="preserve">В случае направления заявки в форме электронных документов министерство регистрирует заявку в день ее поступления в министерство в порядке очередности поступления заявок в журнале регистрации заявок и в течение 5 календарных дней со дня регистрации заявки направляет некоммерческой организации письменное уведомление о принята заявки к рассмотрению.</w:t>
      </w:r>
    </w:p>
    <w:p>
      <w:pPr>
        <w:pStyle w:val="0"/>
        <w:spacing w:before="200" w:line-rule="auto"/>
        <w:ind w:firstLine="540"/>
        <w:jc w:val="both"/>
      </w:pPr>
      <w:r>
        <w:rPr>
          <w:sz w:val="20"/>
        </w:rPr>
        <w:t xml:space="preserve">Заявки, поступившие после даты окончания срока приема заявок, указанной в объявлении о проведении конкурса, не регистрируются и не рассматриваются.</w:t>
      </w:r>
    </w:p>
    <w:p>
      <w:pPr>
        <w:pStyle w:val="0"/>
        <w:spacing w:before="200" w:line-rule="auto"/>
        <w:ind w:firstLine="540"/>
        <w:jc w:val="both"/>
      </w:pPr>
      <w:r>
        <w:rPr>
          <w:sz w:val="20"/>
        </w:rPr>
        <w:t xml:space="preserve">Информация о заявках (наименование некоммерческой организации, ее основной государственный регистрационный номер и (или) идентификационный номер налогоплательщика) в течение 15 календарных дней с даты окончания срока приема заявок, указанной в объявлении о проведении конкурса, размещается министерством на информационном портале.</w:t>
      </w:r>
    </w:p>
    <w:p>
      <w:pPr>
        <w:pStyle w:val="0"/>
        <w:spacing w:before="200" w:line-rule="auto"/>
        <w:ind w:firstLine="540"/>
        <w:jc w:val="both"/>
      </w:pPr>
      <w:r>
        <w:rPr>
          <w:sz w:val="20"/>
        </w:rPr>
        <w:t xml:space="preserve">14. Заявка может быть отозвана некоммерческой организацией до даты окончания срока приема заявок, указанной в объявлении о проведении конкурса, путем направления некоммерческой организацией в министерство соответствующего обращения.</w:t>
      </w:r>
    </w:p>
    <w:p>
      <w:pPr>
        <w:pStyle w:val="0"/>
        <w:spacing w:before="200" w:line-rule="auto"/>
        <w:ind w:firstLine="540"/>
        <w:jc w:val="both"/>
      </w:pPr>
      <w:r>
        <w:rPr>
          <w:sz w:val="20"/>
        </w:rPr>
        <w:t xml:space="preserve">Внесение изменений в заявку допускается только до даты окончания срока приема заявок, указанной в объявлении о проведении конкурса, путем включения в ее состав дополнительной информации (в том числе документов).</w:t>
      </w:r>
    </w:p>
    <w:p>
      <w:pPr>
        <w:pStyle w:val="0"/>
        <w:spacing w:before="200" w:line-rule="auto"/>
        <w:ind w:firstLine="540"/>
        <w:jc w:val="both"/>
      </w:pPr>
      <w:r>
        <w:rPr>
          <w:sz w:val="20"/>
        </w:rPr>
        <w:t xml:space="preserve">15. Министерство в течение 2 рабочих дней с даты начала рассмотрения заявок, указанной в объявлении о проведении конкурса, в рамках межведомственного информационного взаимодействия запрашивает:</w:t>
      </w:r>
    </w:p>
    <w:bookmarkStart w:id="120" w:name="P120"/>
    <w:bookmarkEnd w:id="120"/>
    <w:p>
      <w:pPr>
        <w:pStyle w:val="0"/>
        <w:spacing w:before="200" w:line-rule="auto"/>
        <w:ind w:firstLine="540"/>
        <w:jc w:val="both"/>
      </w:pPr>
      <w:r>
        <w:rPr>
          <w:sz w:val="20"/>
        </w:rPr>
        <w:t xml:space="preserve">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21" w:name="P121"/>
    <w:bookmarkEnd w:id="121"/>
    <w:p>
      <w:pPr>
        <w:pStyle w:val="0"/>
        <w:spacing w:before="200" w:line-rule="auto"/>
        <w:ind w:firstLine="540"/>
        <w:jc w:val="both"/>
      </w:pPr>
      <w:r>
        <w:rPr>
          <w:sz w:val="20"/>
        </w:rPr>
        <w:t xml:space="preserve">сведения о некоммерческой организации, содержащиеся в Едином государственном реестре юридических лиц.</w:t>
      </w:r>
    </w:p>
    <w:p>
      <w:pPr>
        <w:pStyle w:val="0"/>
        <w:spacing w:before="200" w:line-rule="auto"/>
        <w:ind w:firstLine="540"/>
        <w:jc w:val="both"/>
      </w:pPr>
      <w:r>
        <w:rPr>
          <w:sz w:val="20"/>
        </w:rPr>
        <w:t xml:space="preserve">Некоммерческая организация вправе самостоятельно представить в министерство документы, содержащие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выданные на дату не ранее чем за 30 календарных дней до даты подачи заявки, одновременно с документами, предусмотренными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При представлении некоммерческой организацией документов, содержащих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министерство соответствующие запросы в рамках межведомственного информационного взаимодействия не направляет.</w:t>
      </w:r>
    </w:p>
    <w:p>
      <w:pPr>
        <w:pStyle w:val="0"/>
        <w:spacing w:before="200" w:line-rule="auto"/>
        <w:ind w:firstLine="540"/>
        <w:jc w:val="both"/>
      </w:pPr>
      <w:r>
        <w:rPr>
          <w:sz w:val="20"/>
        </w:rPr>
        <w:t xml:space="preserve">Документы, предусмотренные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могут быть направлены некоммерческой организацией в министерство в форме электронных документов в порядке, установленном </w:t>
      </w:r>
      <w:hyperlink w:history="0" r:id="rId1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16. Министерство в течение 5 рабочих дней с даты начала рассмотрения заявок, указанной в объявлении о проведении конкурса, рассматривает документы, предусмотренные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15</w:t>
        </w:r>
      </w:hyperlink>
      <w:r>
        <w:rPr>
          <w:sz w:val="20"/>
        </w:rPr>
        <w:t xml:space="preserve"> настоящего Порядка, на предмет их соответствия требованиям, установленным к ним в объявлении о проведении конкурса, и по результатам их рассмотрения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17. Основаниями для принятия министерством решения об отклонении заявки от участия в конкурсе являются:</w:t>
      </w:r>
    </w:p>
    <w:p>
      <w:pPr>
        <w:pStyle w:val="0"/>
        <w:spacing w:before="200" w:line-rule="auto"/>
        <w:ind w:firstLine="540"/>
        <w:jc w:val="both"/>
      </w:pPr>
      <w:r>
        <w:rPr>
          <w:sz w:val="20"/>
        </w:rPr>
        <w:t xml:space="preserve">несоответствие некоммерческой организации категории, установленной </w:t>
      </w:r>
      <w:hyperlink w:history="0" w:anchor="P61" w:tooltip="5. Участниками отбора для предоставления гранта, проводимого министерством в форме конкурса, являются некоммерческие организации (за исключением государственных учреждений), зарегистрированные и осуществляющие деятельность на территории Ставропольского края (далее соответственно - конкурс, некоммерческая организаци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68" w:tooltip="9. Некоммерческ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представление некоммерческой организацией более одной заявки;</w:t>
      </w:r>
    </w:p>
    <w:p>
      <w:pPr>
        <w:pStyle w:val="0"/>
        <w:spacing w:before="200" w:line-rule="auto"/>
        <w:ind w:firstLine="540"/>
        <w:jc w:val="both"/>
      </w:pPr>
      <w:r>
        <w:rPr>
          <w:sz w:val="20"/>
        </w:rPr>
        <w:t xml:space="preserve">несоответствие представленных некоммерческой организацией документов, предусмотренных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15</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целях получения гранта, в том числе о месте нахождения и адресе некоммерческой организации;</w:t>
      </w:r>
    </w:p>
    <w:p>
      <w:pPr>
        <w:pStyle w:val="0"/>
        <w:spacing w:before="200" w:line-rule="auto"/>
        <w:ind w:firstLine="540"/>
        <w:jc w:val="both"/>
      </w:pPr>
      <w:r>
        <w:rPr>
          <w:sz w:val="20"/>
        </w:rPr>
        <w:t xml:space="preserve">подача некоммерческой организацией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В случае принятия министерством решения об отклонении заявки от участия в конкурсе министерство в течение 3 рабочих дней со дня принятия такого решения делает соответствующую запись в журнале регистрации заявок и направляет некоммерческой организации письменное уведомление об отклонении заявки от участия в конкурсе с указанием причин отклонения.</w:t>
      </w:r>
    </w:p>
    <w:p>
      <w:pPr>
        <w:pStyle w:val="0"/>
        <w:spacing w:before="200" w:line-rule="auto"/>
        <w:ind w:firstLine="540"/>
        <w:jc w:val="both"/>
      </w:pPr>
      <w:r>
        <w:rPr>
          <w:sz w:val="20"/>
        </w:rPr>
        <w:t xml:space="preserve">В случае принятия министерством решения о допуске заявки к участию в конкурсе министерство в течение 1 рабочего дня со дня принятия такого решения делает соответствующую запись в журнале регистрации заявок и передает документы, предусмотренные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15</w:t>
        </w:r>
      </w:hyperlink>
      <w:r>
        <w:rPr>
          <w:sz w:val="20"/>
        </w:rPr>
        <w:t xml:space="preserve"> настоящего Порядка, по которым принято такое решение, в конкурсную комиссию.</w:t>
      </w:r>
    </w:p>
    <w:p>
      <w:pPr>
        <w:pStyle w:val="0"/>
        <w:spacing w:before="200" w:line-rule="auto"/>
        <w:ind w:firstLine="540"/>
        <w:jc w:val="both"/>
      </w:pPr>
      <w:r>
        <w:rPr>
          <w:sz w:val="20"/>
        </w:rPr>
        <w:t xml:space="preserve">18. Конкурсная комиссия оценивает заявки некоммерческих организаций, допущенные к участию в конкурсе, и документы содержащие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15</w:t>
        </w:r>
      </w:hyperlink>
      <w:r>
        <w:rPr>
          <w:sz w:val="20"/>
        </w:rPr>
        <w:t xml:space="preserve"> настоящего Порядка (далее - участник конкурса), в течение 10 календарных дней со дня их поступления в конкурсную комиссию в соответствии с критериями оценки заявок на участие в конкурсе (далее - критерии оценки заявок), указанными в таблице.</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center"/>
      </w:pPr>
      <w:r>
        <w:rPr>
          <w:sz w:val="20"/>
        </w:rPr>
        <w:t xml:space="preserve">КРИТЕРИИ</w:t>
      </w:r>
    </w:p>
    <w:p>
      <w:pPr>
        <w:pStyle w:val="0"/>
        <w:jc w:val="center"/>
      </w:pPr>
      <w:r>
        <w:rPr>
          <w:sz w:val="20"/>
        </w:rPr>
        <w:t xml:space="preserve">оценки заявок</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6406"/>
        <w:gridCol w:w="2041"/>
      </w:tblGrid>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6406"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2041" w:type="dxa"/>
            <w:vAlign w:val="center"/>
            <w:tcBorders>
              <w:top w:val="single" w:sz="4"/>
              <w:bottom w:val="single" w:sz="4"/>
            </w:tcBorders>
          </w:tcPr>
          <w:p>
            <w:pPr>
              <w:pStyle w:val="0"/>
              <w:jc w:val="center"/>
            </w:pPr>
            <w:r>
              <w:rPr>
                <w:sz w:val="20"/>
              </w:rPr>
              <w:t xml:space="preserve">Коэффициент значимости критерия оценки заявки</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tcW w:w="6406" w:type="dxa"/>
            <w:vAlign w:val="center"/>
            <w:tcBorders>
              <w:top w:val="single" w:sz="4"/>
              <w:bottom w:val="single" w:sz="4"/>
            </w:tcBorders>
          </w:tcPr>
          <w:p>
            <w:pPr>
              <w:pStyle w:val="0"/>
              <w:jc w:val="center"/>
            </w:pPr>
            <w:r>
              <w:rPr>
                <w:sz w:val="20"/>
              </w:rPr>
              <w:t xml:space="preserve">2</w:t>
            </w:r>
          </w:p>
        </w:tc>
        <w:tc>
          <w:tcPr>
            <w:tcW w:w="2041" w:type="dxa"/>
            <w:vAlign w:val="center"/>
            <w:tcBorders>
              <w:top w:val="single" w:sz="4"/>
              <w:bottom w:val="single" w:sz="4"/>
            </w:tcBorders>
          </w:tcPr>
          <w:p>
            <w:pPr>
              <w:pStyle w:val="0"/>
              <w:jc w:val="center"/>
            </w:pPr>
            <w:r>
              <w:rPr>
                <w:sz w:val="20"/>
              </w:rPr>
              <w:t xml:space="preserve">3</w:t>
            </w:r>
          </w:p>
        </w:tc>
      </w:tr>
      <w:tr>
        <w:tc>
          <w:tcPr>
            <w:tcW w:w="624" w:type="dxa"/>
            <w:tcBorders>
              <w:top w:val="single" w:sz="4"/>
              <w:left w:val="nil"/>
              <w:bottom w:val="nil"/>
              <w:right w:val="nil"/>
            </w:tcBorders>
          </w:tcPr>
          <w:p>
            <w:pPr>
              <w:pStyle w:val="0"/>
              <w:jc w:val="center"/>
            </w:pPr>
            <w:r>
              <w:rPr>
                <w:sz w:val="20"/>
              </w:rPr>
              <w:t xml:space="preserve">1.</w:t>
            </w:r>
          </w:p>
        </w:tc>
        <w:tc>
          <w:tcPr>
            <w:tcW w:w="6406" w:type="dxa"/>
            <w:tcBorders>
              <w:top w:val="single" w:sz="4"/>
              <w:left w:val="nil"/>
              <w:bottom w:val="nil"/>
              <w:right w:val="nil"/>
            </w:tcBorders>
          </w:tcPr>
          <w:p>
            <w:pPr>
              <w:pStyle w:val="0"/>
            </w:pPr>
            <w:r>
              <w:rPr>
                <w:sz w:val="20"/>
              </w:rPr>
              <w:t xml:space="preserve">Мероприятия, предусмотренные планом мероприятий, обоснованы и достаточны для организации и проведения Международной конкурс-премии, а также для достижения целей, задач и ожидаемых результатов проведения Международной конкурс-премии</w:t>
            </w:r>
          </w:p>
        </w:tc>
        <w:tc>
          <w:tcPr>
            <w:tcW w:w="2041" w:type="dxa"/>
            <w:tcBorders>
              <w:top w:val="single" w:sz="4"/>
              <w:left w:val="nil"/>
              <w:bottom w:val="nil"/>
              <w:right w:val="nil"/>
            </w:tcBorders>
          </w:tcPr>
          <w:p>
            <w:pPr>
              <w:pStyle w:val="0"/>
              <w:jc w:val="right"/>
            </w:pPr>
            <w:r>
              <w:rPr>
                <w:sz w:val="20"/>
              </w:rPr>
              <w:t xml:space="preserve">0,2</w:t>
            </w:r>
          </w:p>
        </w:tc>
      </w:tr>
      <w:tr>
        <w:tc>
          <w:tcPr>
            <w:tcW w:w="624" w:type="dxa"/>
            <w:tcBorders>
              <w:top w:val="nil"/>
              <w:left w:val="nil"/>
              <w:bottom w:val="nil"/>
              <w:right w:val="nil"/>
            </w:tcBorders>
          </w:tcPr>
          <w:p>
            <w:pPr>
              <w:pStyle w:val="0"/>
              <w:jc w:val="center"/>
            </w:pPr>
            <w:r>
              <w:rPr>
                <w:sz w:val="20"/>
              </w:rPr>
              <w:t xml:space="preserve">2.</w:t>
            </w:r>
          </w:p>
        </w:tc>
        <w:tc>
          <w:tcPr>
            <w:tcW w:w="6406" w:type="dxa"/>
            <w:tcBorders>
              <w:top w:val="nil"/>
              <w:left w:val="nil"/>
              <w:bottom w:val="nil"/>
              <w:right w:val="nil"/>
            </w:tcBorders>
          </w:tcPr>
          <w:p>
            <w:pPr>
              <w:pStyle w:val="0"/>
            </w:pPr>
            <w:r>
              <w:rPr>
                <w:sz w:val="20"/>
              </w:rPr>
              <w:t xml:space="preserve">Сроки реализации мероприятий, предусмотренных планом мероприятий, соответствуют программе проведения Международной конкурс-премии</w:t>
            </w:r>
          </w:p>
        </w:tc>
        <w:tc>
          <w:tcPr>
            <w:tcW w:w="2041" w:type="dxa"/>
            <w:tcBorders>
              <w:top w:val="nil"/>
              <w:left w:val="nil"/>
              <w:bottom w:val="nil"/>
              <w:right w:val="nil"/>
            </w:tcBorders>
          </w:tcPr>
          <w:p>
            <w:pPr>
              <w:pStyle w:val="0"/>
              <w:jc w:val="right"/>
            </w:pPr>
            <w:r>
              <w:rPr>
                <w:sz w:val="20"/>
              </w:rPr>
              <w:t xml:space="preserve">0,2</w:t>
            </w:r>
          </w:p>
        </w:tc>
      </w:tr>
      <w:tr>
        <w:tc>
          <w:tcPr>
            <w:tcW w:w="624" w:type="dxa"/>
            <w:tcBorders>
              <w:top w:val="nil"/>
              <w:left w:val="nil"/>
              <w:bottom w:val="nil"/>
              <w:right w:val="nil"/>
            </w:tcBorders>
          </w:tcPr>
          <w:p>
            <w:pPr>
              <w:pStyle w:val="0"/>
              <w:jc w:val="center"/>
            </w:pPr>
            <w:r>
              <w:rPr>
                <w:sz w:val="20"/>
              </w:rPr>
              <w:t xml:space="preserve">3.</w:t>
            </w:r>
          </w:p>
        </w:tc>
        <w:tc>
          <w:tcPr>
            <w:tcW w:w="6406" w:type="dxa"/>
            <w:tcBorders>
              <w:top w:val="nil"/>
              <w:left w:val="nil"/>
              <w:bottom w:val="nil"/>
              <w:right w:val="nil"/>
            </w:tcBorders>
          </w:tcPr>
          <w:p>
            <w:pPr>
              <w:pStyle w:val="0"/>
            </w:pPr>
            <w:r>
              <w:rPr>
                <w:sz w:val="20"/>
              </w:rPr>
              <w:t xml:space="preserve">Наличие у некоммерческой организации опыта выполнения аналогичных мероприятий</w:t>
            </w:r>
          </w:p>
        </w:tc>
        <w:tc>
          <w:tcPr>
            <w:tcW w:w="2041" w:type="dxa"/>
            <w:tcBorders>
              <w:top w:val="nil"/>
              <w:left w:val="nil"/>
              <w:bottom w:val="nil"/>
              <w:right w:val="nil"/>
            </w:tcBorders>
          </w:tcPr>
          <w:p>
            <w:pPr>
              <w:pStyle w:val="0"/>
              <w:jc w:val="right"/>
            </w:pPr>
            <w:r>
              <w:rPr>
                <w:sz w:val="20"/>
              </w:rPr>
              <w:t xml:space="preserve">0,4</w:t>
            </w:r>
          </w:p>
        </w:tc>
      </w:tr>
      <w:tr>
        <w:tc>
          <w:tcPr>
            <w:tcW w:w="624" w:type="dxa"/>
            <w:tcBorders>
              <w:top w:val="nil"/>
              <w:left w:val="nil"/>
              <w:bottom w:val="nil"/>
              <w:right w:val="nil"/>
            </w:tcBorders>
          </w:tcPr>
          <w:p>
            <w:pPr>
              <w:pStyle w:val="0"/>
              <w:jc w:val="center"/>
            </w:pPr>
            <w:r>
              <w:rPr>
                <w:sz w:val="20"/>
              </w:rPr>
              <w:t xml:space="preserve">4.</w:t>
            </w:r>
          </w:p>
        </w:tc>
        <w:tc>
          <w:tcPr>
            <w:tcW w:w="6406" w:type="dxa"/>
            <w:tcBorders>
              <w:top w:val="nil"/>
              <w:left w:val="nil"/>
              <w:bottom w:val="nil"/>
              <w:right w:val="nil"/>
            </w:tcBorders>
          </w:tcPr>
          <w:p>
            <w:pPr>
              <w:pStyle w:val="0"/>
            </w:pPr>
            <w:r>
              <w:rPr>
                <w:sz w:val="20"/>
              </w:rPr>
              <w:t xml:space="preserve">Реалистичность расчета размера гранта и обоснованность планируемых расходов на реализацию плана мероприятий, указанных в расчете-обосновании</w:t>
            </w:r>
          </w:p>
        </w:tc>
        <w:tc>
          <w:tcPr>
            <w:tcW w:w="2041" w:type="dxa"/>
            <w:tcBorders>
              <w:top w:val="nil"/>
              <w:left w:val="nil"/>
              <w:bottom w:val="nil"/>
              <w:right w:val="nil"/>
            </w:tcBorders>
          </w:tcPr>
          <w:p>
            <w:pPr>
              <w:pStyle w:val="0"/>
              <w:jc w:val="right"/>
            </w:pPr>
            <w:r>
              <w:rPr>
                <w:sz w:val="20"/>
              </w:rPr>
              <w:t xml:space="preserve">0,2</w:t>
            </w:r>
          </w:p>
        </w:tc>
      </w:tr>
    </w:tbl>
    <w:p>
      <w:pPr>
        <w:pStyle w:val="0"/>
        <w:jc w:val="both"/>
      </w:pPr>
      <w:r>
        <w:rPr>
          <w:sz w:val="20"/>
        </w:rPr>
      </w:r>
    </w:p>
    <w:p>
      <w:pPr>
        <w:pStyle w:val="0"/>
        <w:ind w:firstLine="540"/>
        <w:jc w:val="both"/>
      </w:pPr>
      <w:r>
        <w:rPr>
          <w:sz w:val="20"/>
        </w:rPr>
        <w:t xml:space="preserve">19. Конкурсная комиссия оценивает заявки участников конкурса по критериям оценки заявок в соответствии с балльной </w:t>
      </w:r>
      <w:hyperlink w:history="0" w:anchor="P282" w:tooltip="БАЛЛЬНАЯ ШКАЛА">
        <w:r>
          <w:rPr>
            <w:sz w:val="20"/>
            <w:color w:val="0000ff"/>
          </w:rPr>
          <w:t xml:space="preserve">шкалой</w:t>
        </w:r>
      </w:hyperlink>
      <w:r>
        <w:rPr>
          <w:sz w:val="20"/>
        </w:rPr>
        <w:t xml:space="preserve"> критериев оценки заявок, приведенной в приложении к настоящему Порядку (далее - балльная шкала).</w:t>
      </w:r>
    </w:p>
    <w:p>
      <w:pPr>
        <w:pStyle w:val="0"/>
        <w:spacing w:before="200" w:line-rule="auto"/>
        <w:ind w:firstLine="540"/>
        <w:jc w:val="both"/>
      </w:pPr>
      <w:r>
        <w:rPr>
          <w:sz w:val="20"/>
        </w:rPr>
        <w:t xml:space="preserve">Итоговая оценка заявки каждого участника конкурса определяется конкурсной комиссией путем сложения произведений итоговых баллов оценки заявок и соответствующего коэффициента значимости критерия оценки заявок по каждому критерию оценки заявок (далее - итоговая оценка).</w:t>
      </w:r>
    </w:p>
    <w:p>
      <w:pPr>
        <w:pStyle w:val="0"/>
        <w:spacing w:before="200" w:line-rule="auto"/>
        <w:ind w:firstLine="540"/>
        <w:jc w:val="both"/>
      </w:pPr>
      <w:r>
        <w:rPr>
          <w:sz w:val="20"/>
        </w:rPr>
        <w:t xml:space="preserve">Итоговая оценка определяет место участника конкурса по отношению к другим участникам конкурса с присвоением ему порядкового номера.</w:t>
      </w:r>
    </w:p>
    <w:p>
      <w:pPr>
        <w:pStyle w:val="0"/>
        <w:spacing w:before="200" w:line-rule="auto"/>
        <w:ind w:firstLine="540"/>
        <w:jc w:val="both"/>
      </w:pPr>
      <w:r>
        <w:rPr>
          <w:sz w:val="20"/>
        </w:rPr>
        <w:t xml:space="preserve">Первое место присваивается участнику конкурса, заявка которого получила наибольшую итоговую оценку, но не менее 40 баллов по балльной шкале. Второе и последующие места присваиваются участникам конкурса в порядке уменьшения полученных ими итоговых оценок.</w:t>
      </w:r>
    </w:p>
    <w:p>
      <w:pPr>
        <w:pStyle w:val="0"/>
        <w:spacing w:before="200" w:line-rule="auto"/>
        <w:ind w:firstLine="540"/>
        <w:jc w:val="both"/>
      </w:pPr>
      <w:r>
        <w:rPr>
          <w:sz w:val="20"/>
        </w:rPr>
        <w:t xml:space="preserve">При равенстве итоговых оценок у нескольких участников конкурса меньший порядковый номер присваивается участнику конкурса, заявка которого набрала наибольшее количество баллов по критерию оценки заявки "Наличие у некоммерческой организации опыта выполнения аналогичных мероприятий".</w:t>
      </w:r>
    </w:p>
    <w:p>
      <w:pPr>
        <w:pStyle w:val="0"/>
        <w:spacing w:before="200" w:line-rule="auto"/>
        <w:ind w:firstLine="540"/>
        <w:jc w:val="both"/>
      </w:pPr>
      <w:r>
        <w:rPr>
          <w:sz w:val="20"/>
        </w:rPr>
        <w:t xml:space="preserve">Конкурсная комиссия формирует рейтинг заявок в порядке убывания итоговых оценок (далее - рейтинг заявок).</w:t>
      </w:r>
    </w:p>
    <w:p>
      <w:pPr>
        <w:pStyle w:val="0"/>
        <w:spacing w:before="200" w:line-rule="auto"/>
        <w:ind w:firstLine="540"/>
        <w:jc w:val="both"/>
      </w:pPr>
      <w:r>
        <w:rPr>
          <w:sz w:val="20"/>
        </w:rPr>
        <w:t xml:space="preserve">20. Победителем конкурса признается один участник конкурса, которому присвоено первое место в рейтинге заявок (далее - победитель конкурса).</w:t>
      </w:r>
    </w:p>
    <w:p>
      <w:pPr>
        <w:pStyle w:val="0"/>
        <w:spacing w:before="200" w:line-rule="auto"/>
        <w:ind w:firstLine="540"/>
        <w:jc w:val="both"/>
      </w:pPr>
      <w:r>
        <w:rPr>
          <w:sz w:val="20"/>
        </w:rPr>
        <w:t xml:space="preserve">21. При наличии одной заявки участника конкурса, в отношении которого министерством принято решение о допуске его к участию в конкурсе, конкурс признается состоявшимся, а участник конкурса признается победителем конкурса в случае, если сумма баллов итоговой оценки составляет не менее 40 баллов по балльной шкале.</w:t>
      </w:r>
    </w:p>
    <w:p>
      <w:pPr>
        <w:pStyle w:val="0"/>
        <w:spacing w:before="200" w:line-rule="auto"/>
        <w:ind w:firstLine="540"/>
        <w:jc w:val="both"/>
      </w:pPr>
      <w:r>
        <w:rPr>
          <w:sz w:val="20"/>
        </w:rPr>
        <w:t xml:space="preserve">22. По результатам проведения конкурса и формирования рейтинга заявок конкурсная комиссия определяет победителя конкурса и оформляет протокол заседания конкурсной комиссии.</w:t>
      </w:r>
    </w:p>
    <w:p>
      <w:pPr>
        <w:pStyle w:val="0"/>
        <w:spacing w:before="200" w:line-rule="auto"/>
        <w:ind w:firstLine="540"/>
        <w:jc w:val="both"/>
      </w:pPr>
      <w:r>
        <w:rPr>
          <w:sz w:val="20"/>
        </w:rPr>
        <w:t xml:space="preserve">23. Министерство на основании протокола заседания конкурсной комиссии в течение 2 рабочих дней со дня оформления протокола конкурсной комиссии принимает одно из следующих решений:</w:t>
      </w:r>
    </w:p>
    <w:p>
      <w:pPr>
        <w:pStyle w:val="0"/>
        <w:spacing w:before="200" w:line-rule="auto"/>
        <w:ind w:firstLine="540"/>
        <w:jc w:val="both"/>
      </w:pPr>
      <w:r>
        <w:rPr>
          <w:sz w:val="20"/>
        </w:rPr>
        <w:t xml:space="preserve">1) о предоставлении гранта победителю конкурса;</w:t>
      </w:r>
    </w:p>
    <w:p>
      <w:pPr>
        <w:pStyle w:val="0"/>
        <w:spacing w:before="200" w:line-rule="auto"/>
        <w:ind w:firstLine="540"/>
        <w:jc w:val="both"/>
      </w:pPr>
      <w:r>
        <w:rPr>
          <w:sz w:val="20"/>
        </w:rPr>
        <w:t xml:space="preserve">2) об отказе в предоставлении гранта.</w:t>
      </w:r>
    </w:p>
    <w:p>
      <w:pPr>
        <w:pStyle w:val="0"/>
        <w:spacing w:before="200" w:line-rule="auto"/>
        <w:ind w:firstLine="540"/>
        <w:jc w:val="both"/>
      </w:pPr>
      <w:r>
        <w:rPr>
          <w:sz w:val="20"/>
        </w:rPr>
        <w:t xml:space="preserve">24. Основаниями для принятия министерством решения об отказе в предоставлении гранта являются:</w:t>
      </w:r>
    </w:p>
    <w:p>
      <w:pPr>
        <w:pStyle w:val="0"/>
        <w:spacing w:before="200" w:line-rule="auto"/>
        <w:ind w:firstLine="540"/>
        <w:jc w:val="both"/>
      </w:pPr>
      <w:r>
        <w:rPr>
          <w:sz w:val="20"/>
        </w:rPr>
        <w:t xml:space="preserve">1) несоответствие представленных участником конкурса документов, предусмотренных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15</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2) непредставление (представление не в полном объеме) участником конкурса документов, предусмотренных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3) установление факта недостоверности представленной участником конкурса информации в целях получения гранта;</w:t>
      </w:r>
    </w:p>
    <w:p>
      <w:pPr>
        <w:pStyle w:val="0"/>
        <w:spacing w:before="200" w:line-rule="auto"/>
        <w:ind w:firstLine="540"/>
        <w:jc w:val="both"/>
      </w:pPr>
      <w:r>
        <w:rPr>
          <w:sz w:val="20"/>
        </w:rPr>
        <w:t xml:space="preserve">4) непризнание участника конкурса победителем конкурса.</w:t>
      </w:r>
    </w:p>
    <w:p>
      <w:pPr>
        <w:pStyle w:val="0"/>
        <w:spacing w:before="200" w:line-rule="auto"/>
        <w:ind w:firstLine="540"/>
        <w:jc w:val="both"/>
      </w:pPr>
      <w:r>
        <w:rPr>
          <w:sz w:val="20"/>
        </w:rPr>
        <w:t xml:space="preserve">25. Решение министерства о предоставлении гранта победителю конкурса и размере гранта оформляется приказом министерства.</w:t>
      </w:r>
    </w:p>
    <w:p>
      <w:pPr>
        <w:pStyle w:val="0"/>
        <w:spacing w:before="200" w:line-rule="auto"/>
        <w:ind w:firstLine="540"/>
        <w:jc w:val="both"/>
      </w:pPr>
      <w:r>
        <w:rPr>
          <w:sz w:val="20"/>
        </w:rPr>
        <w:t xml:space="preserve">26. В случае принятия министерством решения об отказе в предоставлении гранта министерство в течение 3 рабочих дней со дня принятия такого решения делает соответствующую запись в журнале регистрации заявок и направляет участнику конкурса письменное уведомление об отказе в предоставлении гранта с указанием причин отказа.</w:t>
      </w:r>
    </w:p>
    <w:p>
      <w:pPr>
        <w:pStyle w:val="0"/>
        <w:spacing w:before="200" w:line-rule="auto"/>
        <w:ind w:firstLine="540"/>
        <w:jc w:val="both"/>
      </w:pPr>
      <w:r>
        <w:rPr>
          <w:sz w:val="20"/>
        </w:rPr>
        <w:t xml:space="preserve">В случае принятия министерством решения о предоставлении гранта победителю конкурса министерство в течение 3 рабочих дней со дня принятия такого решения направляет победителю конкурса письменное уведомление о предоставлении ему гранта с указанием причитающегося размера гранта и необходимости заключения с министерством соглашения (вместе с проектом соглашения) в соответствии с типовой формой соглашения, утверждаемой министерством финансов Ставропольского края (далее соответственно - уведомление о заключении соглашения, минфин края, получатель).</w:t>
      </w:r>
    </w:p>
    <w:p>
      <w:pPr>
        <w:pStyle w:val="0"/>
        <w:spacing w:before="200" w:line-rule="auto"/>
        <w:ind w:firstLine="540"/>
        <w:jc w:val="both"/>
      </w:pPr>
      <w:r>
        <w:rPr>
          <w:sz w:val="20"/>
        </w:rPr>
        <w:t xml:space="preserve">27. Предоставление гранта осуществляется министерством в пределах средств краевого бюджета, предусмотренных на предоставление гранта </w:t>
      </w:r>
      <w:hyperlink w:history="0" r:id="rId19"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2023 год и плановый период 2024 и 2025 годов" на предоставление гранта, и лимитов бюджетных обязательств, указанных в </w:t>
      </w:r>
      <w:hyperlink w:history="0" w:anchor="P59" w:tooltip="3. Грант предоставляется министерством молодежной политики Ставропольского края (далее - министерство) за счет средств краевого бюджета, предусмотренных Законом Ставропольского края &quot;О бюджете Ставропольского края на 2023 год и плановый период 2024 и 2025 годов&quot; на предоставление гранта, и лимитов бюджетных обязательств, утвержденных и доведенных министерству в установленном порядке на предоставление грант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Размер гранта, предоставляемого министерством получателю, определяется в размере, указанном в расчете-обосновании получателя.</w:t>
      </w:r>
    </w:p>
    <w:p>
      <w:pPr>
        <w:pStyle w:val="0"/>
        <w:spacing w:before="200" w:line-rule="auto"/>
        <w:ind w:firstLine="540"/>
        <w:jc w:val="both"/>
      </w:pPr>
      <w:r>
        <w:rPr>
          <w:sz w:val="20"/>
        </w:rPr>
        <w:t xml:space="preserve">В случае если размер гранта, указанный в расчете-обосновании получателя, превышает объем средств, предусмотренных на предоставление гранта </w:t>
      </w:r>
      <w:hyperlink w:history="0" r:id="rId20"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2023 год и плановый период 2024 и 2025 годов" на предоставление гранта, и лимитов бюджетных обязательств, указанных в </w:t>
      </w:r>
      <w:hyperlink w:history="0" w:anchor="P59" w:tooltip="3. Грант предоставляется министерством молодежной политики Ставропольского края (далее - министерство) за счет средств краевого бюджета, предусмотренных Законом Ставропольского края &quot;О бюджете Ставропольского края на 2023 год и плановый период 2024 и 2025 годов&quot; на предоставление гранта, и лимитов бюджетных обязательств, утвержденных и доведенных министерству в установленном порядке на предоставление гранта.">
        <w:r>
          <w:rPr>
            <w:sz w:val="20"/>
            <w:color w:val="0000ff"/>
          </w:rPr>
          <w:t xml:space="preserve">пункте 3</w:t>
        </w:r>
      </w:hyperlink>
      <w:r>
        <w:rPr>
          <w:sz w:val="20"/>
        </w:rPr>
        <w:t xml:space="preserve"> настоящего Порядка, грант предоставляется в размере, указанном в </w:t>
      </w:r>
      <w:hyperlink w:history="0" r:id="rId21"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Законе</w:t>
        </w:r>
      </w:hyperlink>
      <w:r>
        <w:rPr>
          <w:sz w:val="20"/>
        </w:rPr>
        <w:t xml:space="preserve"> Ставропольского края "О бюджете Ставропольского края на 2023 год и плановый период 2024 и 2025 годов".</w:t>
      </w:r>
    </w:p>
    <w:bookmarkStart w:id="187" w:name="P187"/>
    <w:bookmarkEnd w:id="187"/>
    <w:p>
      <w:pPr>
        <w:pStyle w:val="0"/>
        <w:spacing w:before="200" w:line-rule="auto"/>
        <w:ind w:firstLine="540"/>
        <w:jc w:val="both"/>
      </w:pPr>
      <w:r>
        <w:rPr>
          <w:sz w:val="20"/>
        </w:rPr>
        <w:t xml:space="preserve">28. Министерство в течение 14 календарных дней со дня принятия решения о предоставлении гранта получателю размещает на информационном портале информацию о результатах рассмотрения заявок, предусмотренную </w:t>
      </w:r>
      <w:hyperlink w:history="0" r:id="rId2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w:t>
      </w:r>
      <w:hyperlink w:history="0" w:anchor="P187" w:tooltip="28. Министерство в течение 14 календарных дней со дня принятия решения о предоставлении гранта получателю размещает на информационном портале информацию о результатах рассмотрения заявок, предусмотренную абзацами шестым - одиннадцатым подпункта &quot;ж&quot; пункта 4 общих требований.">
        <w:r>
          <w:rPr>
            <w:sz w:val="20"/>
            <w:color w:val="0000ff"/>
          </w:rPr>
          <w:t xml:space="preserve">абзаце первом</w:t>
        </w:r>
      </w:hyperlink>
      <w:r>
        <w:rPr>
          <w:sz w:val="20"/>
        </w:rPr>
        <w:t xml:space="preserve"> настоящего пункта, размещается на едином портале в течение 14 календарных дней со дня принятия министерством решения о предоставлении гранта получателю.</w:t>
      </w:r>
    </w:p>
    <w:p>
      <w:pPr>
        <w:pStyle w:val="0"/>
        <w:spacing w:before="200" w:line-rule="auto"/>
        <w:ind w:firstLine="540"/>
        <w:jc w:val="both"/>
      </w:pPr>
      <w:r>
        <w:rPr>
          <w:sz w:val="20"/>
        </w:rPr>
        <w:t xml:space="preserve">29. В соглашение включаются положения:</w:t>
      </w:r>
    </w:p>
    <w:p>
      <w:pPr>
        <w:pStyle w:val="0"/>
        <w:spacing w:before="200" w:line-rule="auto"/>
        <w:ind w:firstLine="540"/>
        <w:jc w:val="both"/>
      </w:pPr>
      <w:r>
        <w:rPr>
          <w:sz w:val="20"/>
        </w:rPr>
        <w:t xml:space="preserve">1) 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министерству ранее доведенного объема лимитов бюджетных обязательств, указанных в </w:t>
      </w:r>
      <w:hyperlink w:history="0" w:anchor="P59" w:tooltip="3. Грант предоставляется министерством молодежной политики Ставропольского края (далее - министерство) за счет средств краевого бюджета, предусмотренных Законом Ставропольского края &quot;О бюджете Ставропольского края на 2023 год и плановый период 2024 и 2025 годов&quot; на предоставление гранта, и лимитов бюджетных обязательств, утвержденных и доведенных министерству в установленном порядке на предоставление гранта.">
        <w:r>
          <w:rPr>
            <w:sz w:val="20"/>
            <w:color w:val="0000ff"/>
          </w:rPr>
          <w:t xml:space="preserve">пункте 3</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0"/>
        <w:spacing w:before="200" w:line-rule="auto"/>
        <w:ind w:firstLine="540"/>
        <w:jc w:val="both"/>
      </w:pPr>
      <w:r>
        <w:rPr>
          <w:sz w:val="20"/>
        </w:rPr>
        <w:t xml:space="preserve">2) о соблюдении получателем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pPr>
        <w:pStyle w:val="1"/>
        <w:spacing w:before="200" w:line-rule="auto"/>
        <w:jc w:val="both"/>
      </w:pPr>
      <w:r>
        <w:rPr>
          <w:sz w:val="20"/>
        </w:rPr>
        <w:t xml:space="preserve">    3)  о  согласии  получателя  на осуществление министерством в отношении</w:t>
      </w:r>
    </w:p>
    <w:p>
      <w:pPr>
        <w:pStyle w:val="1"/>
        <w:jc w:val="both"/>
      </w:pPr>
      <w:r>
        <w:rPr>
          <w:sz w:val="20"/>
        </w:rPr>
        <w:t xml:space="preserve">него  проверок соблюдения им условий и порядка предоставления гранта, в том</w:t>
      </w:r>
    </w:p>
    <w:p>
      <w:pPr>
        <w:pStyle w:val="1"/>
        <w:jc w:val="both"/>
      </w:pPr>
      <w:r>
        <w:rPr>
          <w:sz w:val="20"/>
        </w:rPr>
        <w:t xml:space="preserve">числе   в  части  достижения  значения  результата  предоставления  гранта,</w:t>
      </w:r>
    </w:p>
    <w:p>
      <w:pPr>
        <w:pStyle w:val="1"/>
        <w:jc w:val="both"/>
      </w:pPr>
      <w:r>
        <w:rPr>
          <w:sz w:val="20"/>
        </w:rPr>
        <w:t xml:space="preserve">установленного  соглашением,  а  также  проверок  органами государственного</w:t>
      </w:r>
    </w:p>
    <w:p>
      <w:pPr>
        <w:pStyle w:val="1"/>
        <w:jc w:val="both"/>
      </w:pPr>
      <w:r>
        <w:rPr>
          <w:sz w:val="20"/>
        </w:rPr>
        <w:t xml:space="preserve">к                                                                       1</w:t>
      </w:r>
    </w:p>
    <w:p>
      <w:pPr>
        <w:pStyle w:val="1"/>
        <w:jc w:val="both"/>
      </w:pPr>
      <w:r>
        <w:rPr>
          <w:sz w:val="20"/>
        </w:rPr>
        <w:t xml:space="preserve">финансового контроля Ставропольского края в соответствии со </w:t>
      </w:r>
      <w:hyperlink w:history="0" r:id="rId24"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25"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 и о включении в договоры,</w:t>
      </w:r>
    </w:p>
    <w:p>
      <w:pPr>
        <w:pStyle w:val="1"/>
        <w:jc w:val="both"/>
      </w:pPr>
      <w:r>
        <w:rPr>
          <w:sz w:val="20"/>
        </w:rPr>
        <w:t xml:space="preserve">заключаемые  получателем  в  целях  исполнения  обязательств по соглашению,</w:t>
      </w:r>
    </w:p>
    <w:p>
      <w:pPr>
        <w:pStyle w:val="1"/>
        <w:jc w:val="both"/>
      </w:pPr>
      <w:r>
        <w:rPr>
          <w:sz w:val="20"/>
        </w:rPr>
        <w:t xml:space="preserve">                                            1</w:t>
      </w:r>
    </w:p>
    <w:p>
      <w:pPr>
        <w:pStyle w:val="1"/>
        <w:jc w:val="both"/>
      </w:pPr>
      <w:r>
        <w:rPr>
          <w:sz w:val="20"/>
        </w:rPr>
        <w:t xml:space="preserve">согласия лиц, указанных в </w:t>
      </w:r>
      <w:hyperlink w:history="0" r:id="rId26"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на осуществление в отношении них таких проверок.</w:t>
      </w:r>
    </w:p>
    <w:p>
      <w:pPr>
        <w:pStyle w:val="0"/>
        <w:ind w:firstLine="540"/>
        <w:jc w:val="both"/>
      </w:pPr>
      <w:r>
        <w:rPr>
          <w:sz w:val="20"/>
        </w:rPr>
        <w:t xml:space="preserve">30. Получатель в течение 2 рабочих дней со дня получения уведомления о заключении соглашения заключает соглашение с министерством и направляет его в министерство или извещает министерство об отказе от заключения соглашения.</w:t>
      </w:r>
    </w:p>
    <w:p>
      <w:pPr>
        <w:pStyle w:val="0"/>
        <w:spacing w:before="200" w:line-rule="auto"/>
        <w:ind w:firstLine="540"/>
        <w:jc w:val="both"/>
      </w:pPr>
      <w:r>
        <w:rPr>
          <w:sz w:val="20"/>
        </w:rPr>
        <w:t xml:space="preserve">31. Министерство в течение 2 рабочих дней со дня получения соглашения, подписанного получателем, заключает с ним соглашение.</w:t>
      </w:r>
    </w:p>
    <w:p>
      <w:pPr>
        <w:pStyle w:val="0"/>
        <w:spacing w:before="200" w:line-rule="auto"/>
        <w:ind w:firstLine="540"/>
        <w:jc w:val="both"/>
      </w:pPr>
      <w:r>
        <w:rPr>
          <w:sz w:val="20"/>
        </w:rPr>
        <w:t xml:space="preserve">32. В течение 2 рабочих дней со дня заключения соглашения министерство направляет в минфин края платежные документы для перечисления с лицевого счета министерства на расчетный счет или корреспондентский счет получателя, открытый в учреждении Центрального банка Российской Федерации или кредитной организации, суммы гранта (далее - платежные документы).</w:t>
      </w:r>
    </w:p>
    <w:p>
      <w:pPr>
        <w:pStyle w:val="0"/>
        <w:spacing w:before="200" w:line-rule="auto"/>
        <w:ind w:firstLine="540"/>
        <w:jc w:val="both"/>
      </w:pPr>
      <w:r>
        <w:rPr>
          <w:sz w:val="20"/>
        </w:rPr>
        <w:t xml:space="preserve">Перечисление гранта на расчетный счет или корреспондентский счет получателя, открытый в учреждении Центрального банка Российской Федерации или кредитной организации, осуществляется в срок, не превышающий 3 рабочих дней со дня получения минфином края платежных документов, в пределах доведенных минфином края предельных объемов финансирования на лицевой счет министерства, открытый в минфине края.</w:t>
      </w:r>
    </w:p>
    <w:p>
      <w:pPr>
        <w:pStyle w:val="0"/>
        <w:spacing w:before="200" w:line-rule="auto"/>
        <w:ind w:firstLine="540"/>
        <w:jc w:val="both"/>
      </w:pPr>
      <w:r>
        <w:rPr>
          <w:sz w:val="20"/>
        </w:rPr>
        <w:t xml:space="preserve">33. В ходе реализации мероприятий, связанных с подготовкой и проведением Международной конкурс-премии, получатель вправе осуществить:</w:t>
      </w:r>
    </w:p>
    <w:p>
      <w:pPr>
        <w:pStyle w:val="0"/>
        <w:spacing w:before="200" w:line-rule="auto"/>
        <w:ind w:firstLine="540"/>
        <w:jc w:val="both"/>
      </w:pPr>
      <w:r>
        <w:rPr>
          <w:sz w:val="20"/>
        </w:rPr>
        <w:t xml:space="preserve">1) изменение срока проведения отдельных мероприятий, связанных с подготовкой и проведением Международной конкурс-премии, не влияющих на изменение срока реализации мероприятий, связанных с подготовкой и проведением Международной конкурс-премии в целом, на значение результата предоставления гранта, установленного соглашением;</w:t>
      </w:r>
    </w:p>
    <w:p>
      <w:pPr>
        <w:pStyle w:val="0"/>
        <w:spacing w:before="200" w:line-rule="auto"/>
        <w:ind w:firstLine="540"/>
        <w:jc w:val="both"/>
      </w:pPr>
      <w:r>
        <w:rPr>
          <w:sz w:val="20"/>
        </w:rPr>
        <w:t xml:space="preserve">2) перераспределение расходов (суммарно не более 20 процентов от полученного гранта) на реализацию мероприятий, связанных с подготовкой и проведением Международной конкурс-премии, между статьями расходов в пределах предоставленного гранта.</w:t>
      </w:r>
    </w:p>
    <w:p>
      <w:pPr>
        <w:pStyle w:val="0"/>
        <w:spacing w:before="200" w:line-rule="auto"/>
        <w:ind w:firstLine="540"/>
        <w:jc w:val="both"/>
      </w:pPr>
      <w:r>
        <w:rPr>
          <w:sz w:val="20"/>
        </w:rPr>
        <w:t xml:space="preserve">34. Министерство не возмещает некоммерческим организациям расходы, связанные с подготовкой и подачей заявок и участием в конкурсе.</w:t>
      </w:r>
    </w:p>
    <w:p>
      <w:pPr>
        <w:pStyle w:val="0"/>
        <w:spacing w:before="200" w:line-rule="auto"/>
        <w:ind w:firstLine="540"/>
        <w:jc w:val="both"/>
      </w:pPr>
      <w:r>
        <w:rPr>
          <w:sz w:val="20"/>
        </w:rPr>
        <w:t xml:space="preserve">35. Конкретным и измеримым результатом предоставления гранта является реализация в 2023 году мероприятий, связанных с подготовкой и проведением Международной конкурс-премии на территории Ставропольского края (далее - результат).</w:t>
      </w:r>
    </w:p>
    <w:p>
      <w:pPr>
        <w:pStyle w:val="0"/>
        <w:spacing w:before="200" w:line-rule="auto"/>
        <w:ind w:firstLine="540"/>
        <w:jc w:val="both"/>
      </w:pPr>
      <w:r>
        <w:rPr>
          <w:sz w:val="20"/>
        </w:rPr>
        <w:t xml:space="preserve">Показателями, необходимыми для достижения результата, являются:</w:t>
      </w:r>
    </w:p>
    <w:p>
      <w:pPr>
        <w:pStyle w:val="0"/>
        <w:spacing w:before="200" w:line-rule="auto"/>
        <w:ind w:firstLine="540"/>
        <w:jc w:val="both"/>
      </w:pPr>
      <w:r>
        <w:rPr>
          <w:sz w:val="20"/>
        </w:rPr>
        <w:t xml:space="preserve">количество граждан, принявших участие в открытии Международной конкурс-премии;</w:t>
      </w:r>
    </w:p>
    <w:p>
      <w:pPr>
        <w:pStyle w:val="0"/>
        <w:spacing w:before="200" w:line-rule="auto"/>
        <w:ind w:firstLine="540"/>
        <w:jc w:val="both"/>
      </w:pPr>
      <w:r>
        <w:rPr>
          <w:sz w:val="20"/>
        </w:rPr>
        <w:t xml:space="preserve">количество зрителей Международной конкурс-премии;</w:t>
      </w:r>
    </w:p>
    <w:p>
      <w:pPr>
        <w:pStyle w:val="0"/>
        <w:spacing w:before="200" w:line-rule="auto"/>
        <w:ind w:firstLine="540"/>
        <w:jc w:val="both"/>
      </w:pPr>
      <w:r>
        <w:rPr>
          <w:sz w:val="20"/>
        </w:rPr>
        <w:t xml:space="preserve">количество просмотров Международной конкурс-премии в сети "Интернет"</w:t>
      </w:r>
    </w:p>
    <w:p>
      <w:pPr>
        <w:pStyle w:val="0"/>
        <w:spacing w:before="200" w:line-rule="auto"/>
      </w:pPr>
      <w:r>
        <w:rPr>
          <w:sz w:val="20"/>
        </w:rPr>
        <w:t xml:space="preserve">(далее - показатели).</w:t>
      </w:r>
    </w:p>
    <w:p>
      <w:pPr>
        <w:pStyle w:val="0"/>
        <w:spacing w:before="200" w:line-rule="auto"/>
        <w:ind w:firstLine="540"/>
        <w:jc w:val="both"/>
      </w:pPr>
      <w:r>
        <w:rPr>
          <w:sz w:val="20"/>
        </w:rPr>
        <w:t xml:space="preserve">36. Значение результата, значения показателей с указанием точной даты завершения и конечного значения результата и значений показателей устанавливаются соглашением.</w:t>
      </w:r>
    </w:p>
    <w:bookmarkStart w:id="219" w:name="P219"/>
    <w:bookmarkEnd w:id="219"/>
    <w:p>
      <w:pPr>
        <w:pStyle w:val="0"/>
        <w:spacing w:before="200" w:line-rule="auto"/>
        <w:ind w:firstLine="540"/>
        <w:jc w:val="both"/>
      </w:pPr>
      <w:r>
        <w:rPr>
          <w:sz w:val="20"/>
        </w:rPr>
        <w:t xml:space="preserve">37. Получатель представляет в министерство по формам, установленным соглашением, следующие отчеты:</w:t>
      </w:r>
    </w:p>
    <w:p>
      <w:pPr>
        <w:pStyle w:val="0"/>
        <w:spacing w:before="200" w:line-rule="auto"/>
        <w:ind w:firstLine="540"/>
        <w:jc w:val="both"/>
      </w:pPr>
      <w:r>
        <w:rPr>
          <w:sz w:val="20"/>
        </w:rPr>
        <w:t xml:space="preserve">1) отчет о достижении значения результата и значений показателей - не позднее 25 декабря 2023 года;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 ежеквартально, до 5-го числа месяца, следующего за отчетным кварталом, с приложением копий документов, подтверждающих его фактические расходы (договоров аренды нежилых помещений, договоров на поставку товаров, выполнение работ, оказание услуг, товарных накладных, актов сдачи-приемки товаров, выполненных работ, оказанных услуг, счетов-фактур, платежных поручений с отметкой кредитной организации, расходных кассовых ордеров), заверенных руководителем получателя или иным уполномоченным лицом получателя и скрепленных печатью получателя (при наличии печати).</w:t>
      </w:r>
    </w:p>
    <w:p>
      <w:pPr>
        <w:pStyle w:val="0"/>
        <w:spacing w:before="200" w:line-rule="auto"/>
        <w:ind w:firstLine="540"/>
        <w:jc w:val="both"/>
      </w:pPr>
      <w:r>
        <w:rPr>
          <w:sz w:val="20"/>
        </w:rPr>
        <w:t xml:space="preserve">38. Мониторинг достижения результата (далее - мониторинг) осуществляется исходя из достижения значения результата, установленного соглашением, и события, отражающего факт завершения соответствующего мероприятия по получению результата (контрольной точки), в порядке и по формам, установленным Минфином России.</w:t>
      </w:r>
    </w:p>
    <w:p>
      <w:pPr>
        <w:pStyle w:val="0"/>
        <w:spacing w:before="200" w:line-rule="auto"/>
        <w:ind w:firstLine="540"/>
        <w:jc w:val="both"/>
      </w:pPr>
      <w:r>
        <w:rPr>
          <w:sz w:val="20"/>
        </w:rPr>
        <w:t xml:space="preserve">В целях проведения мониторинга министерство ежегодно формирует и утверждает одновременно с заключением соглашения план мероприятий по достижению результата.</w:t>
      </w:r>
    </w:p>
    <w:bookmarkStart w:id="224" w:name="P224"/>
    <w:bookmarkEnd w:id="224"/>
    <w:p>
      <w:pPr>
        <w:pStyle w:val="0"/>
        <w:spacing w:before="200" w:line-rule="auto"/>
        <w:ind w:firstLine="540"/>
        <w:jc w:val="both"/>
      </w:pPr>
      <w:r>
        <w:rPr>
          <w:sz w:val="20"/>
        </w:rPr>
        <w:t xml:space="preserve">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в сроки и по форме, установленные Минфином России.</w:t>
      </w:r>
    </w:p>
    <w:p>
      <w:pPr>
        <w:pStyle w:val="0"/>
        <w:spacing w:before="200" w:line-rule="auto"/>
        <w:ind w:firstLine="540"/>
        <w:jc w:val="both"/>
      </w:pPr>
      <w:r>
        <w:rPr>
          <w:sz w:val="20"/>
        </w:rPr>
        <w:t xml:space="preserve">Получатель несет ответственность за полноту, достоверность и своевременность формирования им отчета, указанного в </w:t>
      </w:r>
      <w:hyperlink w:history="0" w:anchor="P224" w:tooltip="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в сроки и по форме, установленные Минфином России.">
        <w:r>
          <w:rPr>
            <w:sz w:val="20"/>
            <w:color w:val="0000ff"/>
          </w:rPr>
          <w:t xml:space="preserve">абзаце третьем</w:t>
        </w:r>
      </w:hyperlink>
      <w:r>
        <w:rPr>
          <w:sz w:val="20"/>
        </w:rPr>
        <w:t xml:space="preserve"> настоящего пункта,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39. Получатель несет ответственность за полноту и достоверность представляемых в министерство документов, предусмотренных </w:t>
      </w:r>
      <w:hyperlink w:history="0" w:anchor="P99" w:tooltip="10. Некоммерческая организация, претендующая на участие в конкурсе, представляет в министерство заявку на участие в конкурсе (далее - заявка),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5 настоящего Порядка, и требованиями, установленным пунктом 9 настоящего Порядка:">
        <w:r>
          <w:rPr>
            <w:sz w:val="20"/>
            <w:color w:val="0000ff"/>
          </w:rPr>
          <w:t xml:space="preserve">пунктами 10</w:t>
        </w:r>
      </w:hyperlink>
      <w:r>
        <w:rPr>
          <w:sz w:val="20"/>
        </w:rPr>
        <w:t xml:space="preserve"> и </w:t>
      </w:r>
      <w:hyperlink w:history="0" w:anchor="P219" w:tooltip="37. Получатель представляет в министерство по формам, установленным соглашением, следующие отчеты:">
        <w:r>
          <w:rPr>
            <w:sz w:val="20"/>
            <w:color w:val="0000ff"/>
          </w:rPr>
          <w:t xml:space="preserve">37</w:t>
        </w:r>
      </w:hyperlink>
      <w:r>
        <w:rPr>
          <w:sz w:val="20"/>
        </w:rPr>
        <w:t xml:space="preserve"> настоящего Порядка, и документов, содержащих сведения, указанные в </w:t>
      </w:r>
      <w:hyperlink w:history="0" w:anchor="P120"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21"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15</w:t>
        </w:r>
      </w:hyperlink>
      <w:r>
        <w:rPr>
          <w:sz w:val="20"/>
        </w:rPr>
        <w:t xml:space="preserve"> настоящего Порядка, в случае их представления получателем,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40. Порядок и стандарт предоставления некоммерческой организации государственной услуги по предоставлению гранта устанавливаются административным регламентом, утверждаемым министерством.</w:t>
      </w:r>
    </w:p>
    <w:p>
      <w:pPr>
        <w:pStyle w:val="0"/>
        <w:spacing w:before="200" w:line-rule="auto"/>
        <w:ind w:firstLine="540"/>
        <w:jc w:val="both"/>
      </w:pPr>
      <w:r>
        <w:rPr>
          <w:sz w:val="20"/>
        </w:rPr>
        <w:t xml:space="preserve">41. Грант подлежит возврату в краевой бюджет в случаях:</w:t>
      </w:r>
    </w:p>
    <w:bookmarkStart w:id="229" w:name="P229"/>
    <w:bookmarkEnd w:id="229"/>
    <w:p>
      <w:pPr>
        <w:pStyle w:val="0"/>
        <w:spacing w:before="200" w:line-rule="auto"/>
        <w:ind w:firstLine="540"/>
        <w:jc w:val="both"/>
      </w:pPr>
      <w:r>
        <w:rPr>
          <w:sz w:val="20"/>
        </w:rPr>
        <w:t xml:space="preserve">установления факта представления получателем недостоверной информации в целях получения гранта;</w:t>
      </w:r>
    </w:p>
    <w:bookmarkStart w:id="230" w:name="P230"/>
    <w:bookmarkEnd w:id="230"/>
    <w:p>
      <w:pPr>
        <w:pStyle w:val="0"/>
        <w:spacing w:before="200" w:line-rule="auto"/>
        <w:ind w:firstLine="540"/>
        <w:jc w:val="both"/>
      </w:pPr>
      <w:r>
        <w:rPr>
          <w:sz w:val="20"/>
        </w:rPr>
        <w:t xml:space="preserve">нарушения получателем условий предоставления гранта,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 Ставропольского края;</w:t>
      </w:r>
    </w:p>
    <w:bookmarkStart w:id="231" w:name="P231"/>
    <w:bookmarkEnd w:id="231"/>
    <w:p>
      <w:pPr>
        <w:pStyle w:val="0"/>
        <w:spacing w:before="200" w:line-rule="auto"/>
        <w:ind w:firstLine="540"/>
        <w:jc w:val="both"/>
      </w:pPr>
      <w:r>
        <w:rPr>
          <w:sz w:val="20"/>
        </w:rPr>
        <w:t xml:space="preserve">недостижения получателем значения результата, установленного соглашением;</w:t>
      </w:r>
    </w:p>
    <w:p>
      <w:pPr>
        <w:pStyle w:val="0"/>
        <w:spacing w:before="200" w:line-rule="auto"/>
        <w:ind w:firstLine="540"/>
        <w:jc w:val="both"/>
      </w:pPr>
      <w:r>
        <w:rPr>
          <w:sz w:val="20"/>
        </w:rPr>
        <w:t xml:space="preserve">образования остатка гранта, не использованного получателем по итогам реализации мероприятий, связанных с подготовкой и проведением Международной конкурс-премии, в 2023 году.</w:t>
      </w:r>
    </w:p>
    <w:p>
      <w:pPr>
        <w:pStyle w:val="0"/>
        <w:spacing w:before="200" w:line-rule="auto"/>
        <w:ind w:firstLine="540"/>
        <w:jc w:val="both"/>
      </w:pPr>
      <w:r>
        <w:rPr>
          <w:sz w:val="20"/>
        </w:rPr>
        <w:t xml:space="preserve">В случаях, предусмотренных </w:t>
      </w:r>
      <w:hyperlink w:history="0" w:anchor="P229" w:tooltip="установления факта представления получателем недостоверной информации в целях получения гранта;">
        <w:r>
          <w:rPr>
            <w:sz w:val="20"/>
            <w:color w:val="0000ff"/>
          </w:rPr>
          <w:t xml:space="preserve">абзацами вторым</w:t>
        </w:r>
      </w:hyperlink>
      <w:r>
        <w:rPr>
          <w:sz w:val="20"/>
        </w:rPr>
        <w:t xml:space="preserve"> и </w:t>
      </w:r>
      <w:hyperlink w:history="0" w:anchor="P230" w:tooltip="нарушения получателем условий предоставления грант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 Ставропольского края;">
        <w:r>
          <w:rPr>
            <w:sz w:val="20"/>
            <w:color w:val="0000ff"/>
          </w:rPr>
          <w:t xml:space="preserve">третьим</w:t>
        </w:r>
      </w:hyperlink>
      <w:r>
        <w:rPr>
          <w:sz w:val="20"/>
        </w:rPr>
        <w:t xml:space="preserve"> настоящего пункта (за исключением случая нецелевого использования гранта), грант подлежит возврату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В случае нецелевого использования гранта средства, использованные не по целевому назначению, подлежат возврату в краевой бюджет в соответствии с законодательством Российской Федерации.</w:t>
      </w:r>
    </w:p>
    <w:p>
      <w:pPr>
        <w:pStyle w:val="0"/>
        <w:spacing w:before="200" w:line-rule="auto"/>
        <w:ind w:firstLine="540"/>
        <w:jc w:val="both"/>
      </w:pPr>
      <w:r>
        <w:rPr>
          <w:sz w:val="20"/>
        </w:rPr>
        <w:t xml:space="preserve">42. В случае недостижения получателем значения результата, установленного соглашением, объем гранта, подлежащий возврату получателем в краевой бюджет, определяется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P</w:t>
      </w:r>
      <w:r>
        <w:rPr>
          <w:sz w:val="20"/>
          <w:vertAlign w:val="subscript"/>
        </w:rPr>
        <w:t xml:space="preserve">гранта</w:t>
      </w:r>
      <w:r>
        <w:rPr>
          <w:sz w:val="20"/>
        </w:rPr>
        <w:t xml:space="preserve"> x k,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гранта, подлежащий возврату получателем в краевой бюджет в случае недостижения получателем значения результата, установленного соглашением;</w:t>
      </w:r>
    </w:p>
    <w:p>
      <w:pPr>
        <w:pStyle w:val="0"/>
        <w:spacing w:before="200" w:line-rule="auto"/>
        <w:ind w:firstLine="540"/>
        <w:jc w:val="both"/>
      </w:pPr>
      <w:r>
        <w:rPr>
          <w:sz w:val="20"/>
        </w:rPr>
        <w:t xml:space="preserve">P</w:t>
      </w:r>
      <w:r>
        <w:rPr>
          <w:sz w:val="20"/>
          <w:vertAlign w:val="subscript"/>
        </w:rPr>
        <w:t xml:space="preserve">гранта</w:t>
      </w:r>
      <w:r>
        <w:rPr>
          <w:sz w:val="20"/>
        </w:rPr>
        <w:t xml:space="preserve"> - размер гранта, предоставленного получателю;</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определяется по следующей формуле:</w:t>
      </w:r>
    </w:p>
    <w:p>
      <w:pPr>
        <w:pStyle w:val="0"/>
        <w:jc w:val="both"/>
      </w:pPr>
      <w:r>
        <w:rPr>
          <w:sz w:val="20"/>
        </w:rPr>
      </w:r>
    </w:p>
    <w:p>
      <w:pPr>
        <w:pStyle w:val="0"/>
        <w:ind w:firstLine="540"/>
        <w:jc w:val="both"/>
      </w:pPr>
      <w:r>
        <w:rPr>
          <w:sz w:val="20"/>
        </w:rPr>
        <w:t xml:space="preserve">k = 1 - S / T, где</w:t>
      </w:r>
    </w:p>
    <w:p>
      <w:pPr>
        <w:pStyle w:val="0"/>
        <w:jc w:val="both"/>
      </w:pPr>
      <w:r>
        <w:rPr>
          <w:sz w:val="20"/>
        </w:rPr>
      </w:r>
    </w:p>
    <w:p>
      <w:pPr>
        <w:pStyle w:val="0"/>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S - фактически достигнутое значение результата на отчетную дату;</w:t>
      </w:r>
    </w:p>
    <w:p>
      <w:pPr>
        <w:pStyle w:val="0"/>
        <w:spacing w:before="200" w:line-rule="auto"/>
        <w:ind w:firstLine="540"/>
        <w:jc w:val="both"/>
      </w:pPr>
      <w:r>
        <w:rPr>
          <w:sz w:val="20"/>
        </w:rPr>
        <w:t xml:space="preserve">T - значение результата, установленное соглашением.</w:t>
      </w:r>
    </w:p>
    <w:p>
      <w:pPr>
        <w:pStyle w:val="0"/>
        <w:spacing w:before="200" w:line-rule="auto"/>
        <w:ind w:firstLine="540"/>
        <w:jc w:val="both"/>
      </w:pPr>
      <w:r>
        <w:rPr>
          <w:sz w:val="20"/>
        </w:rPr>
        <w:t xml:space="preserve">43. Возврат гранта в случаях, предусмотренных </w:t>
      </w:r>
      <w:hyperlink w:history="0" w:anchor="P229" w:tooltip="установления факта представления получателем недостоверной информации в целях получения гранта;">
        <w:r>
          <w:rPr>
            <w:sz w:val="20"/>
            <w:color w:val="0000ff"/>
          </w:rPr>
          <w:t xml:space="preserve">абзацами вторым</w:t>
        </w:r>
      </w:hyperlink>
      <w:r>
        <w:rPr>
          <w:sz w:val="20"/>
        </w:rPr>
        <w:t xml:space="preserve"> - </w:t>
      </w:r>
      <w:hyperlink w:history="0" w:anchor="P231" w:tooltip="недостижения получателем значения результата, установленного соглашением;">
        <w:r>
          <w:rPr>
            <w:sz w:val="20"/>
            <w:color w:val="0000ff"/>
          </w:rPr>
          <w:t xml:space="preserve">четвертым пункта 41</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министерство в течение 10 рабочих дней со дня подписания акта проверки или получения акта проверки либо иного документа, отражающего результат проверки, от органа государственного финансового контроля Ставропольского края направляет получателю требование о возврате гранта;</w:t>
      </w:r>
    </w:p>
    <w:p>
      <w:pPr>
        <w:pStyle w:val="0"/>
        <w:spacing w:before="200" w:line-rule="auto"/>
        <w:ind w:firstLine="540"/>
        <w:jc w:val="both"/>
      </w:pPr>
      <w:r>
        <w:rPr>
          <w:sz w:val="20"/>
        </w:rPr>
        <w:t xml:space="preserve">получатель производит возврат гранта в течение 60 календарных дней со дня получения требования о возврате гранта.</w:t>
      </w:r>
    </w:p>
    <w:p>
      <w:pPr>
        <w:pStyle w:val="0"/>
        <w:spacing w:before="200" w:line-rule="auto"/>
        <w:ind w:firstLine="540"/>
        <w:jc w:val="both"/>
      </w:pPr>
      <w:r>
        <w:rPr>
          <w:sz w:val="20"/>
        </w:rPr>
        <w:t xml:space="preserve">В случае образования остатка гранта, не использованного получателем по итогам реализации мероприятий, связанных с подготовкой и проведением Международной конкурс-премии, остаток гранта подлежит возврату получателем в краевой бюджет в порядке, установленном минфином края.</w:t>
      </w:r>
    </w:p>
    <w:p>
      <w:pPr>
        <w:pStyle w:val="0"/>
        <w:spacing w:before="200" w:line-rule="auto"/>
        <w:ind w:firstLine="540"/>
        <w:jc w:val="both"/>
      </w:pPr>
      <w:r>
        <w:rPr>
          <w:sz w:val="20"/>
        </w:rPr>
        <w:t xml:space="preserve">44. При нарушении получателем срока возврата гранта министерство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45.  Проверка  соблюдения  получателями и лицами, указанными в </w:t>
      </w:r>
      <w:hyperlink w:history="0" r:id="rId27" w:tooltip="&quot;Бюджетный кодекс Российской Федерации&quot; от 31.07.1998 N 145-ФЗ (ред. от 02.11.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установленного  соглашением, осуществляется министерством в устанавливаемом</w:t>
      </w:r>
    </w:p>
    <w:p>
      <w:pPr>
        <w:pStyle w:val="1"/>
        <w:jc w:val="both"/>
      </w:pPr>
      <w:r>
        <w:rPr>
          <w:sz w:val="20"/>
        </w:rPr>
        <w:t xml:space="preserve">им   порядке,   а  также  органами  государственного  финансового  контроля</w:t>
      </w:r>
    </w:p>
    <w:p>
      <w:pPr>
        <w:pStyle w:val="1"/>
        <w:jc w:val="both"/>
      </w:pPr>
      <w:r>
        <w:rPr>
          <w:sz w:val="20"/>
        </w:rPr>
        <w:t xml:space="preserve">                                                        1      2</w:t>
      </w:r>
    </w:p>
    <w:p>
      <w:pPr>
        <w:pStyle w:val="1"/>
        <w:jc w:val="both"/>
      </w:pPr>
      <w:r>
        <w:rPr>
          <w:sz w:val="20"/>
        </w:rPr>
        <w:t xml:space="preserve">Ставропольского  края  в  соответствии  со  </w:t>
      </w:r>
      <w:hyperlink w:history="0" r:id="rId28"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29"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из бюджета Ставропольского края</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(за исключением государственных</w:t>
      </w:r>
    </w:p>
    <w:p>
      <w:pPr>
        <w:pStyle w:val="0"/>
        <w:jc w:val="right"/>
      </w:pPr>
      <w:r>
        <w:rPr>
          <w:sz w:val="20"/>
        </w:rPr>
        <w:t xml:space="preserve">учреждений) на финансовое</w:t>
      </w:r>
    </w:p>
    <w:p>
      <w:pPr>
        <w:pStyle w:val="0"/>
        <w:jc w:val="right"/>
      </w:pPr>
      <w:r>
        <w:rPr>
          <w:sz w:val="20"/>
        </w:rPr>
        <w:t xml:space="preserve">обеспечение мероприятий, связанных</w:t>
      </w:r>
    </w:p>
    <w:p>
      <w:pPr>
        <w:pStyle w:val="0"/>
        <w:jc w:val="right"/>
      </w:pPr>
      <w:r>
        <w:rPr>
          <w:sz w:val="20"/>
        </w:rPr>
        <w:t xml:space="preserve">с подготовкой и проведением</w:t>
      </w:r>
    </w:p>
    <w:p>
      <w:pPr>
        <w:pStyle w:val="0"/>
        <w:jc w:val="right"/>
      </w:pPr>
      <w:r>
        <w:rPr>
          <w:sz w:val="20"/>
        </w:rPr>
        <w:t xml:space="preserve">Международной конкурс-премии</w:t>
      </w:r>
    </w:p>
    <w:p>
      <w:pPr>
        <w:pStyle w:val="0"/>
        <w:jc w:val="right"/>
      </w:pPr>
      <w:r>
        <w:rPr>
          <w:sz w:val="20"/>
        </w:rPr>
        <w:t xml:space="preserve">уличной культуры и спорта</w:t>
      </w:r>
    </w:p>
    <w:p>
      <w:pPr>
        <w:pStyle w:val="0"/>
        <w:jc w:val="right"/>
      </w:pPr>
      <w:r>
        <w:rPr>
          <w:sz w:val="20"/>
        </w:rPr>
        <w:t xml:space="preserve">"КАРДО" на территории</w:t>
      </w:r>
    </w:p>
    <w:p>
      <w:pPr>
        <w:pStyle w:val="0"/>
        <w:jc w:val="right"/>
      </w:pPr>
      <w:r>
        <w:rPr>
          <w:sz w:val="20"/>
        </w:rPr>
        <w:t xml:space="preserve">Ставропольского края в 2023 году</w:t>
      </w:r>
    </w:p>
    <w:p>
      <w:pPr>
        <w:pStyle w:val="0"/>
        <w:jc w:val="both"/>
      </w:pPr>
      <w:r>
        <w:rPr>
          <w:sz w:val="20"/>
        </w:rPr>
      </w:r>
    </w:p>
    <w:bookmarkStart w:id="282" w:name="P282"/>
    <w:bookmarkEnd w:id="282"/>
    <w:p>
      <w:pPr>
        <w:pStyle w:val="2"/>
        <w:jc w:val="center"/>
      </w:pPr>
      <w:r>
        <w:rPr>
          <w:sz w:val="20"/>
        </w:rPr>
        <w:t xml:space="preserve">БАЛЛЬНАЯ ШКАЛА</w:t>
      </w:r>
    </w:p>
    <w:p>
      <w:pPr>
        <w:pStyle w:val="2"/>
        <w:jc w:val="center"/>
      </w:pPr>
      <w:r>
        <w:rPr>
          <w:sz w:val="20"/>
        </w:rPr>
        <w:t xml:space="preserve">КРИТЕРИЕВ ОЦЕНКИ ЗАЯВОК НА УЧАСТИЕ В КОНКУРСЕ НЕКОММЕРЧЕСКИХ</w:t>
      </w:r>
    </w:p>
    <w:p>
      <w:pPr>
        <w:pStyle w:val="2"/>
        <w:jc w:val="center"/>
      </w:pPr>
      <w:r>
        <w:rPr>
          <w:sz w:val="20"/>
        </w:rPr>
        <w:t xml:space="preserve">ОРГАНИЗАЦИЙ (ЗА ИСКЛЮЧЕНИЕМ ГОСУДАРСТВЕННЫХ УЧРЕЖДЕНИЙ)</w:t>
      </w:r>
    </w:p>
    <w:p>
      <w:pPr>
        <w:pStyle w:val="2"/>
        <w:jc w:val="center"/>
      </w:pPr>
      <w:r>
        <w:rPr>
          <w:sz w:val="20"/>
        </w:rPr>
        <w:t xml:space="preserve">НА ПРАВО ПОЛУЧЕНИЯ ИЗ БЮДЖЕТА СТАВРОПОЛЬСКОГО КРАЯ ГРАНТОВ</w:t>
      </w:r>
    </w:p>
    <w:p>
      <w:pPr>
        <w:pStyle w:val="2"/>
        <w:jc w:val="center"/>
      </w:pPr>
      <w:r>
        <w:rPr>
          <w:sz w:val="20"/>
        </w:rPr>
        <w:t xml:space="preserve">В ФОРМЕ СУБСИДИЙ НА ФИНАНСОВОЕ ОБЕСПЕЧЕНИЕ МЕРОПРИЯТИЙ,</w:t>
      </w:r>
    </w:p>
    <w:p>
      <w:pPr>
        <w:pStyle w:val="2"/>
        <w:jc w:val="center"/>
      </w:pPr>
      <w:r>
        <w:rPr>
          <w:sz w:val="20"/>
        </w:rPr>
        <w:t xml:space="preserve">СВЯЗАННЫХ С ПОДГОТОВКОЙ И ПРОВЕДЕНИЕМ МЕЖДУНАРОДНОЙ</w:t>
      </w:r>
    </w:p>
    <w:p>
      <w:pPr>
        <w:pStyle w:val="2"/>
        <w:jc w:val="center"/>
      </w:pPr>
      <w:r>
        <w:rPr>
          <w:sz w:val="20"/>
        </w:rPr>
        <w:t xml:space="preserve">КОНКУРС-ПРЕМИИ УЛИЧНОЙ КУЛЬТУРЫ И СПОРТА "КАРДО"</w:t>
      </w:r>
    </w:p>
    <w:p>
      <w:pPr>
        <w:pStyle w:val="2"/>
        <w:jc w:val="center"/>
      </w:pPr>
      <w:r>
        <w:rPr>
          <w:sz w:val="20"/>
        </w:rPr>
        <w:t xml:space="preserve">НА ТЕРРИТОРИИ СТАВРОПОЛЬСКОГО КРАЯ В 2023 ГОДУ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соответственно в настоящем Приложении используются сокращения - заявка, некоммерческая организация, грант, Международная конкурс-премия.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3798"/>
        <w:gridCol w:w="4690"/>
      </w:tblGrid>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3798"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4690" w:type="dxa"/>
            <w:vAlign w:val="center"/>
            <w:tcBorders>
              <w:top w:val="single" w:sz="4"/>
              <w:bottom w:val="single" w:sz="4"/>
            </w:tcBorders>
          </w:tcPr>
          <w:p>
            <w:pPr>
              <w:pStyle w:val="0"/>
              <w:jc w:val="center"/>
            </w:pPr>
            <w:r>
              <w:rPr>
                <w:sz w:val="20"/>
              </w:rPr>
              <w:t xml:space="preserve">Итоговый балл оценки заявки (баллов)</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3798" w:type="dxa"/>
            <w:vAlign w:val="center"/>
            <w:tcBorders>
              <w:top w:val="single" w:sz="4"/>
              <w:bottom w:val="single" w:sz="4"/>
            </w:tcBorders>
          </w:tcPr>
          <w:p>
            <w:pPr>
              <w:pStyle w:val="0"/>
              <w:jc w:val="center"/>
            </w:pPr>
            <w:r>
              <w:rPr>
                <w:sz w:val="20"/>
              </w:rPr>
              <w:t xml:space="preserve">2</w:t>
            </w:r>
          </w:p>
        </w:tc>
        <w:tc>
          <w:tcPr>
            <w:tcW w:w="4690" w:type="dxa"/>
            <w:vAlign w:val="center"/>
            <w:tcBorders>
              <w:top w:val="single" w:sz="4"/>
              <w:bottom w:val="single" w:sz="4"/>
            </w:tcBorders>
          </w:tcPr>
          <w:p>
            <w:pPr>
              <w:pStyle w:val="0"/>
              <w:jc w:val="center"/>
            </w:pPr>
            <w:r>
              <w:rPr>
                <w:sz w:val="20"/>
              </w:rPr>
              <w:t xml:space="preserve">3</w:t>
            </w:r>
          </w:p>
        </w:tc>
      </w:tr>
      <w:tr>
        <w:tblPrEx>
          <w:tblBorders>
            <w:insideH w:val="single" w:sz="4"/>
          </w:tblBorders>
        </w:tblPrEx>
        <w:tc>
          <w:tcPr>
            <w:tcW w:w="567" w:type="dxa"/>
            <w:tcBorders>
              <w:top w:val="single" w:sz="4"/>
              <w:left w:val="nil"/>
              <w:bottom w:val="nil"/>
              <w:right w:val="nil"/>
            </w:tcBorders>
            <w:vMerge w:val="restart"/>
          </w:tcPr>
          <w:p>
            <w:pPr>
              <w:pStyle w:val="0"/>
              <w:jc w:val="center"/>
            </w:pPr>
            <w:r>
              <w:rPr>
                <w:sz w:val="20"/>
              </w:rPr>
              <w:t xml:space="preserve">1.</w:t>
            </w:r>
          </w:p>
        </w:tc>
        <w:tc>
          <w:tcPr>
            <w:tcW w:w="3798" w:type="dxa"/>
            <w:tcBorders>
              <w:top w:val="single" w:sz="4"/>
              <w:left w:val="nil"/>
              <w:bottom w:val="nil"/>
              <w:right w:val="nil"/>
            </w:tcBorders>
            <w:vMerge w:val="restart"/>
          </w:tcPr>
          <w:p>
            <w:pPr>
              <w:pStyle w:val="0"/>
            </w:pPr>
            <w:r>
              <w:rPr>
                <w:sz w:val="20"/>
              </w:rPr>
              <w:t xml:space="preserve">Мероприятия, предусмотренные планом мероприятий, связанных с подготовкой и проведением Международной конкурс-премии (далее - план мероприятий), обоснованы и достаточны для организации и проведения Международной конкурс-премии, а также для достижения целей, задач и ожидаемых результатов проведения Международной конкурс-премии</w:t>
            </w:r>
          </w:p>
        </w:tc>
        <w:tc>
          <w:tcPr>
            <w:tcW w:w="4690" w:type="dxa"/>
            <w:tcBorders>
              <w:top w:val="single" w:sz="4"/>
              <w:left w:val="nil"/>
              <w:bottom w:val="nil"/>
              <w:right w:val="nil"/>
            </w:tcBorders>
          </w:tcPr>
          <w:p>
            <w:pPr>
              <w:pStyle w:val="0"/>
            </w:pPr>
            <w:r>
              <w:rPr>
                <w:sz w:val="20"/>
              </w:rPr>
              <w:t xml:space="preserve">данный критерий оценивается по шкале от 0 до 100 баллов следующим образом:</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4690" w:type="dxa"/>
            <w:tcBorders>
              <w:top w:val="nil"/>
              <w:left w:val="nil"/>
              <w:bottom w:val="nil"/>
              <w:right w:val="nil"/>
            </w:tcBorders>
          </w:tcPr>
          <w:p>
            <w:pPr>
              <w:pStyle w:val="0"/>
            </w:pPr>
            <w:r>
              <w:rPr>
                <w:sz w:val="20"/>
              </w:rPr>
              <w:t xml:space="preserve">100 баллов - мероприятия, предусмотренные планом мероприятий, проработаны отлично: мероприятия, предусмотренные планом мероприятий, логически связаны, структурированы, детализированы, содержат конкретные описания, обоснованы и достаточны для организации и проведения Международной конкурс-премии, а также для достижения целей, задач и ожидаемых результатов проведения Международной конкурс-премии;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4690" w:type="dxa"/>
            <w:tcBorders>
              <w:top w:val="nil"/>
              <w:left w:val="nil"/>
              <w:bottom w:val="nil"/>
              <w:right w:val="nil"/>
            </w:tcBorders>
          </w:tcPr>
          <w:p>
            <w:pPr>
              <w:pStyle w:val="0"/>
            </w:pPr>
            <w:r>
              <w:rPr>
                <w:sz w:val="20"/>
              </w:rPr>
              <w:t xml:space="preserve">50 баллов - мероприятия, предусмотренные планом мероприятий, проработаны хорошо: Мероприятия, предусмотренные планом мероприятий, логически связаны, структурированы, детализированы, обоснованы, но имеется частичное (несущественное) расхождение между планом мероприятий и целями, задачами и ожидаемыми результатами проведения Международной конкурс-премии;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4690" w:type="dxa"/>
            <w:tcBorders>
              <w:top w:val="nil"/>
              <w:left w:val="nil"/>
              <w:bottom w:val="nil"/>
              <w:right w:val="nil"/>
            </w:tcBorders>
          </w:tcPr>
          <w:p>
            <w:pPr>
              <w:pStyle w:val="0"/>
            </w:pPr>
            <w:r>
              <w:rPr>
                <w:sz w:val="20"/>
              </w:rPr>
              <w:t xml:space="preserve">0 баллов - мероприятия, предусмотренные планом мероприятий, не обоснованы и не достаточны для организации и проведения Международной конкурс-премии</w:t>
            </w:r>
          </w:p>
        </w:tc>
      </w:tr>
      <w:tr>
        <w:tc>
          <w:tcPr>
            <w:tcW w:w="567" w:type="dxa"/>
            <w:tcBorders>
              <w:top w:val="nil"/>
              <w:left w:val="nil"/>
              <w:bottom w:val="nil"/>
              <w:right w:val="nil"/>
            </w:tcBorders>
            <w:vMerge w:val="restart"/>
          </w:tcPr>
          <w:p>
            <w:pPr>
              <w:pStyle w:val="0"/>
              <w:jc w:val="center"/>
            </w:pPr>
            <w:r>
              <w:rPr>
                <w:sz w:val="20"/>
              </w:rPr>
              <w:t xml:space="preserve">2.</w:t>
            </w:r>
          </w:p>
        </w:tc>
        <w:tc>
          <w:tcPr>
            <w:tcW w:w="3798" w:type="dxa"/>
            <w:tcBorders>
              <w:top w:val="nil"/>
              <w:left w:val="nil"/>
              <w:bottom w:val="nil"/>
              <w:right w:val="nil"/>
            </w:tcBorders>
            <w:vMerge w:val="restart"/>
          </w:tcPr>
          <w:p>
            <w:pPr>
              <w:pStyle w:val="0"/>
            </w:pPr>
            <w:r>
              <w:rPr>
                <w:sz w:val="20"/>
              </w:rPr>
              <w:t xml:space="preserve">Сроки реализации мероприятий, предусмотренных планом мероприятий, соответствуют программе проведения Международной конкурс-премии (далее - программа)</w:t>
            </w:r>
          </w:p>
        </w:tc>
        <w:tc>
          <w:tcPr>
            <w:tcW w:w="4690"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690" w:type="dxa"/>
            <w:tcBorders>
              <w:top w:val="nil"/>
              <w:left w:val="nil"/>
              <w:bottom w:val="nil"/>
              <w:right w:val="nil"/>
            </w:tcBorders>
          </w:tcPr>
          <w:p>
            <w:pPr>
              <w:pStyle w:val="0"/>
            </w:pPr>
            <w:r>
              <w:rPr>
                <w:sz w:val="20"/>
              </w:rPr>
              <w:t xml:space="preserve">100 баллов - сроки реализации мероприятий, предусмотренных планом мероприятий, разумны, детально раскрывают последовательность реализации мероприятий, предусмотренных планом мероприятий, и соответствуют программе;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690" w:type="dxa"/>
            <w:tcBorders>
              <w:top w:val="nil"/>
              <w:left w:val="nil"/>
              <w:bottom w:val="nil"/>
              <w:right w:val="nil"/>
            </w:tcBorders>
          </w:tcPr>
          <w:p>
            <w:pPr>
              <w:pStyle w:val="0"/>
            </w:pPr>
            <w:r>
              <w:rPr>
                <w:sz w:val="20"/>
              </w:rPr>
              <w:t xml:space="preserve">50 баллов - сроки реализации мероприятий, предусмотренных планом мероприятий, разумны, но детально не раскрывают последовательность реализации мероприятий, предусмотренных планом мероприятий, и соответствуют программе;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690" w:type="dxa"/>
            <w:tcBorders>
              <w:top w:val="nil"/>
              <w:left w:val="nil"/>
              <w:bottom w:val="nil"/>
              <w:right w:val="nil"/>
            </w:tcBorders>
          </w:tcPr>
          <w:p>
            <w:pPr>
              <w:pStyle w:val="0"/>
            </w:pPr>
            <w:r>
              <w:rPr>
                <w:sz w:val="20"/>
              </w:rPr>
              <w:t xml:space="preserve">0 баллов - сроки реализации мероприятий, предусмотренных планом мероприятий, не соответствуют программе</w:t>
            </w:r>
          </w:p>
        </w:tc>
      </w:tr>
      <w:tr>
        <w:tc>
          <w:tcPr>
            <w:tcW w:w="567" w:type="dxa"/>
            <w:tcBorders>
              <w:top w:val="nil"/>
              <w:left w:val="nil"/>
              <w:bottom w:val="nil"/>
              <w:right w:val="nil"/>
            </w:tcBorders>
          </w:tcPr>
          <w:p>
            <w:pPr>
              <w:pStyle w:val="0"/>
              <w:jc w:val="center"/>
            </w:pPr>
            <w:r>
              <w:rPr>
                <w:sz w:val="20"/>
              </w:rPr>
              <w:t xml:space="preserve">3.</w:t>
            </w:r>
          </w:p>
        </w:tc>
        <w:tc>
          <w:tcPr>
            <w:tcW w:w="3798" w:type="dxa"/>
            <w:tcBorders>
              <w:top w:val="nil"/>
              <w:left w:val="nil"/>
              <w:bottom w:val="nil"/>
              <w:right w:val="nil"/>
            </w:tcBorders>
          </w:tcPr>
          <w:p>
            <w:pPr>
              <w:pStyle w:val="0"/>
            </w:pPr>
            <w:r>
              <w:rPr>
                <w:sz w:val="20"/>
              </w:rPr>
              <w:t xml:space="preserve">Наличие у некоммерческой организации опыта выполнения аналогичных мероприятий</w:t>
            </w:r>
          </w:p>
        </w:tc>
        <w:tc>
          <w:tcPr>
            <w:tcW w:w="4690" w:type="dxa"/>
            <w:tcBorders>
              <w:top w:val="nil"/>
              <w:left w:val="nil"/>
              <w:bottom w:val="nil"/>
              <w:right w:val="nil"/>
            </w:tcBorders>
          </w:tcPr>
          <w:p>
            <w:pPr>
              <w:pStyle w:val="0"/>
            </w:pPr>
            <w:r>
              <w:rPr>
                <w:sz w:val="20"/>
              </w:rPr>
              <w:t xml:space="preserve">данный критерий оценивается по шкале от 20 до 100 баллов следующим образом:</w:t>
            </w:r>
          </w:p>
          <w:p>
            <w:pPr>
              <w:pStyle w:val="0"/>
            </w:pPr>
            <w:r>
              <w:rPr>
                <w:sz w:val="20"/>
              </w:rPr>
              <w:t xml:space="preserve">100 баллов - наличие опыта выполнения аналогичных мероприятий более 5 лет;</w:t>
            </w:r>
          </w:p>
          <w:p>
            <w:pPr>
              <w:pStyle w:val="0"/>
            </w:pPr>
            <w:r>
              <w:rPr>
                <w:sz w:val="20"/>
              </w:rPr>
              <w:t xml:space="preserve">50 баллов - наличие опыта выполнения аналогичных мероприятий более 2 лет;</w:t>
            </w:r>
          </w:p>
          <w:p>
            <w:pPr>
              <w:pStyle w:val="0"/>
            </w:pPr>
            <w:r>
              <w:rPr>
                <w:sz w:val="20"/>
              </w:rPr>
              <w:t xml:space="preserve">20 баллов - наличие опыта выполнения аналогичных мероприятий более 1 года</w:t>
            </w:r>
          </w:p>
        </w:tc>
      </w:tr>
      <w:tr>
        <w:tc>
          <w:tcPr>
            <w:tcW w:w="567" w:type="dxa"/>
            <w:tcBorders>
              <w:top w:val="nil"/>
              <w:left w:val="nil"/>
              <w:bottom w:val="nil"/>
              <w:right w:val="nil"/>
            </w:tcBorders>
          </w:tcPr>
          <w:p>
            <w:pPr>
              <w:pStyle w:val="0"/>
              <w:jc w:val="center"/>
            </w:pPr>
            <w:r>
              <w:rPr>
                <w:sz w:val="20"/>
              </w:rPr>
              <w:t xml:space="preserve">4.</w:t>
            </w:r>
          </w:p>
        </w:tc>
        <w:tc>
          <w:tcPr>
            <w:tcW w:w="3798" w:type="dxa"/>
            <w:tcBorders>
              <w:top w:val="nil"/>
              <w:left w:val="nil"/>
              <w:bottom w:val="nil"/>
              <w:right w:val="nil"/>
            </w:tcBorders>
          </w:tcPr>
          <w:p>
            <w:pPr>
              <w:pStyle w:val="0"/>
            </w:pPr>
            <w:r>
              <w:rPr>
                <w:sz w:val="20"/>
              </w:rPr>
              <w:t xml:space="preserve">Реалистичность расчета размера гранта и обоснованность планируемых расходов на реализацию плана мероприятий, указанных в расчете-обосновании</w:t>
            </w:r>
          </w:p>
        </w:tc>
        <w:tc>
          <w:tcPr>
            <w:tcW w:w="4690"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планируемые расходы на реализацию плана мероприятий полностью обоснованы и реалистичны;</w:t>
            </w:r>
          </w:p>
          <w:p>
            <w:pPr>
              <w:pStyle w:val="0"/>
            </w:pPr>
            <w:r>
              <w:rPr>
                <w:sz w:val="20"/>
              </w:rPr>
              <w:t xml:space="preserve">50 баллов - планируемые расходы на реализацию плана мероприятий полностью обоснованы, но не все реалистичны;</w:t>
            </w:r>
          </w:p>
          <w:p>
            <w:pPr>
              <w:pStyle w:val="0"/>
            </w:pPr>
            <w:r>
              <w:rPr>
                <w:sz w:val="20"/>
              </w:rPr>
              <w:t xml:space="preserve">0 баллов - планируемые расходы на реализацию плана мероприятий не обоснованы и не реалистичны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16.06.2023 N 370-п</w:t>
            <w:br/>
            <w:t>"О предоставлении из бюджета Ставропольского края...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3" TargetMode = "External"/>
	<Relationship Id="rId8" Type="http://schemas.openxmlformats.org/officeDocument/2006/relationships/hyperlink" Target="https://login.consultant.ru/link/?req=doc&amp;base=RLAW077&amp;n=204844&amp;dst=106020" TargetMode = "External"/>
	<Relationship Id="rId9" Type="http://schemas.openxmlformats.org/officeDocument/2006/relationships/hyperlink" Target="https://login.consultant.ru/link/?req=doc&amp;base=RLAW077&amp;n=204844&amp;dst=100016" TargetMode = "External"/>
	<Relationship Id="rId10" Type="http://schemas.openxmlformats.org/officeDocument/2006/relationships/hyperlink" Target="https://login.consultant.ru/link/?req=doc&amp;base=RLAW077&amp;n=215547" TargetMode = "External"/>
	<Relationship Id="rId11" Type="http://schemas.openxmlformats.org/officeDocument/2006/relationships/hyperlink" Target="https://login.consultant.ru/link/?req=doc&amp;base=LAW&amp;n=435381&amp;dst=31" TargetMode = "External"/>
	<Relationship Id="rId12" Type="http://schemas.openxmlformats.org/officeDocument/2006/relationships/hyperlink" Target="https://login.consultant.ru/link/?req=doc&amp;base=LAW&amp;n=435381&amp;dst=67" TargetMode = "External"/>
	<Relationship Id="rId13" Type="http://schemas.openxmlformats.org/officeDocument/2006/relationships/hyperlink" Target="https://login.consultant.ru/link/?req=doc&amp;base=LAW&amp;n=461085&amp;dst=3704" TargetMode = "External"/>
	<Relationship Id="rId14" Type="http://schemas.openxmlformats.org/officeDocument/2006/relationships/hyperlink" Target="https://login.consultant.ru/link/?req=doc&amp;base=LAW&amp;n=461085&amp;dst=3722" TargetMode = "External"/>
	<Relationship Id="rId15" Type="http://schemas.openxmlformats.org/officeDocument/2006/relationships/hyperlink" Target="https://login.consultant.ru/link/?req=doc&amp;base=LAW&amp;n=461085&amp;dst=7271" TargetMode = "External"/>
	<Relationship Id="rId16" Type="http://schemas.openxmlformats.org/officeDocument/2006/relationships/hyperlink" Target="https://login.consultant.ru/link/?req=doc&amp;base=LAW&amp;n=461085&amp;dst=3704" TargetMode = "External"/>
	<Relationship Id="rId17" Type="http://schemas.openxmlformats.org/officeDocument/2006/relationships/hyperlink" Target="https://login.consultant.ru/link/?req=doc&amp;base=LAW&amp;n=461085&amp;dst=3722" TargetMode = "External"/>
	<Relationship Id="rId18" Type="http://schemas.openxmlformats.org/officeDocument/2006/relationships/hyperlink" Target="https://login.consultant.ru/link/?req=doc&amp;base=LAW&amp;n=116468" TargetMode = "External"/>
	<Relationship Id="rId19" Type="http://schemas.openxmlformats.org/officeDocument/2006/relationships/hyperlink" Target="https://login.consultant.ru/link/?req=doc&amp;base=RLAW077&amp;n=215547" TargetMode = "External"/>
	<Relationship Id="rId20" Type="http://schemas.openxmlformats.org/officeDocument/2006/relationships/hyperlink" Target="https://login.consultant.ru/link/?req=doc&amp;base=RLAW077&amp;n=215547" TargetMode = "External"/>
	<Relationship Id="rId21" Type="http://schemas.openxmlformats.org/officeDocument/2006/relationships/hyperlink" Target="https://login.consultant.ru/link/?req=doc&amp;base=RLAW077&amp;n=215547" TargetMode = "External"/>
	<Relationship Id="rId22" Type="http://schemas.openxmlformats.org/officeDocument/2006/relationships/hyperlink" Target="https://login.consultant.ru/link/?req=doc&amp;base=LAW&amp;n=435381&amp;dst=100070" TargetMode = "External"/>
	<Relationship Id="rId23" Type="http://schemas.openxmlformats.org/officeDocument/2006/relationships/hyperlink" Target="https://login.consultant.ru/link/?req=doc&amp;base=LAW&amp;n=435381&amp;dst=100075" TargetMode = "External"/>
	<Relationship Id="rId24" Type="http://schemas.openxmlformats.org/officeDocument/2006/relationships/hyperlink" Target="https://login.consultant.ru/link/?req=doc&amp;base=LAW&amp;n=461085&amp;dst=3704" TargetMode = "External"/>
	<Relationship Id="rId25" Type="http://schemas.openxmlformats.org/officeDocument/2006/relationships/hyperlink" Target="https://login.consultant.ru/link/?req=doc&amp;base=LAW&amp;n=461085&amp;dst=3722" TargetMode = "External"/>
	<Relationship Id="rId26" Type="http://schemas.openxmlformats.org/officeDocument/2006/relationships/hyperlink" Target="https://login.consultant.ru/link/?req=doc&amp;base=LAW&amp;n=461085&amp;dst=7271" TargetMode = "External"/>
	<Relationship Id="rId27" Type="http://schemas.openxmlformats.org/officeDocument/2006/relationships/hyperlink" Target="https://login.consultant.ru/link/?req=doc&amp;base=LAW&amp;n=461085&amp;dst=7271" TargetMode = "External"/>
	<Relationship Id="rId28" Type="http://schemas.openxmlformats.org/officeDocument/2006/relationships/hyperlink" Target="https://login.consultant.ru/link/?req=doc&amp;base=LAW&amp;n=461085&amp;dst=3704" TargetMode = "External"/>
	<Relationship Id="rId29"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16.06.2023 N 370-п
"О предоставлении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подготовкой и проведением Международной конкурс-премии уличной культуры и спорта "КАРДО" на территории Ставропольского края в 2023 году"
(вместе с "Порядком предоставления из бюджета Ставропольского края грантов в форме субсидий некоммерческим</dc:title>
  <dcterms:created xsi:type="dcterms:W3CDTF">2023-12-05T16:27:08Z</dcterms:created>
</cp:coreProperties>
</file>