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Тамбовской области от 13.04.2023 N 288</w:t>
              <w:br/>
              <w:t xml:space="preserve">"Об утверждении Порядка формировании рейтинга муниципальных районов и городских округов Тамбовской области по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 в социальной сфере"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ТАМБОВСКОЙ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апреля 2023 г. N 288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ФОРМИРОВАНИИ РЕЙТИНГА МУНИЦИПАЛЬНЫХ</w:t>
      </w:r>
    </w:p>
    <w:p>
      <w:pPr>
        <w:pStyle w:val="2"/>
        <w:jc w:val="center"/>
      </w:pPr>
      <w:r>
        <w:rPr>
          <w:sz w:val="20"/>
        </w:rPr>
        <w:t xml:space="preserve">РАЙОНОВ И ГОРОДСКИХ ОКРУГОВ ТАМБОВСКОЙ ОБЛАСТИ ПО РЕАЛИЗАЦИИ</w:t>
      </w:r>
    </w:p>
    <w:p>
      <w:pPr>
        <w:pStyle w:val="2"/>
        <w:jc w:val="center"/>
      </w:pPr>
      <w:r>
        <w:rPr>
          <w:sz w:val="20"/>
        </w:rPr>
        <w:t xml:space="preserve">МЕХАНИЗМОВ ПОДДЕРЖКИ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И СОЦИАЛЬНОГО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ПРЕДПРИНИМАТЕЛЬСТВА, ОБЕСПЕЧЕНИЯ ДОСТУПА НЕГОСУДАРСТВЕННЫХ</w:t>
      </w:r>
    </w:p>
    <w:p>
      <w:pPr>
        <w:pStyle w:val="2"/>
        <w:jc w:val="center"/>
      </w:pPr>
      <w:r>
        <w:rPr>
          <w:sz w:val="20"/>
        </w:rPr>
        <w:t xml:space="preserve">ОРГАНИЗАЦИЙ К ПРЕДОСТАВЛЕНИЮ УСЛУГ В СОЦИАЛЬНОЙ СФЕРЕ</w:t>
      </w:r>
    </w:p>
    <w:p>
      <w:pPr>
        <w:pStyle w:val="2"/>
        <w:jc w:val="center"/>
      </w:pPr>
      <w:r>
        <w:rPr>
          <w:sz w:val="20"/>
        </w:rPr>
        <w:t xml:space="preserve">И ВНЕДРЕНИЯ КОНКУРЕНТНЫХ СПОСОБОВ ОКАЗАНИЯ ГОСУДАРСТВЕННЫХ</w:t>
      </w:r>
    </w:p>
    <w:p>
      <w:pPr>
        <w:pStyle w:val="2"/>
        <w:jc w:val="center"/>
      </w:pPr>
      <w:r>
        <w:rPr>
          <w:sz w:val="20"/>
        </w:rPr>
        <w:t xml:space="preserve">(МУНИЦИПАЛЬНЫХ) УСЛУГ В СОЦИАЛЬНОЙ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Распоряжение Правительства РФ от 29.10.2021 N 3054-р &lt;Об утверждении перечня показателей, используемых для формирования рейтинга субъектов Российской Федерации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Российской Федерации от 29.10.2021 N 3054-р "Об утверждении перечня показателей, используемых для формирования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услуг", в соответствии с </w:t>
      </w:r>
      <w:hyperlink w:history="0" r:id="rId8" w:tooltip="Распоряжение администрации Тамбовской области от 21.04.2021 N 302-р (ред. от 09.03.2022) &quot;Об утверждении Комплексного плана мероприятий (&quot;дорожной карты&quot;) Тамбов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администрации Тамбовской области от 21.04.2021 N 302-р "Об утверждении Комплексного плана мероприятий ("дорожной карты") Тамбовской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годы" Правительство Тамбовской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рейтинга муниципальных районов и городских округов Тамбовской области по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 в социальной сфере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муниципальным районам и городским округам Тамбовской области (далее - муниципальные образования) актуализировать планы мероприятий ("дорожные карты")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 в муниципальных образованиях области, на 2021 - 2024 годы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постановления администрации Тамбовской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05.03.2019 </w:t>
      </w:r>
      <w:hyperlink w:history="0" r:id="rId9" w:tooltip="Постановление администрации Тамбовской области от 05.03.2019 N 197 (ред. от 29.04.2021) &quot;Об утверждении Порядка формирования рейтинга муниципальных образований Тамбовской области по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 в социальной сфере&quot; ------------ Утратил силу или отменен {КонсультантПлюс}">
        <w:r>
          <w:rPr>
            <w:sz w:val="20"/>
            <w:color w:val="0000ff"/>
          </w:rPr>
          <w:t xml:space="preserve">N 197</w:t>
        </w:r>
      </w:hyperlink>
      <w:r>
        <w:rPr>
          <w:sz w:val="20"/>
        </w:rPr>
        <w:t xml:space="preserve"> "Об утверждении Порядка формирования рейтинга муниципальных образований Тамбовской области по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 в социальной сфере";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29.04.2021 </w:t>
      </w:r>
      <w:hyperlink w:history="0" r:id="rId10" w:tooltip="Постановление администрации Тамбовской области от 29.04.2021 N 280 &quot;О внесении изменений в постановление администрации области от 05.03.2019 N 197 &quot;Об утверждении Порядка формирования рейтинга муниципальных образований Тамбовской области по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 ------------ Утратил силу или отменен {КонсультантПлюс}">
        <w:r>
          <w:rPr>
            <w:sz w:val="20"/>
            <w:color w:val="0000ff"/>
          </w:rPr>
          <w:t xml:space="preserve">N 280</w:t>
        </w:r>
      </w:hyperlink>
      <w:r>
        <w:rPr>
          <w:sz w:val="20"/>
        </w:rPr>
        <w:t xml:space="preserve"> "О внесении изменений в постановление администрации области от 05.03.2019 N 197 "Об утверждении Порядка формирования рейтинга муниципальных образований Тамбовской области по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 в социальной сфере".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настоящее постановление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на сайте сетевого издания "Тамбовская жизнь" (</w:t>
      </w:r>
      <w:r>
        <w:rPr>
          <w:sz w:val="20"/>
        </w:rPr>
        <w:t xml:space="preserve">www.tamlife.ru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исполняющую обязанности заместителя Главы Тамбовской области О.А.Леонгард.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Тамбовской области</w:t>
      </w:r>
    </w:p>
    <w:p>
      <w:pPr>
        <w:pStyle w:val="0"/>
        <w:jc w:val="right"/>
      </w:pPr>
      <w:r>
        <w:rPr>
          <w:sz w:val="20"/>
        </w:rPr>
        <w:t xml:space="preserve">М.Егоров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Тамбовской области</w:t>
      </w:r>
    </w:p>
    <w:p>
      <w:pPr>
        <w:pStyle w:val="0"/>
        <w:jc w:val="right"/>
      </w:pPr>
      <w:r>
        <w:rPr>
          <w:sz w:val="20"/>
        </w:rPr>
        <w:t xml:space="preserve">от 13.04.2023 N 288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РЕЙТИНГА МУНИЦИПАЛЬНЫХ РАЙОНОВ И ГОРОДСКИХ</w:t>
      </w:r>
    </w:p>
    <w:p>
      <w:pPr>
        <w:pStyle w:val="2"/>
        <w:jc w:val="center"/>
      </w:pPr>
      <w:r>
        <w:rPr>
          <w:sz w:val="20"/>
        </w:rPr>
        <w:t xml:space="preserve">ОКРУГОВ ТАМБОВСКОЙ ОБЛАСТИ ПО РЕАЛИЗАЦИИ МЕХАНИЗМОВ</w:t>
      </w:r>
    </w:p>
    <w:p>
      <w:pPr>
        <w:pStyle w:val="2"/>
        <w:jc w:val="center"/>
      </w:pPr>
      <w:r>
        <w:rPr>
          <w:sz w:val="20"/>
        </w:rPr>
        <w:t xml:space="preserve">ПОДДЕРЖКИ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И СОЦИАЛЬНОГО ПРЕДПРИНИМАТЕЛЬСТВА, ОБЕСПЕЧЕНИЯ</w:t>
      </w:r>
    </w:p>
    <w:p>
      <w:pPr>
        <w:pStyle w:val="2"/>
        <w:jc w:val="center"/>
      </w:pPr>
      <w:r>
        <w:rPr>
          <w:sz w:val="20"/>
        </w:rPr>
        <w:t xml:space="preserve">ДОСТУПА НЕГОСУДАРСТВЕННЫХ ОРГАНИЗАЦИЙ К ПРЕДОСТАВЛЕНИЮ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 И ВНЕДРЕНИЯ КОНКУРЕНТНЫХ СПОСОБОВ</w:t>
      </w:r>
    </w:p>
    <w:p>
      <w:pPr>
        <w:pStyle w:val="2"/>
        <w:jc w:val="center"/>
      </w:pPr>
      <w:r>
        <w:rPr>
          <w:sz w:val="20"/>
        </w:rPr>
        <w:t xml:space="preserve">ОКАЗАНИЯ ГОСУДАРСТВЕННЫХ (МУНИЦИПАЛЬНЫХ) УСЛУГ В СОЦИАЛЬНОЙ</w:t>
      </w:r>
    </w:p>
    <w:p>
      <w:pPr>
        <w:pStyle w:val="2"/>
        <w:jc w:val="center"/>
      </w:pPr>
      <w:r>
        <w:rPr>
          <w:sz w:val="20"/>
        </w:rPr>
        <w:t xml:space="preserve">СФЕРЕ (ДАЛЕЕ - ПОРЯДОК)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процедуру формирования рейтинга муниципальных районов и городских округов Тамбовской области (далее - муниципальные образования) по реализации механизмов поддержки социально ориентированных некоммерческих организаций (далее - СОНКО)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 в социальной сфере (далее - рейтинг).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Рейтинг формируется министерством экономической и инвестиционной политики Тамбовской области (далее - министерство) в отношении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настоящем Порядке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среднее по группе значение показателя (далее - Ср) - значение показателя, полученное путем суммирования значений показателя по каждому муниципальному образованию группы, деленное на количество муниципальных образований в группе, имеющих значения показателя, отличные от нуля;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балльная оценка по показателю - оценка степени достижения муниципальным образованием среднего по группе значения показателя (Ср), наличие либо отсутствие данного вида мер поддержки негосударственных организаций,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рейтинговая оценка муниципального образования (далее - рейтинговая оценка) - сумма балльных оценок муниципального образования по группе, определенная в соответствии с балльной шкалой и с учетом весового коэффициента показателя;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весовой коэффициент показателя - коэффициент значимости каждого показателя, установленный в </w:t>
      </w:r>
      <w:hyperlink w:history="0" w:anchor="P56" w:tooltip="6. Рейтинг формируется на основании показателей по следующим направлениям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Рейтинг формируется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качестве исходных данных для формирования рейтинга используются данные органов местного самоуправления Тамбовской области, представленные в министерство по запросу.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Рейтинг формируется на основании показателей по следующим направлениям: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9"/>
        <w:gridCol w:w="1695"/>
        <w:gridCol w:w="1845"/>
        <w:gridCol w:w="1531"/>
      </w:tblGrid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поддержки</w:t>
            </w:r>
          </w:p>
        </w:tc>
        <w:tc>
          <w:tcPr>
            <w:tcW w:w="1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Балльная оценка (В)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Весовой коэффициент (К)</w:t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Механизмы поддержки негосударственных организаций, СОНКО</w:t>
            </w:r>
          </w:p>
        </w:tc>
      </w:tr>
      <w:tr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 Наличие муниципальной программы (подпрограммы) поддержки СОНКО, в том числе предусматривающей финансирование мероприятий по поддержке СОНКО с подтверждением кассового исполнения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0,34</w:t>
            </w:r>
          </w:p>
        </w:tc>
      </w:tr>
      <w:tr>
        <w:tc>
          <w:tcPr>
            <w:vMerge w:val="continue"/>
          </w:tcPr>
          <w:p/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с поддержкой за счет бюджетных средств</w:t>
            </w:r>
          </w:p>
        </w:tc>
        <w:tc>
          <w:tcPr>
            <w:tcW w:w="1845" w:type="dxa"/>
          </w:tcPr>
          <w:p>
            <w:pPr>
              <w:pStyle w:val="0"/>
            </w:pPr>
            <w:r>
              <w:rPr>
                <w:sz w:val="20"/>
              </w:rPr>
              <w:t xml:space="preserve">+1 (дополнительно)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</w:tr>
      <w:tr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 Наличие мероприятий по поддержке социального предпринимательства в рамках муниципальных программ по поддержке малого и среднего предпринимательства, в том числе получивших финансирование и имеющих кассовое исполнение в отчетном году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0,34</w:t>
            </w:r>
          </w:p>
        </w:tc>
      </w:tr>
      <w:tr>
        <w:tc>
          <w:tcPr>
            <w:vMerge w:val="continue"/>
          </w:tcPr>
          <w:p/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с поддержкой за счет бюджетных средств</w:t>
            </w:r>
          </w:p>
        </w:tc>
        <w:tc>
          <w:tcPr>
            <w:tcW w:w="1845" w:type="dxa"/>
          </w:tcPr>
          <w:p>
            <w:pPr>
              <w:pStyle w:val="0"/>
            </w:pPr>
            <w:r>
              <w:rPr>
                <w:sz w:val="20"/>
              </w:rPr>
              <w:t xml:space="preserve">+1 (дополнительно)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</w:tr>
      <w:tr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 Наличие инфраструктуры поддержки СОНКО и социального предпринимательства, включая центры инноваций социальной сферы и ресурсные центры СОНКО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0,32</w:t>
            </w:r>
          </w:p>
        </w:tc>
      </w:tr>
      <w:tr>
        <w:tc>
          <w:tcPr>
            <w:vMerge w:val="continue"/>
          </w:tcPr>
          <w:p/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4"/>
            <w:tcW w:w="9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Финансовая поддержка негосударственных организаций, СОНКО</w:t>
            </w:r>
          </w:p>
        </w:tc>
      </w:tr>
      <w:tr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 Доля расходов местного бюджета, выделенных негосударственным организациям, СОНКО на предоставление услуг, в общем объеме средств местного бюджета, выделяемых на предоставление услуг в приоритетных сферах </w:t>
            </w:r>
            <w:hyperlink w:history="0" w:anchor="P185" w:tooltip="&lt;1&gt; Показатель рассчитывается как отношение средств бюджета муниципального образования, выделяемых негосударственным (немуниципальным) организациям, в том числе социально ориентированным негосударственным организациям на оказание услуг (выполнение работ), к объему средств местного бюджета, выделяемых на предоставление услуг в приоритетных сферах (социальная поддержка, образование, здравоохранение, культура, физкультура и массовый спорт, труд и занятость), за вычетом: средств, направляемых на обеспечение ..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0%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vMerge w:val="continue"/>
          </w:tcPr>
          <w:p/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от 0,01% до 9,99%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более 10%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vMerge w:val="continue"/>
          </w:tcPr>
          <w:p/>
        </w:tc>
      </w:tr>
      <w:tr>
        <w:tc>
          <w:tcPr>
            <w:gridSpan w:val="4"/>
            <w:tcW w:w="9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 Имущественная поддержка негосударственных организаций, СОНКО</w:t>
            </w:r>
          </w:p>
        </w:tc>
      </w:tr>
      <w:tr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3.1. Количество негосударственных организаций, СОНКО, получивших недвижимое имущество в аренду на льготных условиях или в безвозмездное пользование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3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0,34</w:t>
            </w:r>
          </w:p>
        </w:tc>
      </w:tr>
      <w:tr>
        <w:tc>
          <w:tcPr>
            <w:vMerge w:val="continue"/>
          </w:tcPr>
          <w:p/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Ср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более Ср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vMerge w:val="continue"/>
          </w:tcPr>
          <w:p/>
        </w:tc>
      </w:tr>
      <w:tr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3.2. Общее количество предоставленной площади на льготных условиях или в безвозмездное пользование негосударственным организациям, СОНКО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0,34</w:t>
            </w:r>
          </w:p>
        </w:tc>
      </w:tr>
      <w:tr>
        <w:tc>
          <w:tcPr>
            <w:vMerge w:val="continue"/>
          </w:tcPr>
          <w:p/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до 100 кв.м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более 100 кв.м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vMerge w:val="continue"/>
          </w:tcPr>
          <w:p/>
        </w:tc>
      </w:tr>
      <w:tr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3.3. Сумма выпадающих доходов в результате предоставляемой негосударственным организациям, СОНКО льготы по арендной ставке при предоставлении недвижимого имущества в аренду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0,32</w:t>
            </w:r>
          </w:p>
        </w:tc>
      </w:tr>
      <w:tr>
        <w:tc>
          <w:tcPr>
            <w:vMerge w:val="continue"/>
          </w:tcPr>
          <w:p/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Ср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более Ср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vMerge w:val="continue"/>
          </w:tcPr>
          <w:p/>
        </w:tc>
      </w:tr>
      <w:tr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3.4. Наличие размещенного на сайте муниципального образования актуального реестра СОНКО, получивших имущественную поддержку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0,32</w:t>
            </w:r>
          </w:p>
        </w:tc>
      </w:tr>
      <w:tr>
        <w:tc>
          <w:tcPr>
            <w:vMerge w:val="continue"/>
          </w:tcPr>
          <w:p/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4"/>
            <w:tcW w:w="9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 Информационная поддержка негосударственных организаций, СОНКО</w:t>
            </w:r>
          </w:p>
        </w:tc>
      </w:tr>
      <w:tr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4.1. Наличие размещенного на сайте муниципального образования актуального перечня СОНКО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0,22</w:t>
            </w:r>
          </w:p>
        </w:tc>
      </w:tr>
      <w:tr>
        <w:tc>
          <w:tcPr>
            <w:vMerge w:val="continue"/>
          </w:tcPr>
          <w:p/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</w:tr>
      <w:tr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4.2. Систематическое наполнение раздела, посвященного поддержке СОНКО, в целях повышения информированности представителей СОНКО, в том числе опубликование: изменений в План мероприятий ("дорожную карту") по обеспечению поэтапного доступа немуниципальных организаций, осуществляющих деятельность в социальной сфере, к бюджетным средствам, выделяемым на предоставление социальных услуг населению на 2021 - 2024 годы; ежеквартальных отчетов по дорожной карте; нормативно-правовых документов; методических рекомендаций; протоколов заседаний рабочей группы; новостей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(более 8 публикаций)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0,22</w:t>
            </w:r>
          </w:p>
        </w:tc>
      </w:tr>
      <w:tr>
        <w:tc>
          <w:tcPr>
            <w:vMerge w:val="continue"/>
          </w:tcPr>
          <w:p/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</w:tr>
      <w:tr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4.3. Количество публикаций о деятельности негосударственных организаций, СОНКО, благотворительной деятельности и добровольчестве (волонтерстве) в средствах массовой информации, в том числе получающих поддержку из средств местного бюджета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3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0,22</w:t>
            </w:r>
          </w:p>
        </w:tc>
      </w:tr>
      <w:tr>
        <w:tc>
          <w:tcPr>
            <w:vMerge w:val="continue"/>
          </w:tcPr>
          <w:p/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Ср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более Ср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vMerge w:val="continue"/>
          </w:tcPr>
          <w:p/>
        </w:tc>
      </w:tr>
      <w:tr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4.4. Наличие действующих муниципальных информационных систем для информационной поддержки деятельности негосударственных организаций, СОНКО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0,22</w:t>
            </w:r>
          </w:p>
        </w:tc>
      </w:tr>
      <w:tr>
        <w:tc>
          <w:tcPr>
            <w:vMerge w:val="continue"/>
          </w:tcPr>
          <w:p/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4"/>
            <w:tcW w:w="9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 Консультационная и образовательная поддержка негосударственных организаций, СОНКО</w:t>
            </w:r>
          </w:p>
        </w:tc>
      </w:tr>
      <w:tr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5.1. Количество работников и добровольцев (волонтеров) негосударственных организаций, СОНКО, принявших участие в конференциях и семинарах, поддержанных из средств местного бюджета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0,34</w:t>
            </w:r>
          </w:p>
        </w:tc>
      </w:tr>
      <w:tr>
        <w:tc>
          <w:tcPr>
            <w:vMerge w:val="continue"/>
          </w:tcPr>
          <w:p/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Ср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более Ср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vMerge w:val="continue"/>
          </w:tcPr>
          <w:p/>
        </w:tc>
      </w:tr>
      <w:tr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5.2. Количество бесплатных образовательных мероприятий, проведенных в муниципальном образовании для негосударственных организаций, СОНКО, и освещение их в СМИ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0,34</w:t>
            </w:r>
          </w:p>
        </w:tc>
      </w:tr>
      <w:tr>
        <w:tc>
          <w:tcPr>
            <w:vMerge w:val="continue"/>
          </w:tcPr>
          <w:p/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Ср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более Ср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vMerge w:val="continue"/>
          </w:tcPr>
          <w:p/>
        </w:tc>
      </w:tr>
      <w:tr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5.3. Количество работников и добровольцев (волонтеров) негосударственных организаций, СОНКО, прошедших обучение по образовательным программам, финансируемым из средств местного бюджета, либо получивших субсидии (гранты) на прохождение обучения и (или) стажировок из средств местного бюджета, в том числе с получением сертификата</w:t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0,34</w:t>
            </w:r>
          </w:p>
        </w:tc>
      </w:tr>
      <w:tr>
        <w:tc>
          <w:tcPr>
            <w:vMerge w:val="continue"/>
          </w:tcPr>
          <w:p/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Ср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  <w:t xml:space="preserve">более Ср</w:t>
            </w:r>
          </w:p>
        </w:tc>
        <w:tc>
          <w:tcPr>
            <w:tcW w:w="18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Показатель рассчитывается как отношение средств бюджета муниципального образования, выделяемых негосударственным (немуниципальным) организациям, в том числе социально ориентированным негосударственным организациям на оказание услуг (выполнение работ), к объему средств местного бюджета, выделяемых на предоставление услуг в приоритетных сферах (социальная поддержка, образование, здравоохранение, культура, физкультура и массовый спорт, труд и занятость), за вычетом: средств, направляемых на обеспечение выполнения функций органами местного самоуправления; средств, направляемых на инвестиции в строительство капитальных объектов, и на капитальный ремонт; средств, направляемых на законодательно и нормативно установленные денежные выплаты отдельным категориям населения.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Рейтинговая оценка (Р)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 = В * К * 100%,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 - балльная оценка;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весовой коэффициент.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Рейтинговая оценка присваивается всем муниципальным образованиям.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Формирование рейтинга проводится на основании рейтинговой оценки. Муниципальному образованию, имеющему наибольшую величину рейтинговой оценки в группе, присваивается первое место.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Тамбовской области от 13.04.2023 N 288</w:t>
            <w:br/>
            <w:t>"Об утверждении Порядка формировании рейтинга муницип...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328A0F60F5F3A4A0461746BA4A653510C4AFA99A0E0BF377645854B136C602B61C35980B63E36FDFAFCF552586E697EE0BAFE24158F0B80EE25M" TargetMode = "External"/>
	<Relationship Id="rId8" Type="http://schemas.openxmlformats.org/officeDocument/2006/relationships/hyperlink" Target="consultantplus://offline/ref=B328A0F60F5F3A4A04616A66B2CA09580B48AD93A9E2BC622F10831C4C3C667E21835FD5E77A63F0FDF5BF031A25667FE0EA27M" TargetMode = "External"/>
	<Relationship Id="rId9" Type="http://schemas.openxmlformats.org/officeDocument/2006/relationships/hyperlink" Target="consultantplus://offline/ref=B328A0F60F5F3A4A04616A66B2CA09580B48AD93A9E3B3632C14831C4C3C667E21835FD5E77A63F0FDF5BF031A25667FE0EA27M" TargetMode = "External"/>
	<Relationship Id="rId10" Type="http://schemas.openxmlformats.org/officeDocument/2006/relationships/hyperlink" Target="consultantplus://offline/ref=F9579870100B7FA345FDB74FBA8F0868FA18CAD17773D85388EAD6208D8A200FA95854E93253F95E5BCEEF4D72D6357DECFE29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Тамбовской области от 13.04.2023 N 288
"Об утверждении Порядка формировании рейтинга муниципальных районов и городских округов Тамбовской области по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 в социальной сфере"</dc:title>
  <dcterms:created xsi:type="dcterms:W3CDTF">2023-06-12T12:54:04Z</dcterms:created>
</cp:coreProperties>
</file>