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22.04.2021 N 213-п</w:t>
              <w:br/>
              <w:t xml:space="preserve">(ред. от 03.02.2023)</w:t>
              <w:br/>
              <w:t xml:space="preserve">"Об утверждении Положения о предоставлении грантов Губернатора Тюменской области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22 апреля 2021 г. N 213-п</w:t>
      </w:r>
    </w:p>
    <w:p>
      <w:pPr>
        <w:pStyle w:val="2"/>
        <w:jc w:val="center"/>
      </w:pPr>
      <w:r>
        <w:rPr>
          <w:sz w:val="20"/>
        </w:rPr>
      </w:r>
    </w:p>
    <w:p>
      <w:pPr>
        <w:pStyle w:val="2"/>
        <w:jc w:val="center"/>
      </w:pPr>
      <w:r>
        <w:rPr>
          <w:sz w:val="20"/>
        </w:rPr>
        <w:t xml:space="preserve">ОБ УТВЕРЖДЕНИИ ПОЛОЖЕНИЯ О ПРЕДОСТАВЛЕНИИ ГРАНТОВ</w:t>
      </w:r>
    </w:p>
    <w:p>
      <w:pPr>
        <w:pStyle w:val="2"/>
        <w:jc w:val="center"/>
      </w:pPr>
      <w:r>
        <w:rPr>
          <w:sz w:val="20"/>
        </w:rPr>
        <w:t xml:space="preserve">ГУБЕРНАТОРА ТЮМЕНСКОЙ ОБЛАСТИ НА РАЗВИТИЕ</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29.12.2021 </w:t>
            </w:r>
            <w:hyperlink w:history="0" r:id="rId7" w:tooltip="Постановление Правительства Тюменской области от 29.12.2021 N 914-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КонсультантПлюс}">
              <w:r>
                <w:rPr>
                  <w:sz w:val="20"/>
                  <w:color w:val="0000ff"/>
                </w:rPr>
                <w:t xml:space="preserve">N 914-п</w:t>
              </w:r>
            </w:hyperlink>
            <w:r>
              <w:rPr>
                <w:sz w:val="20"/>
                <w:color w:val="392c69"/>
              </w:rPr>
              <w:t xml:space="preserve">,</w:t>
            </w:r>
          </w:p>
          <w:p>
            <w:pPr>
              <w:pStyle w:val="0"/>
              <w:jc w:val="center"/>
            </w:pPr>
            <w:r>
              <w:rPr>
                <w:sz w:val="20"/>
                <w:color w:val="392c69"/>
              </w:rPr>
              <w:t xml:space="preserve">от 01.07.2022 </w:t>
            </w:r>
            <w:hyperlink w:history="0" r:id="rId8" w:tooltip="Постановление Правительства Тюменской области от 01.07.2022 N 437-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КонсультантПлюс}">
              <w:r>
                <w:rPr>
                  <w:sz w:val="20"/>
                  <w:color w:val="0000ff"/>
                </w:rPr>
                <w:t xml:space="preserve">N 437-п</w:t>
              </w:r>
            </w:hyperlink>
            <w:r>
              <w:rPr>
                <w:sz w:val="20"/>
                <w:color w:val="392c69"/>
              </w:rPr>
              <w:t xml:space="preserve">, от 17.11.2022 </w:t>
            </w:r>
            <w:hyperlink w:history="0" r:id="rId9" w:tooltip="Постановление Правительства Тюменской области от 17.11.2022 N 829-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quot;Методикой оценки заявок на участие в конкурсе на предоставление грантов Губернатора Тюменской области на развитие гражданского общества&quot;) {КонсультантПлюс}">
              <w:r>
                <w:rPr>
                  <w:sz w:val="20"/>
                  <w:color w:val="0000ff"/>
                </w:rPr>
                <w:t xml:space="preserve">N 829-п</w:t>
              </w:r>
            </w:hyperlink>
            <w:r>
              <w:rPr>
                <w:sz w:val="20"/>
                <w:color w:val="392c69"/>
              </w:rPr>
              <w:t xml:space="preserve">, от 03.02.2023 </w:t>
            </w:r>
            <w:hyperlink w:history="0" r:id="rId10"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7 статьи 78</w:t>
        </w:r>
      </w:hyperlink>
      <w:r>
        <w:rPr>
          <w:sz w:val="20"/>
        </w:rPr>
        <w:t xml:space="preserve"> Бюджетного кодекса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постановлением</w:t>
        </w:r>
      </w:hyperlink>
      <w:r>
        <w:rPr>
          <w:sz w:val="20"/>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hyperlink w:history="0" r:id="rId14"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от 18.02.2016 N 2 "О поддержке социально ориентированных некоммерческих организаций в Тюменской области",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президентских грантов от 14.01.2021 N 3,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2022 году, утвержденным приказом Фонда президентских грантов от 09.11.2021 N 15:</w:t>
      </w:r>
    </w:p>
    <w:p>
      <w:pPr>
        <w:pStyle w:val="0"/>
        <w:jc w:val="both"/>
      </w:pPr>
      <w:r>
        <w:rPr>
          <w:sz w:val="20"/>
        </w:rPr>
        <w:t xml:space="preserve">(в ред. постановлений Правительства Тюменской области от 29.12.2021 </w:t>
      </w:r>
      <w:hyperlink w:history="0" r:id="rId15" w:tooltip="Постановление Правительства Тюменской области от 29.12.2021 N 914-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КонсультантПлюс}">
        <w:r>
          <w:rPr>
            <w:sz w:val="20"/>
            <w:color w:val="0000ff"/>
          </w:rPr>
          <w:t xml:space="preserve">N 914-п</w:t>
        </w:r>
      </w:hyperlink>
      <w:r>
        <w:rPr>
          <w:sz w:val="20"/>
        </w:rPr>
        <w:t xml:space="preserve">, от 01.07.2022 </w:t>
      </w:r>
      <w:hyperlink w:history="0" r:id="rId16" w:tooltip="Постановление Правительства Тюменской области от 01.07.2022 N 437-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КонсультантПлюс}">
        <w:r>
          <w:rPr>
            <w:sz w:val="20"/>
            <w:color w:val="0000ff"/>
          </w:rPr>
          <w:t xml:space="preserve">N 437-п</w:t>
        </w:r>
      </w:hyperlink>
      <w:r>
        <w:rPr>
          <w:sz w:val="20"/>
        </w:rPr>
        <w:t xml:space="preserve">)</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предоставлении грантов Губернатора Тюменской области на развитие гражданского общества согласно приложению к настоящему постановлению.</w:t>
      </w:r>
    </w:p>
    <w:p>
      <w:pPr>
        <w:pStyle w:val="0"/>
        <w:spacing w:before="200" w:line-rule="auto"/>
        <w:ind w:firstLine="540"/>
        <w:jc w:val="both"/>
      </w:pPr>
      <w:r>
        <w:rPr>
          <w:sz w:val="20"/>
        </w:rPr>
        <w:t xml:space="preserve">2. Определить Департамент социального развития Тюменской области уполномоченным органом исполнительной власти Тюменской области, осуществляющим организацию деятельности по предоставлению грантов Губернатора Тюменской области на развитие гражданского общества.</w:t>
      </w:r>
    </w:p>
    <w:bookmarkStart w:id="17" w:name="P17"/>
    <w:bookmarkEnd w:id="17"/>
    <w:p>
      <w:pPr>
        <w:pStyle w:val="0"/>
        <w:spacing w:before="200" w:line-rule="auto"/>
        <w:ind w:firstLine="540"/>
        <w:jc w:val="both"/>
      </w:pPr>
      <w:r>
        <w:rPr>
          <w:sz w:val="20"/>
        </w:rPr>
        <w:t xml:space="preserve">3. </w:t>
      </w:r>
      <w:hyperlink w:history="0" w:anchor="P83" w:tooltip="9. В целях проведения конкурса Уполномоченный орган в срок не позднее трех календарных дней до начала приема заявок на конкурс размещает в средствах массовой информации, на официальном портале, официальном сайте конкурса,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объявление о проведении конкурса с указанием:">
        <w:r>
          <w:rPr>
            <w:sz w:val="20"/>
            <w:color w:val="0000ff"/>
          </w:rPr>
          <w:t xml:space="preserve">Абзац первый</w:t>
        </w:r>
      </w:hyperlink>
      <w:r>
        <w:rPr>
          <w:sz w:val="20"/>
        </w:rPr>
        <w:t xml:space="preserve">, </w:t>
      </w:r>
      <w:hyperlink w:history="0" w:anchor="P89" w:tooltip="д) доменного имени и (или) указателей страниц официального сайта конкурса или системы &quot;Электронный бюджет&quot; (в случае проведения отбора в системе &quot;Электронный бюджет&quot;);">
        <w:r>
          <w:rPr>
            <w:sz w:val="20"/>
            <w:color w:val="0000ff"/>
          </w:rPr>
          <w:t xml:space="preserve">подпункты "д"</w:t>
        </w:r>
      </w:hyperlink>
      <w:r>
        <w:rPr>
          <w:sz w:val="20"/>
        </w:rPr>
        <w:t xml:space="preserve">, </w:t>
      </w:r>
      <w:hyperlink w:history="0" w:anchor="P98" w:tooltip="н) даты размещения результатов конкурса на официальном сайте конкурса или едином портале (в случае проведения отбора в системе &quot;Электронный бюджет&quot;), а также на официальном портале в срок не позднее 5 календарных дней со дня определения победителя (-ей) конкурса;">
        <w:r>
          <w:rPr>
            <w:sz w:val="20"/>
            <w:color w:val="0000ff"/>
          </w:rPr>
          <w:t xml:space="preserve">"н" пункта 9</w:t>
        </w:r>
      </w:hyperlink>
      <w:r>
        <w:rPr>
          <w:sz w:val="20"/>
        </w:rPr>
        <w:t xml:space="preserve">, </w:t>
      </w:r>
      <w:hyperlink w:history="0" w:anchor="P241" w:tooltip="17. Заявка формируется в электронном виде на официальном сайте конкурса или едином портале (в случае проведения отбора в системе &quot;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quot;Электронный бюджет&quot;) в электронной форме в виде одного файла.">
        <w:r>
          <w:rPr>
            <w:sz w:val="20"/>
            <w:color w:val="0000ff"/>
          </w:rPr>
          <w:t xml:space="preserve">абзац первый пункта 17</w:t>
        </w:r>
      </w:hyperlink>
      <w:r>
        <w:rPr>
          <w:sz w:val="20"/>
        </w:rPr>
        <w:t xml:space="preserve">, </w:t>
      </w:r>
      <w:hyperlink w:history="0" w:anchor="P286" w:tooltip="33. Порядок проведения независимой экспертизы представленных проектов размещается на официальном сайте конкурса или на едином портале (в случае проведения отбора в системе &quot;Электронный бюджет&quot;), а также на официальном портале в течение 5 календарных дней со дня его утверждения, но не позднее даты начала независимой экспертизы.">
        <w:r>
          <w:rPr>
            <w:sz w:val="20"/>
            <w:color w:val="0000ff"/>
          </w:rPr>
          <w:t xml:space="preserve">пункт 33</w:t>
        </w:r>
      </w:hyperlink>
      <w:r>
        <w:rPr>
          <w:sz w:val="20"/>
        </w:rPr>
        <w:t xml:space="preserve">, </w:t>
      </w:r>
      <w:hyperlink w:history="0" w:anchor="P291" w:tooltip="Срок проведения независимой экспертизы проектов не превышает 15 рабочих дней со дня назначения Организатором конкурса заявок и проектов экспертам на официальном сайте конкурса или едином портале (в случае проведения отбора в системе &quot;Электронный бюджет&quot;).">
        <w:r>
          <w:rPr>
            <w:sz w:val="20"/>
            <w:color w:val="0000ff"/>
          </w:rPr>
          <w:t xml:space="preserve">абзац третий пункта 35</w:t>
        </w:r>
      </w:hyperlink>
      <w:r>
        <w:rPr>
          <w:sz w:val="20"/>
        </w:rPr>
        <w:t xml:space="preserve">, </w:t>
      </w:r>
      <w:hyperlink w:history="0" w:anchor="P312" w:tooltip="40.2. Размещает на официальном сайте конкурса или едином портале (в случае проведения отбора в системе &quot;Электронный бюджет&quot;), официальном портале приказ уполномоченного органа с указанием информации о результатах проведения конкурса, в том числе:">
        <w:r>
          <w:rPr>
            <w:sz w:val="20"/>
            <w:color w:val="0000ff"/>
          </w:rPr>
          <w:t xml:space="preserve">абзац первый подпункта 40.2 пункта 40</w:t>
        </w:r>
      </w:hyperlink>
      <w:r>
        <w:rPr>
          <w:sz w:val="20"/>
        </w:rPr>
        <w:t xml:space="preserve">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3 в ред. </w:t>
      </w:r>
      <w:hyperlink w:history="0" r:id="rId17" w:tooltip="Постановление Правительства Тюменской области от 01.07.2022 N 437-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КонсультантПлюс}">
        <w:r>
          <w:rPr>
            <w:sz w:val="20"/>
            <w:color w:val="0000ff"/>
          </w:rPr>
          <w:t xml:space="preserve">постановления</w:t>
        </w:r>
      </w:hyperlink>
      <w:r>
        <w:rPr>
          <w:sz w:val="20"/>
        </w:rPr>
        <w:t xml:space="preserve"> Правительства Тюменской области от 01.07.2022 N 437-п)</w:t>
      </w:r>
    </w:p>
    <w:p>
      <w:pPr>
        <w:pStyle w:val="0"/>
        <w:spacing w:before="200" w:line-rule="auto"/>
        <w:ind w:firstLine="540"/>
        <w:jc w:val="both"/>
      </w:pPr>
      <w:r>
        <w:rPr>
          <w:sz w:val="20"/>
        </w:rPr>
        <w:t xml:space="preserve">4. Контроль за исполнением настоящего постановления возложить на Вице-Губернатора Тюменской области.</w:t>
      </w:r>
    </w:p>
    <w:p>
      <w:pPr>
        <w:pStyle w:val="0"/>
        <w:jc w:val="both"/>
      </w:pPr>
      <w:r>
        <w:rPr>
          <w:sz w:val="20"/>
        </w:rPr>
        <w:t xml:space="preserve">(п. 4 в ред. </w:t>
      </w:r>
      <w:hyperlink w:history="0" r:id="rId18" w:tooltip="Постановление Правительства Тюменской области от 01.07.2022 N 437-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КонсультантПлюс}">
        <w:r>
          <w:rPr>
            <w:sz w:val="20"/>
            <w:color w:val="0000ff"/>
          </w:rPr>
          <w:t xml:space="preserve">постановления</w:t>
        </w:r>
      </w:hyperlink>
      <w:r>
        <w:rPr>
          <w:sz w:val="20"/>
        </w:rPr>
        <w:t xml:space="preserve"> Правительства Тюменской области от 01.07.2022 N 437-п)</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22 апреля 2021 г. N 213-п</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ПРЕДОСТАВЛЕНИИ ГРАНТОВ ГУБЕРНАТОРА ТЮМЕНСКОЙ ОБЛАСТИ</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17.11.2022 </w:t>
            </w:r>
            <w:hyperlink w:history="0" r:id="rId19" w:tooltip="Постановление Правительства Тюменской области от 17.11.2022 N 829-п &quot;О внесении изменений в постановление от 22.04.2021 N 213-п&quot; (вместе с &quot;Положением о предоставлении грантов Губернатора Тюменской области на развитие гражданского общества&quot;, &quot;Методикой оценки заявок на участие в конкурсе на предоставление грантов Губернатора Тюменской области на развитие гражданского общества&quot;) {КонсультантПлюс}">
              <w:r>
                <w:rPr>
                  <w:sz w:val="20"/>
                  <w:color w:val="0000ff"/>
                </w:rPr>
                <w:t xml:space="preserve">N 829-п</w:t>
              </w:r>
            </w:hyperlink>
            <w:r>
              <w:rPr>
                <w:sz w:val="20"/>
                <w:color w:val="392c69"/>
              </w:rPr>
              <w:t xml:space="preserve">,</w:t>
            </w:r>
          </w:p>
          <w:p>
            <w:pPr>
              <w:pStyle w:val="0"/>
              <w:jc w:val="center"/>
            </w:pPr>
            <w:r>
              <w:rPr>
                <w:sz w:val="20"/>
                <w:color w:val="392c69"/>
              </w:rPr>
              <w:t xml:space="preserve">от 03.02.2023 </w:t>
            </w:r>
            <w:hyperlink w:history="0" r:id="rId20"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грантов</w:t>
      </w:r>
    </w:p>
    <w:p>
      <w:pPr>
        <w:pStyle w:val="0"/>
        <w:jc w:val="center"/>
      </w:pPr>
      <w:r>
        <w:rPr>
          <w:sz w:val="20"/>
        </w:rPr>
        <w:t xml:space="preserve">(в ред. </w:t>
      </w:r>
      <w:hyperlink w:history="0" r:id="rId21"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03.02.2023 N 36-п)</w:t>
      </w:r>
    </w:p>
    <w:p>
      <w:pPr>
        <w:pStyle w:val="0"/>
        <w:jc w:val="both"/>
      </w:pPr>
      <w:r>
        <w:rPr>
          <w:sz w:val="20"/>
        </w:rPr>
      </w:r>
    </w:p>
    <w:p>
      <w:pPr>
        <w:pStyle w:val="0"/>
        <w:ind w:firstLine="540"/>
        <w:jc w:val="both"/>
      </w:pPr>
      <w:r>
        <w:rPr>
          <w:sz w:val="20"/>
        </w:rPr>
        <w:t xml:space="preserve">1. Настоящее Положение определяет цели, условия и порядок предоставления грантов Губернатора Тюменской области на развитие гражданского общества в форме субсидий (далее - Положение).</w:t>
      </w:r>
    </w:p>
    <w:p>
      <w:pPr>
        <w:pStyle w:val="0"/>
        <w:spacing w:before="200" w:line-rule="auto"/>
        <w:ind w:firstLine="540"/>
        <w:jc w:val="both"/>
      </w:pPr>
      <w:r>
        <w:rPr>
          <w:sz w:val="20"/>
        </w:rPr>
        <w:t xml:space="preserve">2. Для целей настоящего Положения используются следующие понятия:</w:t>
      </w:r>
    </w:p>
    <w:p>
      <w:pPr>
        <w:pStyle w:val="0"/>
        <w:spacing w:before="200" w:line-rule="auto"/>
        <w:ind w:firstLine="540"/>
        <w:jc w:val="both"/>
      </w:pPr>
      <w:r>
        <w:rPr>
          <w:sz w:val="20"/>
        </w:rPr>
        <w:t xml:space="preserve">-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 гранты, гранты Губернатора Тюменской области на развитие гражданского общества - денежные средства, предоставляемые в форме субсидии для реализации проектов из областного бюджета, социально ориентированной некоммерческой организации, победившей в конкурсе с конкретным проектом, на осуществление такого проекта на условиях, определенных Положением о конкурсе, с обязательным представлением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 участник конкурса - социально ориентированная некоммерческая организация, реализующая социально значимые проекты в Тюменской области, представившая заявку на конкурс;</w:t>
      </w:r>
    </w:p>
    <w:p>
      <w:pPr>
        <w:pStyle w:val="0"/>
        <w:spacing w:before="200" w:line-rule="auto"/>
        <w:ind w:firstLine="540"/>
        <w:jc w:val="both"/>
      </w:pPr>
      <w:r>
        <w:rPr>
          <w:sz w:val="20"/>
        </w:rPr>
        <w:t xml:space="preserve">- грантополучатели - победители конкурса на предоставление грантов Губернатора Тюменской области на развитие гражданского общества, определенные Объединенным экспертным советом по итогам оценки;</w:t>
      </w:r>
    </w:p>
    <w:p>
      <w:pPr>
        <w:pStyle w:val="0"/>
        <w:spacing w:before="200" w:line-rule="auto"/>
        <w:ind w:firstLine="540"/>
        <w:jc w:val="both"/>
      </w:pPr>
      <w:r>
        <w:rPr>
          <w:sz w:val="20"/>
        </w:rPr>
        <w:t xml:space="preserve">- конкурс - конкурс на предоставление грантов Губернатора Тюменской области на развитие гражданского общества, проводимый в соответствии с настоящим Положением для определения победителей;</w:t>
      </w:r>
    </w:p>
    <w:p>
      <w:pPr>
        <w:pStyle w:val="0"/>
        <w:spacing w:before="200" w:line-rule="auto"/>
        <w:ind w:firstLine="540"/>
        <w:jc w:val="both"/>
      </w:pPr>
      <w:r>
        <w:rPr>
          <w:sz w:val="20"/>
        </w:rPr>
        <w:t xml:space="preserve">- Фонд-оператор президентских грантов по развитию гражданского общества (Фонд президентских грантов, фонд) - единый оператор государственной поддержки некоммерческих неправительственных организаций в Российской Федерации, который предоставляет субъектам Российской Федерации грант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w:t>
      </w:r>
    </w:p>
    <w:p>
      <w:pPr>
        <w:pStyle w:val="0"/>
        <w:spacing w:before="200" w:line-rule="auto"/>
        <w:ind w:firstLine="540"/>
        <w:jc w:val="both"/>
      </w:pPr>
      <w:r>
        <w:rPr>
          <w:sz w:val="20"/>
        </w:rPr>
        <w:t xml:space="preserve">- региональная конкурсная система - официальный сайт конкурса в информационно-телекоммуникационной сети "Интернет" </w:t>
      </w:r>
      <w:r>
        <w:rPr>
          <w:sz w:val="20"/>
        </w:rPr>
        <w:t xml:space="preserve">https://тюмень.гранты.рф/</w:t>
      </w:r>
      <w:r>
        <w:rPr>
          <w:sz w:val="20"/>
        </w:rPr>
        <w:t xml:space="preserve">, предоставленный Фондом президентских грантов для проведения конкурса и независимой экспертизы проектов.</w:t>
      </w:r>
    </w:p>
    <w:p>
      <w:pPr>
        <w:pStyle w:val="0"/>
        <w:spacing w:before="200" w:line-rule="auto"/>
        <w:ind w:firstLine="540"/>
        <w:jc w:val="both"/>
      </w:pPr>
      <w:r>
        <w:rPr>
          <w:sz w:val="20"/>
        </w:rPr>
        <w:t xml:space="preserve">Иные понятия используются в значениях, установленных Федеральным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"О некоммерческих организациях").</w:t>
      </w:r>
    </w:p>
    <w:bookmarkStart w:id="55" w:name="P55"/>
    <w:bookmarkEnd w:id="55"/>
    <w:p>
      <w:pPr>
        <w:pStyle w:val="0"/>
        <w:spacing w:before="200" w:line-rule="auto"/>
        <w:ind w:firstLine="540"/>
        <w:jc w:val="both"/>
      </w:pPr>
      <w:r>
        <w:rPr>
          <w:sz w:val="20"/>
        </w:rPr>
        <w:t xml:space="preserve">3. Грант предоставляется на финансовое обеспечение социально значимых проектов в целях реализации государственных программ Тюменской области:</w:t>
      </w:r>
    </w:p>
    <w:p>
      <w:pPr>
        <w:pStyle w:val="0"/>
        <w:spacing w:before="200" w:line-rule="auto"/>
        <w:ind w:firstLine="540"/>
        <w:jc w:val="both"/>
      </w:pPr>
      <w:r>
        <w:rPr>
          <w:sz w:val="20"/>
        </w:rPr>
        <w:t xml:space="preserve">"</w:t>
      </w:r>
      <w:hyperlink w:history="0" r:id="rId23" w:tooltip="Постановление Правительства Тюменской области от 03.12.2018 N 452-п (ред. от 16.01.2023) &quot;Об утверждении государственной программы Тюменской области &quot;Развитие отрасли &quot;Социальная политика&quot; и признании утратившими силу некоторых нормативных правовых актов&quot; {КонсультантПлюс}">
        <w:r>
          <w:rPr>
            <w:sz w:val="20"/>
            <w:color w:val="0000ff"/>
          </w:rPr>
          <w:t xml:space="preserve">Развитие</w:t>
        </w:r>
      </w:hyperlink>
      <w:r>
        <w:rPr>
          <w:sz w:val="20"/>
        </w:rPr>
        <w:t xml:space="preserve"> отрасли "Социальная политика", утвержденной постановлением Правительства Тюменской области от 03.12.2018 N 452-п,</w:t>
      </w:r>
    </w:p>
    <w:p>
      <w:pPr>
        <w:pStyle w:val="0"/>
        <w:spacing w:before="200" w:line-rule="auto"/>
        <w:ind w:firstLine="540"/>
        <w:jc w:val="both"/>
      </w:pPr>
      <w:hyperlink w:history="0" r:id="rId24" w:tooltip="Постановление Правительства Тюменской области от 03.12.2018 N 453-п (ред. от 28.12.2022) &quot;Об утверждении государственной программы Тюменской области &quot;Антинаркотическая программа&quot; {КонсультантПлюс}">
        <w:r>
          <w:rPr>
            <w:sz w:val="20"/>
            <w:color w:val="0000ff"/>
          </w:rPr>
          <w:t xml:space="preserve">"Антинаркотическая программа"</w:t>
        </w:r>
      </w:hyperlink>
      <w:r>
        <w:rPr>
          <w:sz w:val="20"/>
        </w:rPr>
        <w:t xml:space="preserve">, утвержденной постановлением Правительства Тюменской области от 03.12.2018 N 453-п,</w:t>
      </w:r>
    </w:p>
    <w:p>
      <w:pPr>
        <w:pStyle w:val="0"/>
        <w:spacing w:before="200" w:line-rule="auto"/>
        <w:ind w:firstLine="540"/>
        <w:jc w:val="both"/>
      </w:pPr>
      <w:r>
        <w:rPr>
          <w:sz w:val="20"/>
        </w:rPr>
        <w:t xml:space="preserve">"</w:t>
      </w:r>
      <w:hyperlink w:history="0" r:id="rId25" w:tooltip="Постановление Правительства Тюменской области от 03.12.2018 N 451-п (ред. от 13.06.2023) &quot;Об утверждении государственной программы Тюменской области &quot;Развитие культуры&quot; и признании утратившими силу некоторых нормативных правовых актов&quot; {КонсультантПлюс}">
        <w:r>
          <w:rPr>
            <w:sz w:val="20"/>
            <w:color w:val="0000ff"/>
          </w:rPr>
          <w:t xml:space="preserve">Развитие</w:t>
        </w:r>
      </w:hyperlink>
      <w:r>
        <w:rPr>
          <w:sz w:val="20"/>
        </w:rPr>
        <w:t xml:space="preserve"> культуры", утвержденной постановлением Правительства Тюменской области от 03.12.2018 N 451-п,</w:t>
      </w:r>
    </w:p>
    <w:p>
      <w:pPr>
        <w:pStyle w:val="0"/>
        <w:spacing w:before="200" w:line-rule="auto"/>
        <w:ind w:firstLine="540"/>
        <w:jc w:val="both"/>
      </w:pPr>
      <w:r>
        <w:rPr>
          <w:sz w:val="20"/>
        </w:rPr>
        <w:t xml:space="preserve">"</w:t>
      </w:r>
      <w:hyperlink w:history="0" r:id="rId26" w:tooltip="Постановление Правительства Тюменской области от 14.12.2018 N 479-п (ред. от 27.01.2023) &quot;Об утверждении государственной программы Тюменской области &quot;Развитие образования и науки&quot; и признании утратившими силу некоторых нормативных правовых актов&quot; {КонсультантПлюс}">
        <w:r>
          <w:rPr>
            <w:sz w:val="20"/>
            <w:color w:val="0000ff"/>
          </w:rPr>
          <w:t xml:space="preserve">Развитие</w:t>
        </w:r>
      </w:hyperlink>
      <w:r>
        <w:rPr>
          <w:sz w:val="20"/>
        </w:rPr>
        <w:t xml:space="preserve"> образования и науки", утвержденной постановлением Правительства Тюменской области от 14.12.2018 N 479-п,</w:t>
      </w:r>
    </w:p>
    <w:p>
      <w:pPr>
        <w:pStyle w:val="0"/>
        <w:spacing w:before="200" w:line-rule="auto"/>
        <w:ind w:firstLine="540"/>
        <w:jc w:val="both"/>
      </w:pPr>
      <w:r>
        <w:rPr>
          <w:sz w:val="20"/>
        </w:rPr>
        <w:t xml:space="preserve">"</w:t>
      </w:r>
      <w:hyperlink w:history="0" r:id="rId27" w:tooltip="Постановление Правительства Тюменской области от 03.12.2018 N 450-п (ред. от 20.12.2022) &quot;Об утверждении государственной программы Тюменской области &quot;Развитие здравоохранения&quot; {КонсультантПлюс}">
        <w:r>
          <w:rPr>
            <w:sz w:val="20"/>
            <w:color w:val="0000ff"/>
          </w:rPr>
          <w:t xml:space="preserve">Развитие</w:t>
        </w:r>
      </w:hyperlink>
      <w:r>
        <w:rPr>
          <w:sz w:val="20"/>
        </w:rPr>
        <w:t xml:space="preserve"> здравоохранения", утвержденной постановлением Правительства Тюменской области от 03.12.2018 N 450-п,</w:t>
      </w:r>
    </w:p>
    <w:p>
      <w:pPr>
        <w:pStyle w:val="0"/>
        <w:spacing w:before="200" w:line-rule="auto"/>
        <w:ind w:firstLine="540"/>
        <w:jc w:val="both"/>
      </w:pPr>
      <w:r>
        <w:rPr>
          <w:sz w:val="20"/>
        </w:rPr>
        <w:t xml:space="preserve">"</w:t>
      </w:r>
      <w:hyperlink w:history="0" r:id="rId28" w:tooltip="Постановление Правительства Тюменской области от 03.12.2018 N 454-п (ред. от 28.12.2022) &quot;Об утверждении государственной программы Тюменской области &quot;Развитие физической культуры, спорта и дополнительного образования&quot; и признании утратившими силу некоторых нормативных правовых актов&quot; {КонсультантПлюс}">
        <w:r>
          <w:rPr>
            <w:sz w:val="20"/>
            <w:color w:val="0000ff"/>
          </w:rPr>
          <w:t xml:space="preserve">Развитие</w:t>
        </w:r>
      </w:hyperlink>
      <w:r>
        <w:rPr>
          <w:sz w:val="20"/>
        </w:rPr>
        <w:t xml:space="preserve"> физической культуры, спорта и дополнительного образования", утвержденной постановлением Правительства Тюменской области от 03.12.2018 N 454-п,</w:t>
      </w:r>
    </w:p>
    <w:p>
      <w:pPr>
        <w:pStyle w:val="0"/>
        <w:spacing w:before="200" w:line-rule="auto"/>
        <w:ind w:firstLine="540"/>
        <w:jc w:val="both"/>
      </w:pPr>
      <w:r>
        <w:rPr>
          <w:sz w:val="20"/>
        </w:rPr>
        <w:t xml:space="preserve">"</w:t>
      </w:r>
      <w:hyperlink w:history="0" r:id="rId29" w:tooltip="Постановление Правительства Тюменской области от 14.12.2018 N 498-п (ред. от 12.05.2023) &quot;Об утверждении государственной программы Тюменской области &quot;Содействие занятости населения и регулирование трудовых и иных непосредственно связанных с ними отношений&quot; и признании утратившими силу некоторых нормативных правовых актов&quot; {КонсультантПлюс}">
        <w:r>
          <w:rPr>
            <w:sz w:val="20"/>
            <w:color w:val="0000ff"/>
          </w:rPr>
          <w:t xml:space="preserve">Содействие</w:t>
        </w:r>
      </w:hyperlink>
      <w:r>
        <w:rPr>
          <w:sz w:val="20"/>
        </w:rPr>
        <w:t xml:space="preserve"> занятости населения и регулирование трудовых и иных непосредственно связанных с ними отношений", утвержденной постановлением Правительства Тюменской области от 14.12.2018 N 498-п,</w:t>
      </w:r>
    </w:p>
    <w:p>
      <w:pPr>
        <w:pStyle w:val="0"/>
        <w:spacing w:before="200" w:line-rule="auto"/>
        <w:ind w:firstLine="540"/>
        <w:jc w:val="both"/>
      </w:pPr>
      <w:r>
        <w:rPr>
          <w:sz w:val="20"/>
        </w:rPr>
        <w:t xml:space="preserve">"</w:t>
      </w:r>
      <w:hyperlink w:history="0" r:id="rId30" w:tooltip="Постановление Правительства Тюменской области от 03.12.2018 N 449-п (ред. от 17.02.2023) &quot;Об утверждении государственной программы Тюменской области &quot;Развитие гражданского общества, общественные связи и молодежная политика&quot; и признании утратившими силу некоторых нормативных правовых актов&quot; {КонсультантПлюс}">
        <w:r>
          <w:rPr>
            <w:sz w:val="20"/>
            <w:color w:val="0000ff"/>
          </w:rPr>
          <w:t xml:space="preserve">Развитие</w:t>
        </w:r>
      </w:hyperlink>
      <w:r>
        <w:rPr>
          <w:sz w:val="20"/>
        </w:rPr>
        <w:t xml:space="preserve"> гражданского общества, общественные связи и молодежная политика", утвержденной постановлением Правительства Тюменской области от 03.12.2018 N 449-п (далее - Государственные программы Тюменской области),</w:t>
      </w:r>
    </w:p>
    <w:p>
      <w:pPr>
        <w:pStyle w:val="0"/>
        <w:spacing w:before="200" w:line-rule="auto"/>
        <w:ind w:firstLine="540"/>
        <w:jc w:val="both"/>
      </w:pPr>
      <w:r>
        <w:rPr>
          <w:sz w:val="20"/>
        </w:rPr>
        <w:t xml:space="preserve">а также достижения результата предоставления гранта, установленного настоящим Положением.</w:t>
      </w:r>
    </w:p>
    <w:p>
      <w:pPr>
        <w:pStyle w:val="0"/>
        <w:spacing w:before="200" w:line-rule="auto"/>
        <w:ind w:firstLine="540"/>
        <w:jc w:val="both"/>
      </w:pPr>
      <w:r>
        <w:rPr>
          <w:sz w:val="20"/>
        </w:rPr>
        <w:t xml:space="preserve">4. Уполномоченным органом исполнительной власти Тюменской области по реализации настоящего Положения является Департамент социального развития Тюменской области (далее - Уполномоченный орган, Организатор конкурса, Главный распорядитель), до которого в соответствии с бюджетным законодательством Российской Федерации как до получателя бюджетных средств в установленном порядке доведены лимиты бюджетных обязательств на предоставление грантов на соответствующий финансовый год и на плановый период.</w:t>
      </w:r>
    </w:p>
    <w:bookmarkStart w:id="66" w:name="P66"/>
    <w:bookmarkEnd w:id="66"/>
    <w:p>
      <w:pPr>
        <w:pStyle w:val="0"/>
        <w:spacing w:before="200" w:line-rule="auto"/>
        <w:ind w:firstLine="540"/>
        <w:jc w:val="both"/>
      </w:pPr>
      <w:r>
        <w:rPr>
          <w:sz w:val="20"/>
        </w:rPr>
        <w:t xml:space="preserve">5. Право на получение гранта в соответствии с настоящим Положением имеет социально ориентированная некоммерческая организация:</w:t>
      </w:r>
    </w:p>
    <w:p>
      <w:pPr>
        <w:pStyle w:val="0"/>
        <w:spacing w:before="200" w:line-rule="auto"/>
        <w:ind w:firstLine="540"/>
        <w:jc w:val="both"/>
      </w:pPr>
      <w:r>
        <w:rPr>
          <w:sz w:val="20"/>
        </w:rPr>
        <w:t xml:space="preserve">созданная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не имеющая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зарегистрированная в Тюменской области и осуществляющая в Тюменской области в соответствии со своими учредительными документами виды деятельности, предусмотренные </w:t>
      </w:r>
      <w:hyperlink w:history="0" r:id="rId3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и (или) </w:t>
      </w:r>
      <w:hyperlink w:history="0" r:id="rId32"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от 18.02.2016 N 2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реализующая в Тюменской области проекты по направлениям, указанным в </w:t>
      </w:r>
      <w:hyperlink w:history="0" w:anchor="P101" w:tooltip="10. На конкурс принимаются проекты по следующим грантовым направлениям:">
        <w:r>
          <w:rPr>
            <w:sz w:val="20"/>
            <w:color w:val="0000ff"/>
          </w:rPr>
          <w:t xml:space="preserve">пункте 10</w:t>
        </w:r>
      </w:hyperlink>
      <w:r>
        <w:rPr>
          <w:sz w:val="20"/>
        </w:rPr>
        <w:t xml:space="preserve"> настоящего Положения, в соответствии с учредительными документами.</w:t>
      </w:r>
    </w:p>
    <w:p>
      <w:pPr>
        <w:pStyle w:val="0"/>
        <w:spacing w:before="200" w:line-rule="auto"/>
        <w:ind w:firstLine="540"/>
        <w:jc w:val="both"/>
      </w:pPr>
      <w:r>
        <w:rPr>
          <w:sz w:val="20"/>
        </w:rPr>
        <w:t xml:space="preserve">6. Способом проведения отбора для предоставления грантов является конкурс.</w:t>
      </w:r>
    </w:p>
    <w:p>
      <w:pPr>
        <w:pStyle w:val="0"/>
        <w:spacing w:before="200" w:line-rule="auto"/>
        <w:ind w:firstLine="540"/>
        <w:jc w:val="both"/>
      </w:pPr>
      <w:r>
        <w:rPr>
          <w:sz w:val="20"/>
        </w:rPr>
        <w:t xml:space="preserve">7. Настоящее Положение, а также информация об Уполномоченном органе размещаются в информационно-телекоммуникационной сети "Интернет"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 и на официальном сайте в информационно-телекоммуникационной сети "Интернет" </w:t>
      </w:r>
      <w:r>
        <w:rPr>
          <w:sz w:val="20"/>
        </w:rPr>
        <w:t xml:space="preserve">https://тюмень.гранты.рф/</w:t>
      </w:r>
      <w:r>
        <w:rPr>
          <w:sz w:val="20"/>
        </w:rPr>
        <w:t xml:space="preserve"> (далее - официальный сайт конкурса).</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в разделе "Бюджет" (далее - единый портал) (в разделе единого портала) не позднее 15-го рабочего дня, следующего за днем принятия закона о бюджете Тюменской области на очередной финансовый год и плановый период (закона Тюменской области о внесении изменений в закон Тюменской области о бюджете Тюменской области на очередной финансовый год и плановый период).</w:t>
      </w:r>
    </w:p>
    <w:p>
      <w:pPr>
        <w:pStyle w:val="0"/>
        <w:spacing w:before="200" w:line-rule="auto"/>
        <w:ind w:firstLine="540"/>
        <w:jc w:val="both"/>
      </w:pPr>
      <w:r>
        <w:rPr>
          <w:sz w:val="20"/>
        </w:rPr>
        <w:t xml:space="preserve">Сведения о грантах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r>
    </w:p>
    <w:p>
      <w:pPr>
        <w:pStyle w:val="2"/>
        <w:outlineLvl w:val="1"/>
        <w:jc w:val="center"/>
      </w:pPr>
      <w:r>
        <w:rPr>
          <w:sz w:val="20"/>
        </w:rPr>
        <w:t xml:space="preserve">II. Порядок проведения отбора получателей гранта</w:t>
      </w:r>
    </w:p>
    <w:p>
      <w:pPr>
        <w:pStyle w:val="2"/>
        <w:jc w:val="center"/>
      </w:pPr>
      <w:r>
        <w:rPr>
          <w:sz w:val="20"/>
        </w:rPr>
        <w:t xml:space="preserve">для предоставления грантов</w:t>
      </w:r>
    </w:p>
    <w:p>
      <w:pPr>
        <w:pStyle w:val="0"/>
        <w:jc w:val="center"/>
      </w:pPr>
      <w:r>
        <w:rPr>
          <w:sz w:val="20"/>
        </w:rPr>
        <w:t xml:space="preserve">(в ред. </w:t>
      </w:r>
      <w:hyperlink w:history="0" r:id="rId33"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03.02.2023 N 36-п)</w:t>
      </w:r>
    </w:p>
    <w:p>
      <w:pPr>
        <w:pStyle w:val="0"/>
        <w:jc w:val="both"/>
      </w:pPr>
      <w:r>
        <w:rPr>
          <w:sz w:val="20"/>
        </w:rPr>
      </w:r>
    </w:p>
    <w:p>
      <w:pPr>
        <w:pStyle w:val="0"/>
        <w:ind w:firstLine="540"/>
        <w:jc w:val="both"/>
      </w:pPr>
      <w:r>
        <w:rPr>
          <w:sz w:val="20"/>
        </w:rPr>
        <w:t xml:space="preserve">8. Организация проведения конкурса осуществляется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9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 w:name="P83"/>
    <w:bookmarkEnd w:id="83"/>
    <w:p>
      <w:pPr>
        <w:pStyle w:val="0"/>
        <w:spacing w:before="260" w:line-rule="auto"/>
        <w:ind w:firstLine="540"/>
        <w:jc w:val="both"/>
      </w:pPr>
      <w:r>
        <w:rPr>
          <w:sz w:val="20"/>
        </w:rPr>
        <w:t xml:space="preserve">9. В целях проведения конкурса Уполномоченный орган в срок не позднее трех календарных дней до начала приема заявок на конкурс размещает в средствах массовой информации, на официальном портале, официальном сайте конкурса,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объявление о проведении конкурса с указанием:</w:t>
      </w:r>
    </w:p>
    <w:p>
      <w:pPr>
        <w:pStyle w:val="0"/>
        <w:spacing w:before="200" w:line-rule="auto"/>
        <w:ind w:firstLine="540"/>
        <w:jc w:val="both"/>
      </w:pPr>
      <w:r>
        <w:rPr>
          <w:sz w:val="20"/>
        </w:rPr>
        <w:t xml:space="preserve">а) сроков проведения конкурса, информации о возможности проведения нескольких этапов конкурса с указанием сроков и порядка их проведения (в случае проведения нескольких этапов отбора);</w:t>
      </w:r>
    </w:p>
    <w:p>
      <w:pPr>
        <w:pStyle w:val="0"/>
        <w:spacing w:before="200" w:line-rule="auto"/>
        <w:ind w:firstLine="540"/>
        <w:jc w:val="both"/>
      </w:pPr>
      <w:r>
        <w:rPr>
          <w:sz w:val="20"/>
        </w:rPr>
        <w:t xml:space="preserve">б)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г) результатов предоставления гранта в соответствии с </w:t>
      </w:r>
      <w:hyperlink w:history="0" w:anchor="P378" w:tooltip="49. Результатом предоставления гранта является реализованный грантополучателем проект по грантовым направлениям, указанным в пункте 10 настоящего Положения, на дату, определенную соглашением.">
        <w:r>
          <w:rPr>
            <w:sz w:val="20"/>
            <w:color w:val="0000ff"/>
          </w:rPr>
          <w:t xml:space="preserve">пунктом 49</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"д" п. 9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 w:name="P89"/>
    <w:bookmarkEnd w:id="89"/>
    <w:p>
      <w:pPr>
        <w:pStyle w:val="0"/>
        <w:spacing w:before="260" w:line-rule="auto"/>
        <w:ind w:firstLine="540"/>
        <w:jc w:val="both"/>
      </w:pPr>
      <w:r>
        <w:rPr>
          <w:sz w:val="20"/>
        </w:rPr>
        <w:t xml:space="preserve">д) доменного имени и (или) указателей страниц официального сайта конкурса или системы "Электронный бюджет" (в случае проведения отбора в системе "Электронный бюджет");</w:t>
      </w:r>
    </w:p>
    <w:p>
      <w:pPr>
        <w:pStyle w:val="0"/>
        <w:spacing w:before="200" w:line-rule="auto"/>
        <w:ind w:firstLine="540"/>
        <w:jc w:val="both"/>
      </w:pPr>
      <w:r>
        <w:rPr>
          <w:sz w:val="20"/>
        </w:rPr>
        <w:t xml:space="preserve">е) требований к участникам конкурса и перечня документов, представляемых претендентами для участия в конкурсе;</w:t>
      </w:r>
    </w:p>
    <w:p>
      <w:pPr>
        <w:pStyle w:val="0"/>
        <w:spacing w:before="200" w:line-rule="auto"/>
        <w:ind w:firstLine="540"/>
        <w:jc w:val="both"/>
      </w:pPr>
      <w:r>
        <w:rPr>
          <w:sz w:val="20"/>
        </w:rPr>
        <w:t xml:space="preserve">ж) порядка подачи заявок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з) порядка отзыва заявок, порядка возврата заявок, определяющего в том числе основания для возврата заявок, порядка внесения изменений в заявки участников конкурса;</w:t>
      </w:r>
    </w:p>
    <w:p>
      <w:pPr>
        <w:pStyle w:val="0"/>
        <w:spacing w:before="200" w:line-rule="auto"/>
        <w:ind w:firstLine="540"/>
        <w:jc w:val="both"/>
      </w:pPr>
      <w:r>
        <w:rPr>
          <w:sz w:val="20"/>
        </w:rPr>
        <w:t xml:space="preserve">и) правил рассмотрения и оценки заявок участников конкурса;</w:t>
      </w:r>
    </w:p>
    <w:p>
      <w:pPr>
        <w:pStyle w:val="0"/>
        <w:spacing w:before="200" w:line-rule="auto"/>
        <w:ind w:firstLine="540"/>
        <w:jc w:val="both"/>
      </w:pPr>
      <w:r>
        <w:rPr>
          <w:sz w:val="20"/>
        </w:rPr>
        <w:t xml:space="preserve">к) порядка предоставления разъяснений положений объявления о проведении конкурса, даты начала и окончания срока предоставления такого разъяснения;</w:t>
      </w:r>
    </w:p>
    <w:p>
      <w:pPr>
        <w:pStyle w:val="0"/>
        <w:spacing w:before="200" w:line-rule="auto"/>
        <w:ind w:firstLine="540"/>
        <w:jc w:val="both"/>
      </w:pPr>
      <w:r>
        <w:rPr>
          <w:sz w:val="20"/>
        </w:rPr>
        <w:t xml:space="preserve">л) срока, в течение которого победитель (победители) конкурса подписывает (-ют) соглашение о предоставлении гранта;</w:t>
      </w:r>
    </w:p>
    <w:p>
      <w:pPr>
        <w:pStyle w:val="0"/>
        <w:spacing w:before="200" w:line-rule="auto"/>
        <w:ind w:firstLine="540"/>
        <w:jc w:val="both"/>
      </w:pPr>
      <w:r>
        <w:rPr>
          <w:sz w:val="20"/>
        </w:rPr>
        <w:t xml:space="preserve">м) условий признания победителя (победителей) конкурса уклонившимся (уклонившимися) от заключения соглашения о предоставлении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"н" п. 9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0"/>
        <w:spacing w:before="260" w:line-rule="auto"/>
        <w:ind w:firstLine="540"/>
        <w:jc w:val="both"/>
      </w:pPr>
      <w:r>
        <w:rPr>
          <w:sz w:val="20"/>
        </w:rPr>
        <w:t xml:space="preserve">н) даты размещения результатов конкурса на официальном сайте конкурса или едином портале (в случае проведения отбора в системе "Электронный бюджет"), а также на официальном портале в срок не позднее 5 календарных дней со дня определения победителя (-ей) конкурса;</w:t>
      </w:r>
    </w:p>
    <w:p>
      <w:pPr>
        <w:pStyle w:val="0"/>
        <w:spacing w:before="200" w:line-rule="auto"/>
        <w:ind w:firstLine="540"/>
        <w:jc w:val="both"/>
      </w:pPr>
      <w:r>
        <w:rPr>
          <w:sz w:val="20"/>
        </w:rPr>
        <w:t xml:space="preserve">о) предельного размера гранта в соответствии с </w:t>
      </w:r>
      <w:hyperlink w:history="0" w:anchor="P336" w:tooltip="44. Размер гранта на одного грантополучателя не превышает:">
        <w:r>
          <w:rPr>
            <w:sz w:val="20"/>
            <w:color w:val="0000ff"/>
          </w:rPr>
          <w:t xml:space="preserve">пунктом 44</w:t>
        </w:r>
      </w:hyperlink>
      <w:r>
        <w:rPr>
          <w:sz w:val="20"/>
        </w:rPr>
        <w:t xml:space="preserve"> настоящего Положения;</w:t>
      </w:r>
    </w:p>
    <w:p>
      <w:pPr>
        <w:pStyle w:val="0"/>
        <w:spacing w:before="200" w:line-rule="auto"/>
        <w:ind w:firstLine="540"/>
        <w:jc w:val="both"/>
      </w:pPr>
      <w:r>
        <w:rPr>
          <w:sz w:val="20"/>
        </w:rPr>
        <w:t xml:space="preserve">п) грантового направления и тематики проектов, а также суммы финансирования, предусмотренной государственными программами Тюменской области по данному грантовому направлению с учетом софинансирования, полученного от Фонда-оператора президентских грантов по развитию гражданского общества.</w:t>
      </w:r>
    </w:p>
    <w:bookmarkStart w:id="101" w:name="P101"/>
    <w:bookmarkEnd w:id="101"/>
    <w:p>
      <w:pPr>
        <w:pStyle w:val="0"/>
        <w:spacing w:before="200" w:line-rule="auto"/>
        <w:ind w:firstLine="540"/>
        <w:jc w:val="both"/>
      </w:pPr>
      <w:r>
        <w:rPr>
          <w:sz w:val="20"/>
        </w:rPr>
        <w:t xml:space="preserve">10. На конкурс принимаются проекты по следующим грантовым направлениям: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4"/>
        <w:gridCol w:w="6746"/>
      </w:tblGrid>
      <w:tr>
        <w:tc>
          <w:tcPr>
            <w:tcW w:w="2294" w:type="dxa"/>
          </w:tcPr>
          <w:p>
            <w:pPr>
              <w:pStyle w:val="0"/>
              <w:jc w:val="center"/>
            </w:pPr>
            <w:r>
              <w:rPr>
                <w:sz w:val="20"/>
              </w:rPr>
              <w:t xml:space="preserve">Грантовые направления</w:t>
            </w:r>
          </w:p>
        </w:tc>
        <w:tc>
          <w:tcPr>
            <w:tcW w:w="6746" w:type="dxa"/>
          </w:tcPr>
          <w:p>
            <w:pPr>
              <w:pStyle w:val="0"/>
              <w:jc w:val="center"/>
            </w:pPr>
            <w:r>
              <w:rPr>
                <w:sz w:val="20"/>
              </w:rPr>
              <w:t xml:space="preserve">Тематика проектов</w:t>
            </w:r>
          </w:p>
        </w:tc>
      </w:tr>
      <w:tr>
        <w:tc>
          <w:tcPr>
            <w:tcW w:w="2294" w:type="dxa"/>
            <w:tcBorders>
              <w:bottom w:val="nil"/>
            </w:tcBorders>
            <w:vMerge w:val="restart"/>
          </w:tcPr>
          <w:p>
            <w:pPr>
              <w:pStyle w:val="0"/>
            </w:pPr>
            <w:r>
              <w:rPr>
                <w:sz w:val="20"/>
              </w:rPr>
              <w:t xml:space="preserve">Социальное обслуживание, социальная поддержка и защита граждан:</w:t>
            </w:r>
          </w:p>
        </w:tc>
        <w:tc>
          <w:tcPr>
            <w:tcW w:w="6746" w:type="dxa"/>
          </w:tcPr>
          <w:p>
            <w:pPr>
              <w:pStyle w:val="0"/>
              <w:jc w:val="both"/>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w:t>
            </w:r>
          </w:p>
        </w:tc>
      </w:tr>
      <w:tr>
        <w:tc>
          <w:tcPr>
            <w:tcBorders>
              <w:bottom w:val="nil"/>
            </w:tcBorders>
            <w:vMerge w:val="continue"/>
          </w:tcPr>
          <w:p/>
        </w:tc>
        <w:tc>
          <w:tcPr>
            <w:tcW w:w="6746" w:type="dxa"/>
          </w:tcPr>
          <w:p>
            <w:pPr>
              <w:pStyle w:val="0"/>
              <w:jc w:val="both"/>
            </w:pPr>
            <w:r>
              <w:rPr>
                <w:sz w:val="20"/>
              </w:rPr>
              <w:t xml:space="preserve">повышение качества жизни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tcBorders>
              <w:bottom w:val="nil"/>
            </w:tcBorders>
            <w:vMerge w:val="continue"/>
          </w:tcPr>
          <w:p/>
        </w:tc>
        <w:tc>
          <w:tcPr>
            <w:tcW w:w="6746" w:type="dxa"/>
          </w:tcPr>
          <w:p>
            <w:pPr>
              <w:pStyle w:val="0"/>
              <w:jc w:val="both"/>
            </w:pPr>
            <w:r>
              <w:rPr>
                <w:sz w:val="20"/>
              </w:rPr>
              <w:t xml:space="preserve">социальная реабилитация и абилитация инвалидов, в т.ч. детей-инвалидов</w:t>
            </w:r>
          </w:p>
        </w:tc>
      </w:tr>
      <w:tr>
        <w:tc>
          <w:tcPr>
            <w:tcBorders>
              <w:bottom w:val="nil"/>
            </w:tcBorders>
            <w:vMerge w:val="continue"/>
          </w:tcPr>
          <w:p/>
        </w:tc>
        <w:tc>
          <w:tcPr>
            <w:tcW w:w="6746" w:type="dxa"/>
          </w:tcPr>
          <w:p>
            <w:pPr>
              <w:pStyle w:val="0"/>
              <w:jc w:val="both"/>
            </w:pPr>
            <w:r>
              <w:rPr>
                <w:sz w:val="20"/>
              </w:rPr>
              <w:t xml:space="preserve">социализация людей с ограниченными возможностями здоровья через различные формы социальной активности</w:t>
            </w:r>
          </w:p>
        </w:tc>
      </w:tr>
      <w:tr>
        <w:tc>
          <w:tcPr>
            <w:tcBorders>
              <w:bottom w:val="nil"/>
            </w:tcBorders>
            <w:vMerge w:val="continue"/>
          </w:tcPr>
          <w:p/>
        </w:tc>
        <w:tc>
          <w:tcPr>
            <w:tcW w:w="6746" w:type="dxa"/>
          </w:tcPr>
          <w:p>
            <w:pPr>
              <w:pStyle w:val="0"/>
              <w:jc w:val="both"/>
            </w:pPr>
            <w:r>
              <w:rPr>
                <w:sz w:val="20"/>
              </w:rPr>
              <w:t xml:space="preserve">деятельность, направленная на приобретение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tcBorders>
              <w:bottom w:val="nil"/>
            </w:tcBorders>
            <w:vMerge w:val="continue"/>
          </w:tcPr>
          <w:p/>
        </w:tc>
        <w:tc>
          <w:tcPr>
            <w:tcW w:w="6746" w:type="dxa"/>
          </w:tcPr>
          <w:p>
            <w:pPr>
              <w:pStyle w:val="0"/>
              <w:jc w:val="both"/>
            </w:pPr>
            <w:r>
              <w:rPr>
                <w:sz w:val="20"/>
              </w:rPr>
              <w:t xml:space="preserve">содействие трудоустройству и трудовой адаптации людей с ограниченными возможностями здоровья</w:t>
            </w:r>
          </w:p>
        </w:tc>
      </w:tr>
      <w:tr>
        <w:tc>
          <w:tcPr>
            <w:tcBorders>
              <w:bottom w:val="nil"/>
            </w:tcBorders>
            <w:vMerge w:val="continue"/>
          </w:tcPr>
          <w:p/>
        </w:tc>
        <w:tc>
          <w:tcPr>
            <w:tcW w:w="6746" w:type="dxa"/>
          </w:tcPr>
          <w:p>
            <w:pPr>
              <w:pStyle w:val="0"/>
              <w:jc w:val="both"/>
            </w:pPr>
            <w:r>
              <w:rPr>
                <w:sz w:val="20"/>
              </w:rPr>
              <w:t xml:space="preserve">содействие развитию социального сопровождения маломобильных людей с инвалидностью</w:t>
            </w:r>
          </w:p>
        </w:tc>
      </w:tr>
      <w:tr>
        <w:tc>
          <w:tcPr>
            <w:tcBorders>
              <w:bottom w:val="nil"/>
            </w:tcBorders>
            <w:vMerge w:val="continue"/>
          </w:tcPr>
          <w:p/>
        </w:tc>
        <w:tc>
          <w:tcPr>
            <w:tcW w:w="6746" w:type="dxa"/>
          </w:tcPr>
          <w:p>
            <w:pPr>
              <w:pStyle w:val="0"/>
              <w:jc w:val="both"/>
            </w:pPr>
            <w:r>
              <w:rPr>
                <w:sz w:val="20"/>
              </w:rPr>
              <w:t xml:space="preserve">поддержка и социальное сопровождение людей с ментальными нарушениями (психическими расстройствами и расстройствами поведения, генетическими и иными заболеваниями)</w:t>
            </w:r>
          </w:p>
        </w:tc>
      </w:tr>
      <w:tr>
        <w:tc>
          <w:tcPr>
            <w:tcBorders>
              <w:bottom w:val="nil"/>
            </w:tcBorders>
            <w:vMerge w:val="continue"/>
          </w:tcPr>
          <w:p/>
        </w:tc>
        <w:tc>
          <w:tcPr>
            <w:tcW w:w="6746" w:type="dxa"/>
          </w:tcPr>
          <w:p>
            <w:pPr>
              <w:pStyle w:val="0"/>
              <w:jc w:val="both"/>
            </w:pPr>
            <w:r>
              <w:rPr>
                <w:sz w:val="20"/>
              </w:rPr>
              <w:t xml:space="preserve">предоставление услуг ранней помощи детям и их родителям (законным представителям)</w:t>
            </w:r>
          </w:p>
        </w:tc>
      </w:tr>
      <w:tr>
        <w:tc>
          <w:tcPr>
            <w:tcBorders>
              <w:bottom w:val="nil"/>
            </w:tcBorders>
            <w:vMerge w:val="continue"/>
          </w:tcPr>
          <w:p/>
        </w:tc>
        <w:tc>
          <w:tcPr>
            <w:tcW w:w="6746" w:type="dxa"/>
          </w:tcPr>
          <w:p>
            <w:pPr>
              <w:pStyle w:val="0"/>
              <w:jc w:val="both"/>
            </w:pPr>
            <w:r>
              <w:rPr>
                <w:sz w:val="20"/>
              </w:rPr>
              <w:t xml:space="preserve">содействие занятости молодежи</w:t>
            </w:r>
          </w:p>
        </w:tc>
      </w:tr>
      <w:tr>
        <w:tc>
          <w:tcPr>
            <w:tcBorders>
              <w:bottom w:val="nil"/>
            </w:tcBorders>
            <w:vMerge w:val="continue"/>
          </w:tcPr>
          <w:p/>
        </w:tc>
        <w:tc>
          <w:tcPr>
            <w:tcW w:w="6746" w:type="dxa"/>
          </w:tcPr>
          <w:p>
            <w:pPr>
              <w:pStyle w:val="0"/>
              <w:jc w:val="both"/>
            </w:pPr>
            <w:r>
              <w:rPr>
                <w:sz w:val="20"/>
              </w:rPr>
              <w:t xml:space="preserve">стимулирование предпринимательской активности безработных граждан</w:t>
            </w:r>
          </w:p>
        </w:tc>
      </w:tr>
      <w:tr>
        <w:tc>
          <w:tcPr>
            <w:tcBorders>
              <w:bottom w:val="nil"/>
            </w:tcBorders>
            <w:vMerge w:val="continue"/>
          </w:tcPr>
          <w:p/>
        </w:tc>
        <w:tc>
          <w:tcPr>
            <w:tcW w:w="6746" w:type="dxa"/>
          </w:tcPr>
          <w:p>
            <w:pPr>
              <w:pStyle w:val="0"/>
              <w:jc w:val="both"/>
            </w:pPr>
            <w:r>
              <w:rPr>
                <w:sz w:val="20"/>
              </w:rPr>
              <w:t xml:space="preserve">содействие занятости граждан</w:t>
            </w:r>
          </w:p>
        </w:tc>
      </w:tr>
      <w:tr>
        <w:tc>
          <w:tcPr>
            <w:tcBorders>
              <w:bottom w:val="nil"/>
            </w:tcBorders>
            <w:vMerge w:val="continue"/>
          </w:tcPr>
          <w:p/>
        </w:tc>
        <w:tc>
          <w:tcPr>
            <w:tcW w:w="6746" w:type="dxa"/>
          </w:tcPr>
          <w:p>
            <w:pPr>
              <w:pStyle w:val="0"/>
              <w:jc w:val="both"/>
            </w:pPr>
            <w:r>
              <w:rPr>
                <w:sz w:val="20"/>
              </w:rPr>
              <w:t xml:space="preserve">повышение правовой грамотности населения по вопросам трудового законодательства, охраны труда, формирования культуры безопасного труда, развития наставничества и социального диалога в обществе</w:t>
            </w:r>
          </w:p>
        </w:tc>
      </w:tr>
      <w:tr>
        <w:tc>
          <w:tcPr>
            <w:tcBorders>
              <w:bottom w:val="nil"/>
            </w:tcBorders>
            <w:vMerge w:val="continue"/>
          </w:tcPr>
          <w:p/>
        </w:tc>
        <w:tc>
          <w:tcPr>
            <w:tcW w:w="6746" w:type="dxa"/>
          </w:tcPr>
          <w:p>
            <w:pPr>
              <w:pStyle w:val="0"/>
              <w:jc w:val="both"/>
            </w:pPr>
            <w:r>
              <w:rPr>
                <w:sz w:val="20"/>
              </w:rPr>
              <w:t xml:space="preserve">социализация людей старшего поколения через различные формы социальной активности</w:t>
            </w:r>
          </w:p>
        </w:tc>
      </w:tr>
      <w:tr>
        <w:tc>
          <w:tcPr>
            <w:tcBorders>
              <w:bottom w:val="nil"/>
            </w:tcBorders>
            <w:vMerge w:val="continue"/>
          </w:tcPr>
          <w:p/>
        </w:tc>
        <w:tc>
          <w:tcPr>
            <w:tcW w:w="6746" w:type="dxa"/>
          </w:tcPr>
          <w:p>
            <w:pPr>
              <w:pStyle w:val="0"/>
              <w:jc w:val="both"/>
            </w:pPr>
            <w:r>
              <w:rPr>
                <w:sz w:val="20"/>
              </w:rPr>
              <w:t xml:space="preserve">деятельность, направленная на приобретение людьми старшего поколения, навыков, соответствующих современному уровню технологического развития и социальным изменениям</w:t>
            </w:r>
          </w:p>
        </w:tc>
      </w:tr>
      <w:tr>
        <w:tblPrEx>
          <w:tblBorders>
            <w:insideH w:val="nil"/>
          </w:tblBorders>
        </w:tblPrEx>
        <w:tc>
          <w:tcPr>
            <w:tcBorders>
              <w:bottom w:val="nil"/>
            </w:tcBorders>
            <w:vMerge w:val="continue"/>
          </w:tcPr>
          <w:p/>
        </w:tc>
        <w:tc>
          <w:tcPr>
            <w:tcW w:w="6746" w:type="dxa"/>
            <w:tcBorders>
              <w:bottom w:val="nil"/>
            </w:tcBorders>
          </w:tcPr>
          <w:p>
            <w:pPr>
              <w:pStyle w:val="0"/>
              <w:jc w:val="both"/>
            </w:pPr>
            <w:r>
              <w:rPr>
                <w:sz w:val="20"/>
              </w:rPr>
              <w:t xml:space="preserve">содействие развитию добровольчества среди граждан старшего поколения</w:t>
            </w:r>
          </w:p>
        </w:tc>
      </w:tr>
      <w:tr>
        <w:tblPrEx>
          <w:tblBorders>
            <w:insideH w:val="nil"/>
          </w:tblBorders>
        </w:tblPrEx>
        <w:tc>
          <w:tcPr>
            <w:gridSpan w:val="2"/>
            <w:tcW w:w="9040" w:type="dxa"/>
            <w:tcBorders>
              <w:top w:val="nil"/>
            </w:tcBorders>
          </w:tcPr>
          <w:p>
            <w:pPr>
              <w:pStyle w:val="0"/>
              <w:jc w:val="both"/>
            </w:pPr>
            <w:r>
              <w:rPr>
                <w:sz w:val="20"/>
              </w:rPr>
              <w:t xml:space="preserve">(в ред. </w:t>
            </w:r>
            <w:hyperlink w:history="0" r:id="rId34"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rPr>
              <w:t xml:space="preserve"> Правительства Тюменской области от 03.02.2023 N 36-п)</w:t>
            </w:r>
          </w:p>
        </w:tc>
      </w:tr>
      <w:tr>
        <w:tc>
          <w:tcPr>
            <w:tcW w:w="2294" w:type="dxa"/>
            <w:vMerge w:val="restart"/>
          </w:tcPr>
          <w:p>
            <w:pPr>
              <w:pStyle w:val="0"/>
            </w:pPr>
            <w:r>
              <w:rPr>
                <w:sz w:val="20"/>
              </w:rPr>
              <w:t xml:space="preserve">охрана здоровья граждан, пропаганда здорового образа жизни</w:t>
            </w:r>
          </w:p>
        </w:tc>
        <w:tc>
          <w:tcPr>
            <w:tcW w:w="6746" w:type="dxa"/>
          </w:tcPr>
          <w:p>
            <w:pPr>
              <w:pStyle w:val="0"/>
              <w:jc w:val="both"/>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tcW w:w="6746" w:type="dxa"/>
          </w:tcPr>
          <w:p>
            <w:pPr>
              <w:pStyle w:val="0"/>
              <w:jc w:val="both"/>
            </w:pPr>
            <w:r>
              <w:rPr>
                <w:sz w:val="20"/>
              </w:rPr>
              <w:t xml:space="preserve">создание условий для занятий детей-инвалидов физической культурой и спортом</w:t>
            </w:r>
          </w:p>
        </w:tc>
      </w:tr>
      <w:tr>
        <w:tc>
          <w:tcPr>
            <w:vMerge w:val="continue"/>
          </w:tcPr>
          <w:p/>
        </w:tc>
        <w:tc>
          <w:tcPr>
            <w:tcW w:w="6746" w:type="dxa"/>
          </w:tcPr>
          <w:p>
            <w:pPr>
              <w:pStyle w:val="0"/>
              <w:jc w:val="both"/>
            </w:pPr>
            <w:r>
              <w:rPr>
                <w:sz w:val="20"/>
              </w:rPr>
              <w:t xml:space="preserve">профилактика курения, алкоголизма, наркомании и иных опасных для человека зависимостей</w:t>
            </w:r>
          </w:p>
        </w:tc>
      </w:tr>
      <w:tr>
        <w:tc>
          <w:tcPr>
            <w:vMerge w:val="continue"/>
          </w:tcPr>
          <w:p/>
        </w:tc>
        <w:tc>
          <w:tcPr>
            <w:tcW w:w="6746" w:type="dxa"/>
          </w:tcPr>
          <w:p>
            <w:pPr>
              <w:pStyle w:val="0"/>
              <w:jc w:val="both"/>
            </w:pPr>
            <w:r>
              <w:rPr>
                <w:sz w:val="20"/>
              </w:rPr>
              <w:t xml:space="preserve">реализация комплексных проектов по укреплению общественного здоровья</w:t>
            </w:r>
          </w:p>
        </w:tc>
      </w:tr>
      <w:tr>
        <w:tc>
          <w:tcPr>
            <w:vMerge w:val="continue"/>
          </w:tcPr>
          <w:p/>
        </w:tc>
        <w:tc>
          <w:tcPr>
            <w:tcW w:w="6746" w:type="dxa"/>
          </w:tcPr>
          <w:p>
            <w:pPr>
              <w:pStyle w:val="0"/>
              <w:jc w:val="both"/>
            </w:pPr>
            <w:r>
              <w:rPr>
                <w:sz w:val="20"/>
              </w:rPr>
              <w:t xml:space="preserve">повышение качества жизни людей, в том числе создание условий для повышения доступности получения медицинской помощи</w:t>
            </w:r>
          </w:p>
        </w:tc>
      </w:tr>
      <w:tr>
        <w:tc>
          <w:tcPr>
            <w:tcW w:w="2294" w:type="dxa"/>
            <w:vMerge w:val="restart"/>
          </w:tcPr>
          <w:p>
            <w:pPr>
              <w:pStyle w:val="0"/>
            </w:pPr>
            <w:r>
              <w:rPr>
                <w:sz w:val="20"/>
              </w:rPr>
              <w:t xml:space="preserve">поддержка проектов в области науки, образования, просвещения</w:t>
            </w:r>
          </w:p>
        </w:tc>
        <w:tc>
          <w:tcPr>
            <w:tcW w:w="6746" w:type="dxa"/>
          </w:tcPr>
          <w:p>
            <w:pPr>
              <w:pStyle w:val="0"/>
              <w:jc w:val="both"/>
            </w:pPr>
            <w:r>
              <w:rPr>
                <w:sz w:val="20"/>
              </w:rPr>
              <w:t xml:space="preserve">содействие и осуществление деятельности в области просвещения, дополнительного образования детей</w:t>
            </w:r>
          </w:p>
        </w:tc>
      </w:tr>
      <w:tr>
        <w:tc>
          <w:tcPr>
            <w:vMerge w:val="continue"/>
          </w:tcPr>
          <w:p/>
        </w:tc>
        <w:tc>
          <w:tcPr>
            <w:tcW w:w="6746" w:type="dxa"/>
          </w:tcPr>
          <w:p>
            <w:pPr>
              <w:pStyle w:val="0"/>
              <w:jc w:val="both"/>
            </w:pPr>
            <w:r>
              <w:rPr>
                <w:sz w:val="20"/>
              </w:rPr>
              <w:t xml:space="preserve">содействие образованию детей (обучающихся) с ограниченными возможностями здоровья</w:t>
            </w:r>
          </w:p>
        </w:tc>
      </w:tr>
      <w:tr>
        <w:tc>
          <w:tcPr>
            <w:vMerge w:val="continue"/>
          </w:tcPr>
          <w:p/>
        </w:tc>
        <w:tc>
          <w:tcPr>
            <w:tcW w:w="6746" w:type="dxa"/>
          </w:tcPr>
          <w:p>
            <w:pPr>
              <w:pStyle w:val="0"/>
              <w:jc w:val="both"/>
            </w:pPr>
            <w:r>
              <w:rPr>
                <w:sz w:val="20"/>
              </w:rPr>
              <w:t xml:space="preserve">продвижение эффективных практик организации школьного питания</w:t>
            </w:r>
          </w:p>
        </w:tc>
      </w:tr>
      <w:tr>
        <w:tc>
          <w:tcPr>
            <w:vMerge w:val="continue"/>
          </w:tcPr>
          <w:p/>
        </w:tc>
        <w:tc>
          <w:tcPr>
            <w:tcW w:w="6746" w:type="dxa"/>
          </w:tcPr>
          <w:p>
            <w:pPr>
              <w:pStyle w:val="0"/>
              <w:jc w:val="both"/>
            </w:pPr>
            <w:r>
              <w:rPr>
                <w:sz w:val="20"/>
              </w:rPr>
              <w:t xml:space="preserve">развитие сетевых способов реализации образовательных программ</w:t>
            </w:r>
          </w:p>
        </w:tc>
      </w:tr>
      <w:tr>
        <w:tc>
          <w:tcPr>
            <w:vMerge w:val="continue"/>
          </w:tcPr>
          <w:p/>
        </w:tc>
        <w:tc>
          <w:tcPr>
            <w:tcW w:w="6746" w:type="dxa"/>
          </w:tcPr>
          <w:p>
            <w:pPr>
              <w:pStyle w:val="0"/>
              <w:jc w:val="both"/>
            </w:pPr>
            <w:r>
              <w:rPr>
                <w:sz w:val="20"/>
              </w:rPr>
              <w:t xml:space="preserve">популяризация научной и технологической деятельности, социального и технологического предпринимательства</w:t>
            </w:r>
          </w:p>
        </w:tc>
      </w:tr>
      <w:tr>
        <w:tc>
          <w:tcPr>
            <w:vMerge w:val="continue"/>
          </w:tcPr>
          <w:p/>
        </w:tc>
        <w:tc>
          <w:tcPr>
            <w:tcW w:w="6746" w:type="dxa"/>
          </w:tcPr>
          <w:p>
            <w:pPr>
              <w:pStyle w:val="0"/>
              <w:jc w:val="both"/>
            </w:pPr>
            <w:r>
              <w:rPr>
                <w:sz w:val="20"/>
              </w:rPr>
              <w:t xml:space="preserve">разработка и реализация программ для повышения квалификации педагогических работников и управленческих кадров в сфере образования</w:t>
            </w:r>
          </w:p>
        </w:tc>
      </w:tr>
      <w:tr>
        <w:tc>
          <w:tcPr>
            <w:vMerge w:val="continue"/>
          </w:tcPr>
          <w:p/>
        </w:tc>
        <w:tc>
          <w:tcPr>
            <w:tcW w:w="6746" w:type="dxa"/>
          </w:tcPr>
          <w:p>
            <w:pPr>
              <w:pStyle w:val="0"/>
              <w:jc w:val="both"/>
            </w:pPr>
            <w:r>
              <w:rPr>
                <w:sz w:val="20"/>
              </w:rPr>
              <w:t xml:space="preserve">реализация проектов, направленных на повышение родительской компетентности в области обучения, воспитания и развития детей</w:t>
            </w:r>
          </w:p>
        </w:tc>
      </w:tr>
      <w:tr>
        <w:tc>
          <w:tcPr>
            <w:tcW w:w="2294" w:type="dxa"/>
            <w:vMerge w:val="restart"/>
          </w:tcPr>
          <w:p>
            <w:pPr>
              <w:pStyle w:val="0"/>
            </w:pPr>
            <w:r>
              <w:rPr>
                <w:sz w:val="20"/>
              </w:rPr>
              <w:t xml:space="preserve">поддержка проектов в области культуры и искусства</w:t>
            </w:r>
          </w:p>
        </w:tc>
        <w:tc>
          <w:tcPr>
            <w:tcW w:w="6746" w:type="dxa"/>
          </w:tcPr>
          <w:p>
            <w:pPr>
              <w:pStyle w:val="0"/>
              <w:jc w:val="both"/>
            </w:pPr>
            <w:r>
              <w:rPr>
                <w:sz w:val="20"/>
              </w:rPr>
              <w:t xml:space="preserve">популяризация культурного наследия России</w:t>
            </w:r>
          </w:p>
        </w:tc>
      </w:tr>
      <w:tr>
        <w:tc>
          <w:tcPr>
            <w:vMerge w:val="continue"/>
          </w:tcPr>
          <w:p/>
        </w:tc>
        <w:tc>
          <w:tcPr>
            <w:tcW w:w="6746" w:type="dxa"/>
          </w:tcPr>
          <w:p>
            <w:pPr>
              <w:pStyle w:val="0"/>
              <w:jc w:val="both"/>
            </w:pPr>
            <w:r>
              <w:rPr>
                <w:sz w:val="20"/>
              </w:rPr>
              <w:t xml:space="preserve">сохранение народных культурных традиций, включая народные промыслы и ремесла</w:t>
            </w:r>
          </w:p>
        </w:tc>
      </w:tr>
      <w:tr>
        <w:tc>
          <w:tcPr>
            <w:vMerge w:val="continue"/>
          </w:tcPr>
          <w:p/>
        </w:tc>
        <w:tc>
          <w:tcPr>
            <w:tcW w:w="6746" w:type="dxa"/>
          </w:tcPr>
          <w:p>
            <w:pPr>
              <w:pStyle w:val="0"/>
              <w:jc w:val="both"/>
            </w:pPr>
            <w:r>
              <w:rPr>
                <w:sz w:val="20"/>
              </w:rPr>
              <w:t xml:space="preserve">расширение роли организаций культуры, библиотек и музеев как центров развития местных сообществ</w:t>
            </w:r>
          </w:p>
        </w:tc>
      </w:tr>
      <w:tr>
        <w:tc>
          <w:tcPr>
            <w:vMerge w:val="continue"/>
          </w:tcPr>
          <w:p/>
        </w:tc>
        <w:tc>
          <w:tcPr>
            <w:tcW w:w="6746" w:type="dxa"/>
          </w:tcPr>
          <w:p>
            <w:pPr>
              <w:pStyle w:val="0"/>
              <w:jc w:val="both"/>
            </w:pPr>
            <w:r>
              <w:rPr>
                <w:sz w:val="20"/>
              </w:rPr>
              <w:t xml:space="preserve">развитие современных форм продвижения культуры и искусства</w:t>
            </w:r>
          </w:p>
        </w:tc>
      </w:tr>
      <w:tr>
        <w:tc>
          <w:tcPr>
            <w:vMerge w:val="continue"/>
          </w:tcPr>
          <w:p/>
        </w:tc>
        <w:tc>
          <w:tcPr>
            <w:tcW w:w="6746" w:type="dxa"/>
          </w:tcPr>
          <w:p>
            <w:pPr>
              <w:pStyle w:val="0"/>
              <w:jc w:val="both"/>
            </w:pPr>
            <w:r>
              <w:rPr>
                <w:sz w:val="20"/>
              </w:rPr>
              <w:t xml:space="preserve">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tc>
      </w:tr>
      <w:tr>
        <w:tc>
          <w:tcPr>
            <w:vMerge w:val="continue"/>
          </w:tcPr>
          <w:p/>
        </w:tc>
        <w:tc>
          <w:tcPr>
            <w:tcW w:w="6746" w:type="dxa"/>
          </w:tcPr>
          <w:p>
            <w:pPr>
              <w:pStyle w:val="0"/>
              <w:jc w:val="both"/>
            </w:pPr>
            <w:r>
              <w:rPr>
                <w:sz w:val="20"/>
              </w:rPr>
              <w:t xml:space="preserve">реабилитация людей с ограниченными возможностями здоровья средствами культуры и искусства</w:t>
            </w:r>
          </w:p>
        </w:tc>
      </w:tr>
      <w:tr>
        <w:tc>
          <w:tcPr>
            <w:vMerge w:val="continue"/>
          </w:tcPr>
          <w:p/>
        </w:tc>
        <w:tc>
          <w:tcPr>
            <w:tcW w:w="6746" w:type="dxa"/>
          </w:tcPr>
          <w:p>
            <w:pPr>
              <w:pStyle w:val="0"/>
              <w:jc w:val="both"/>
            </w:pPr>
            <w:r>
              <w:rPr>
                <w:sz w:val="20"/>
              </w:rPr>
              <w:t xml:space="preserve">создание условий для массового отдыха и содержательного досуга населения</w:t>
            </w:r>
          </w:p>
        </w:tc>
      </w:tr>
      <w:tr>
        <w:tc>
          <w:tcPr>
            <w:vMerge w:val="continue"/>
          </w:tcPr>
          <w:p/>
        </w:tc>
        <w:tc>
          <w:tcPr>
            <w:tcW w:w="6746" w:type="dxa"/>
          </w:tcPr>
          <w:p>
            <w:pPr>
              <w:pStyle w:val="0"/>
              <w:jc w:val="both"/>
            </w:pPr>
            <w:r>
              <w:rPr>
                <w:sz w:val="20"/>
              </w:rPr>
              <w:t xml:space="preserve">реализация проектов, направленных на создание и развитие творческих (креативных) индустрий</w:t>
            </w:r>
          </w:p>
        </w:tc>
      </w:tr>
      <w:tr>
        <w:tc>
          <w:tcPr>
            <w:vMerge w:val="continue"/>
          </w:tcPr>
          <w:p/>
        </w:tc>
        <w:tc>
          <w:tcPr>
            <w:tcW w:w="6746" w:type="dxa"/>
          </w:tcPr>
          <w:p>
            <w:pPr>
              <w:pStyle w:val="0"/>
              <w:jc w:val="both"/>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w:t>
            </w:r>
          </w:p>
        </w:tc>
      </w:tr>
      <w:tr>
        <w:tc>
          <w:tcPr>
            <w:vMerge w:val="continue"/>
          </w:tcPr>
          <w:p/>
        </w:tc>
        <w:tc>
          <w:tcPr>
            <w:tcW w:w="6746" w:type="dxa"/>
          </w:tcPr>
          <w:p>
            <w:pPr>
              <w:pStyle w:val="0"/>
              <w:jc w:val="both"/>
            </w:pPr>
            <w:r>
              <w:rPr>
                <w:sz w:val="20"/>
              </w:rPr>
              <w:t xml:space="preserve">популяризация русского языка и литературы, приобщение населения к чтению</w:t>
            </w:r>
          </w:p>
        </w:tc>
      </w:tr>
      <w:tr>
        <w:tc>
          <w:tcPr>
            <w:vMerge w:val="continue"/>
          </w:tcPr>
          <w:p/>
        </w:tc>
        <w:tc>
          <w:tcPr>
            <w:tcW w:w="6746" w:type="dxa"/>
          </w:tcPr>
          <w:p>
            <w:pPr>
              <w:pStyle w:val="0"/>
              <w:jc w:val="both"/>
            </w:pPr>
            <w:r>
              <w:rPr>
                <w:sz w:val="20"/>
              </w:rPr>
              <w:t xml:space="preserve">развитие и поддержка музыкального, театрального, хореографического, изобразительного и декоративно-прикладного искусства, фото- и киноискусства, создание условий для творческой самореализации населения</w:t>
            </w:r>
          </w:p>
        </w:tc>
      </w:tr>
      <w:tr>
        <w:tc>
          <w:tcPr>
            <w:vMerge w:val="continue"/>
          </w:tcPr>
          <w:p/>
        </w:tc>
        <w:tc>
          <w:tcPr>
            <w:tcW w:w="6746" w:type="dxa"/>
          </w:tcPr>
          <w:p>
            <w:pPr>
              <w:pStyle w:val="0"/>
              <w:jc w:val="both"/>
            </w:pPr>
            <w:r>
              <w:rPr>
                <w:sz w:val="20"/>
              </w:rPr>
              <w:t xml:space="preserve">реализация проектов, направленных на поддержку и развитие детского творчества, дополнительное образование детей в сфере культуры и искусства</w:t>
            </w:r>
          </w:p>
        </w:tc>
      </w:tr>
      <w:tr>
        <w:tc>
          <w:tcPr>
            <w:vMerge w:val="continue"/>
          </w:tcPr>
          <w:p/>
        </w:tc>
        <w:tc>
          <w:tcPr>
            <w:tcW w:w="6746" w:type="dxa"/>
          </w:tcPr>
          <w:p>
            <w:pPr>
              <w:pStyle w:val="0"/>
              <w:jc w:val="both"/>
            </w:pPr>
            <w:r>
              <w:rPr>
                <w:sz w:val="20"/>
              </w:rPr>
              <w:t xml:space="preserve">поддержка волонтерских (добровольческих) проектов в сфере культуры, создание условий для развития движения "волонтеры культуры"</w:t>
            </w:r>
          </w:p>
        </w:tc>
      </w:tr>
      <w:tr>
        <w:tc>
          <w:tcPr>
            <w:tcW w:w="2294" w:type="dxa"/>
            <w:vMerge w:val="restart"/>
          </w:tcPr>
          <w:p>
            <w:pPr>
              <w:pStyle w:val="0"/>
            </w:pPr>
            <w:r>
              <w:rPr>
                <w:sz w:val="20"/>
              </w:rPr>
              <w:t xml:space="preserve">развитие институтов гражданского общества</w:t>
            </w:r>
          </w:p>
        </w:tc>
        <w:tc>
          <w:tcPr>
            <w:tcW w:w="6746" w:type="dxa"/>
          </w:tcPr>
          <w:p>
            <w:pPr>
              <w:pStyle w:val="0"/>
              <w:jc w:val="both"/>
            </w:pPr>
            <w:r>
              <w:rPr>
                <w:sz w:val="20"/>
              </w:rPr>
              <w:t xml:space="preserve">информационная, консультационная и методическая поддержка деятельности ветеранских некоммерческих организаций Тюменской области</w:t>
            </w:r>
          </w:p>
        </w:tc>
      </w:tr>
      <w:tr>
        <w:tc>
          <w:tcPr>
            <w:vMerge w:val="continue"/>
          </w:tcPr>
          <w:p/>
        </w:tc>
        <w:tc>
          <w:tcPr>
            <w:tcW w:w="6746" w:type="dxa"/>
          </w:tcPr>
          <w:p>
            <w:pPr>
              <w:pStyle w:val="0"/>
              <w:jc w:val="both"/>
            </w:pPr>
            <w:r>
              <w:rPr>
                <w:sz w:val="20"/>
              </w:rPr>
              <w:t xml:space="preserve">обеспечение онлайн-доступности информации о поддержке социально ориентированных некоммерческих организаций в Тюменской области в социальных сетях и (или) мессенджерах, в том числе с использованием чат-бота, рассказывающего о грантовых конкурсах, обучающих мероприятиях для СОНКО, проводимых на региональном и федеральном уровне.</w:t>
            </w:r>
          </w:p>
        </w:tc>
      </w:tr>
      <w:tr>
        <w:tc>
          <w:tcPr>
            <w:vMerge w:val="continue"/>
          </w:tcPr>
          <w:p/>
        </w:tc>
        <w:tc>
          <w:tcPr>
            <w:tcW w:w="6746" w:type="dxa"/>
          </w:tcPr>
          <w:p>
            <w:pPr>
              <w:pStyle w:val="0"/>
              <w:jc w:val="both"/>
            </w:pPr>
            <w:r>
              <w:rPr>
                <w:sz w:val="20"/>
              </w:rPr>
              <w:t xml:space="preserve">создание инфраструктуры поддержки социально ориентированных некоммерческих организаций, обеспечивающей разработку веб-сайтов для социально ориентированных некоммерческих организаций, оказывающих услуги в социальной сфере, для обеспечения их открытости и доступности для граждан</w:t>
            </w:r>
          </w:p>
        </w:tc>
      </w:tr>
      <w:tr>
        <w:tc>
          <w:tcPr>
            <w:vMerge w:val="continue"/>
          </w:tcPr>
          <w:p/>
        </w:tc>
        <w:tc>
          <w:tcPr>
            <w:tcW w:w="6746" w:type="dxa"/>
          </w:tcPr>
          <w:p>
            <w:pPr>
              <w:pStyle w:val="0"/>
              <w:jc w:val="both"/>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tcW w:w="6746" w:type="dxa"/>
          </w:tcPr>
          <w:p>
            <w:pPr>
              <w:pStyle w:val="0"/>
              <w:jc w:val="both"/>
            </w:pPr>
            <w:r>
              <w:rPr>
                <w:sz w:val="20"/>
              </w:rPr>
              <w:t xml:space="preserve">развитие гуманитарного сотрудничества с институтами гражданского общества регионов, которые вошли в состав Российской Федерации 30 сентября 2022 года, и (или) дружественными Российской Федерации странами</w:t>
            </w:r>
          </w:p>
        </w:tc>
      </w:tr>
      <w:tr>
        <w:tc>
          <w:tcPr>
            <w:tcW w:w="2294" w:type="dxa"/>
            <w:vMerge w:val="restart"/>
          </w:tcPr>
          <w:p>
            <w:pPr>
              <w:pStyle w:val="0"/>
            </w:pPr>
            <w:r>
              <w:rPr>
                <w:sz w:val="20"/>
              </w:rPr>
              <w:t xml:space="preserve">поддержка молодежных проектов</w:t>
            </w:r>
          </w:p>
        </w:tc>
        <w:tc>
          <w:tcPr>
            <w:tcW w:w="6746" w:type="dxa"/>
          </w:tcPr>
          <w:p>
            <w:pPr>
              <w:pStyle w:val="0"/>
              <w:jc w:val="both"/>
            </w:pPr>
            <w:r>
              <w:rPr>
                <w:sz w:val="20"/>
              </w:rPr>
              <w:t xml:space="preserve">развитие надпрофессиональных компетенций, построение карьерного трека, реализация профориентационных проектов</w:t>
            </w:r>
          </w:p>
        </w:tc>
      </w:tr>
      <w:tr>
        <w:tc>
          <w:tcPr>
            <w:vMerge w:val="continue"/>
          </w:tcPr>
          <w:p/>
        </w:tc>
        <w:tc>
          <w:tcPr>
            <w:tcW w:w="6746" w:type="dxa"/>
          </w:tcPr>
          <w:p>
            <w:pPr>
              <w:pStyle w:val="0"/>
              <w:jc w:val="both"/>
            </w:pPr>
            <w:r>
              <w:rPr>
                <w:sz w:val="20"/>
              </w:rPr>
              <w:t xml:space="preserve">проведение фестивалей, лабораторий, форумов, обучающих проектов и др. форматов, в том числе в области креативных индустрий (по направлениям: дизайн, мода, арт, музыка и саунд-дизайн, архитектура, "новые медиа", мультимедиа технологии, кино, театр, игры, экстрим-культура)</w:t>
            </w:r>
          </w:p>
        </w:tc>
      </w:tr>
      <w:tr>
        <w:tc>
          <w:tcPr>
            <w:vMerge w:val="continue"/>
          </w:tcPr>
          <w:p/>
        </w:tc>
        <w:tc>
          <w:tcPr>
            <w:tcW w:w="6746" w:type="dxa"/>
          </w:tcPr>
          <w:p>
            <w:pPr>
              <w:pStyle w:val="0"/>
              <w:jc w:val="both"/>
            </w:pPr>
            <w:r>
              <w:rPr>
                <w:sz w:val="20"/>
              </w:rPr>
              <w:t xml:space="preserve">развитие городской среды (в том числе арт-проекты в городе, вовлечение молодежи в соучастное проектирование, обучающие урбанистические проекты, экологические практики)</w:t>
            </w:r>
          </w:p>
        </w:tc>
      </w:tr>
      <w:tr>
        <w:tc>
          <w:tcPr>
            <w:vMerge w:val="continue"/>
          </w:tcPr>
          <w:p/>
        </w:tc>
        <w:tc>
          <w:tcPr>
            <w:tcW w:w="6746" w:type="dxa"/>
          </w:tcPr>
          <w:p>
            <w:pPr>
              <w:pStyle w:val="0"/>
              <w:jc w:val="both"/>
            </w:pPr>
            <w:r>
              <w:rPr>
                <w:sz w:val="20"/>
              </w:rPr>
              <w:t xml:space="preserve">реализация событийных и досуговых мероприятий для молодых семей (семейное творчество, курсы молодых родителей, создание родительских сообществ)</w:t>
            </w:r>
          </w:p>
        </w:tc>
      </w:tr>
      <w:tr>
        <w:tc>
          <w:tcPr>
            <w:vMerge w:val="continue"/>
          </w:tcPr>
          <w:p/>
        </w:tc>
        <w:tc>
          <w:tcPr>
            <w:tcW w:w="6746" w:type="dxa"/>
          </w:tcPr>
          <w:p>
            <w:pPr>
              <w:pStyle w:val="0"/>
              <w:jc w:val="both"/>
            </w:pPr>
            <w:r>
              <w:rPr>
                <w:sz w:val="20"/>
              </w:rPr>
              <w:t xml:space="preserve">создание медиапродуктов, направленных на профилактику негативных явлений в молодежной среде (в том числе фотопроекты, документальные фильмы, видеоролики, комиксы, контент для социальных сетей)</w:t>
            </w:r>
          </w:p>
        </w:tc>
      </w:tr>
      <w:tr>
        <w:tc>
          <w:tcPr>
            <w:vMerge w:val="continue"/>
          </w:tcPr>
          <w:p/>
        </w:tc>
        <w:tc>
          <w:tcPr>
            <w:tcW w:w="6746" w:type="dxa"/>
          </w:tcPr>
          <w:p>
            <w:pPr>
              <w:pStyle w:val="0"/>
              <w:jc w:val="both"/>
            </w:pPr>
            <w:r>
              <w:rPr>
                <w:sz w:val="20"/>
              </w:rPr>
              <w:t xml:space="preserve">создание творческих продуктов на социальные тематики (в том числе социальный театр, театр горожан, тематические интерактивные выставки)</w:t>
            </w:r>
          </w:p>
        </w:tc>
      </w:tr>
      <w:tr>
        <w:tc>
          <w:tcPr>
            <w:vMerge w:val="continue"/>
          </w:tcPr>
          <w:p/>
        </w:tc>
        <w:tc>
          <w:tcPr>
            <w:tcW w:w="6746" w:type="dxa"/>
          </w:tcPr>
          <w:p>
            <w:pPr>
              <w:pStyle w:val="0"/>
              <w:jc w:val="both"/>
            </w:pPr>
            <w:r>
              <w:rPr>
                <w:sz w:val="20"/>
              </w:rPr>
              <w:t xml:space="preserve">реализация проектов с вовлечением студенческих сообществ</w:t>
            </w:r>
          </w:p>
        </w:tc>
      </w:tr>
      <w:tr>
        <w:tc>
          <w:tcPr>
            <w:tcW w:w="2294" w:type="dxa"/>
            <w:vMerge w:val="restart"/>
          </w:tcPr>
          <w:p>
            <w:pPr>
              <w:pStyle w:val="0"/>
            </w:pPr>
            <w:r>
              <w:rPr>
                <w:sz w:val="20"/>
              </w:rPr>
              <w:t xml:space="preserve">Сохранение исторической памяти</w:t>
            </w:r>
          </w:p>
        </w:tc>
        <w:tc>
          <w:tcPr>
            <w:tcW w:w="6746" w:type="dxa"/>
          </w:tcPr>
          <w:p>
            <w:pPr>
              <w:pStyle w:val="0"/>
              <w:jc w:val="both"/>
            </w:pPr>
            <w:r>
              <w:rPr>
                <w:sz w:val="20"/>
              </w:rPr>
              <w:t xml:space="preserve">организация краеведческой работы, общественных исторических выставок и экспозиций, проектов по исторической реконструкции</w:t>
            </w:r>
          </w:p>
        </w:tc>
      </w:tr>
      <w:tr>
        <w:tc>
          <w:tcPr>
            <w:vMerge w:val="continue"/>
          </w:tcPr>
          <w:p/>
        </w:tc>
        <w:tc>
          <w:tcPr>
            <w:tcW w:w="6746" w:type="dxa"/>
          </w:tcPr>
          <w:p>
            <w:pPr>
              <w:pStyle w:val="0"/>
              <w:jc w:val="both"/>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tcW w:w="6746" w:type="dxa"/>
          </w:tcPr>
          <w:p>
            <w:pPr>
              <w:pStyle w:val="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vMerge w:val="continue"/>
          </w:tcPr>
          <w:p/>
        </w:tc>
        <w:tc>
          <w:tcPr>
            <w:tcW w:w="6746" w:type="dxa"/>
          </w:tcPr>
          <w:p>
            <w:pPr>
              <w:pStyle w:val="0"/>
              <w:jc w:val="both"/>
            </w:pPr>
            <w:r>
              <w:rPr>
                <w:sz w:val="20"/>
              </w:rPr>
              <w:t xml:space="preserve">увековечение памяти выдающихся людей и значимых событий прошлого</w:t>
            </w:r>
          </w:p>
        </w:tc>
      </w:tr>
      <w:tr>
        <w:tc>
          <w:tcPr>
            <w:vMerge w:val="continue"/>
          </w:tcPr>
          <w:p/>
        </w:tc>
        <w:tc>
          <w:tcPr>
            <w:tcW w:w="6746" w:type="dxa"/>
          </w:tcPr>
          <w:p>
            <w:pPr>
              <w:pStyle w:val="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tcW w:w="6746" w:type="dxa"/>
          </w:tcPr>
          <w:p>
            <w:pPr>
              <w:pStyle w:val="0"/>
              <w:jc w:val="both"/>
            </w:pPr>
            <w:r>
              <w:rPr>
                <w:sz w:val="20"/>
              </w:rPr>
              <w:t xml:space="preserve">поддержка и сопровождение участников боевых действий и их семей</w:t>
            </w:r>
          </w:p>
        </w:tc>
      </w:tr>
      <w:tr>
        <w:tc>
          <w:tcPr>
            <w:vMerge w:val="continue"/>
          </w:tcPr>
          <w:p/>
        </w:tc>
        <w:tc>
          <w:tcPr>
            <w:tcW w:w="6746" w:type="dxa"/>
          </w:tcPr>
          <w:p>
            <w:pPr>
              <w:pStyle w:val="0"/>
              <w:jc w:val="both"/>
            </w:pPr>
            <w:r>
              <w:rPr>
                <w:sz w:val="20"/>
              </w:rPr>
              <w:t xml:space="preserve">организация на пространстве стран СНГ совместной военно-мемориальной и (или) поисковой деятельности некоммерческих организаций и объединений; диалога между некоммерческими организациями о сохранении исторической памяти о героических подвигах многонационального советского народа в Победе над фашизмом в Великой Отечественной войне 1941 - 1945 годов</w:t>
            </w:r>
          </w:p>
        </w:tc>
      </w:tr>
      <w:tr>
        <w:tc>
          <w:tcPr>
            <w:vMerge w:val="continue"/>
          </w:tcPr>
          <w:p/>
        </w:tc>
        <w:tc>
          <w:tcPr>
            <w:tcW w:w="6746" w:type="dxa"/>
          </w:tcPr>
          <w:p>
            <w:pPr>
              <w:pStyle w:val="0"/>
              <w:jc w:val="both"/>
            </w:pPr>
            <w:r>
              <w:rPr>
                <w:sz w:val="20"/>
              </w:rPr>
              <w:t xml:space="preserve">организация совместных проектов, направленных на сохранение исторической памяти, с институтами гражданского общества регионов, которые вошли в состав Российской Федерации 30 сентября 2022 года</w:t>
            </w:r>
          </w:p>
        </w:tc>
      </w:tr>
      <w:tr>
        <w:tc>
          <w:tcPr>
            <w:tcW w:w="2294" w:type="dxa"/>
            <w:vMerge w:val="restart"/>
          </w:tcPr>
          <w:p>
            <w:pPr>
              <w:pStyle w:val="0"/>
            </w:pPr>
            <w:r>
              <w:rPr>
                <w:sz w:val="20"/>
              </w:rPr>
              <w:t xml:space="preserve">Охрана окружающей среды и защита животных</w:t>
            </w:r>
          </w:p>
        </w:tc>
        <w:tc>
          <w:tcPr>
            <w:tcW w:w="6746" w:type="dxa"/>
          </w:tcPr>
          <w:p>
            <w:pPr>
              <w:pStyle w:val="0"/>
              <w:jc w:val="both"/>
            </w:pPr>
            <w:r>
              <w:rPr>
                <w:sz w:val="20"/>
              </w:rPr>
              <w:t xml:space="preserve">деятельность в области защиты животных</w:t>
            </w:r>
          </w:p>
        </w:tc>
      </w:tr>
      <w:tr>
        <w:tc>
          <w:tcPr>
            <w:vMerge w:val="continue"/>
          </w:tcPr>
          <w:p/>
        </w:tc>
        <w:tc>
          <w:tcPr>
            <w:tcW w:w="6746" w:type="dxa"/>
          </w:tcPr>
          <w:p>
            <w:pPr>
              <w:pStyle w:val="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tcW w:w="2294" w:type="dxa"/>
            <w:vMerge w:val="restart"/>
          </w:tcPr>
          <w:p>
            <w:pPr>
              <w:pStyle w:val="0"/>
            </w:pPr>
            <w:r>
              <w:rPr>
                <w:sz w:val="20"/>
              </w:rPr>
              <w:t xml:space="preserve">Поддержка семьи, материнства, отцовства и детства</w:t>
            </w:r>
          </w:p>
        </w:tc>
        <w:tc>
          <w:tcPr>
            <w:tcW w:w="6746" w:type="dxa"/>
          </w:tcPr>
          <w:p>
            <w:pPr>
              <w:pStyle w:val="0"/>
              <w:jc w:val="both"/>
            </w:pPr>
            <w:r>
              <w:rPr>
                <w:sz w:val="20"/>
              </w:rPr>
              <w:t xml:space="preserve">укрепление института семьи и семейных ценностей</w:t>
            </w:r>
          </w:p>
        </w:tc>
      </w:tr>
      <w:tr>
        <w:tc>
          <w:tcPr>
            <w:vMerge w:val="continue"/>
          </w:tcPr>
          <w:p/>
        </w:tc>
        <w:tc>
          <w:tcPr>
            <w:tcW w:w="6746"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tcW w:w="6746" w:type="dxa"/>
          </w:tcPr>
          <w:p>
            <w:pPr>
              <w:pStyle w:val="0"/>
              <w:jc w:val="both"/>
            </w:pPr>
            <w:r>
              <w:rPr>
                <w:sz w:val="20"/>
              </w:rPr>
              <w:t xml:space="preserve">профилактика домашнего насилия, жестокого обращения с детьми</w:t>
            </w:r>
          </w:p>
        </w:tc>
      </w:tr>
      <w:tr>
        <w:tc>
          <w:tcPr>
            <w:vMerge w:val="continue"/>
          </w:tcPr>
          <w:p/>
        </w:tc>
        <w:tc>
          <w:tcPr>
            <w:tcW w:w="6746" w:type="dxa"/>
          </w:tcPr>
          <w:p>
            <w:pPr>
              <w:pStyle w:val="0"/>
              <w:jc w:val="both"/>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tcW w:w="2294" w:type="dxa"/>
            <w:vMerge w:val="restart"/>
          </w:tcPr>
          <w:p>
            <w:pPr>
              <w:pStyle w:val="0"/>
            </w:pPr>
            <w:r>
              <w:rPr>
                <w:sz w:val="20"/>
              </w:rPr>
              <w:t xml:space="preserve">Укрепление межнационального и межрелигиозного согласия</w:t>
            </w:r>
          </w:p>
        </w:tc>
        <w:tc>
          <w:tcPr>
            <w:tcW w:w="6746" w:type="dxa"/>
          </w:tcPr>
          <w:p>
            <w:pPr>
              <w:pStyle w:val="0"/>
              <w:jc w:val="both"/>
            </w:pPr>
            <w:r>
              <w:rPr>
                <w:sz w:val="20"/>
              </w:rPr>
              <w:t xml:space="preserve">расширение практик посредничества, медиации и примирения в конфликтах разных групп в местных сообществах</w:t>
            </w:r>
          </w:p>
        </w:tc>
      </w:tr>
      <w:tr>
        <w:tc>
          <w:tcPr>
            <w:vMerge w:val="continue"/>
          </w:tcPr>
          <w:p/>
        </w:tc>
        <w:tc>
          <w:tcPr>
            <w:tcW w:w="6746" w:type="dxa"/>
          </w:tcPr>
          <w:p>
            <w:pPr>
              <w:pStyle w:val="0"/>
              <w:jc w:val="both"/>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tcW w:w="6746" w:type="dxa"/>
          </w:tcPr>
          <w:p>
            <w:pPr>
              <w:pStyle w:val="0"/>
              <w:jc w:val="both"/>
            </w:pPr>
            <w:r>
              <w:rPr>
                <w:sz w:val="20"/>
              </w:rPr>
              <w:t xml:space="preserve">укрепление дружбы между народами Российской Федерации</w:t>
            </w:r>
          </w:p>
        </w:tc>
      </w:tr>
      <w:tr>
        <w:tc>
          <w:tcPr>
            <w:vMerge w:val="continue"/>
          </w:tcPr>
          <w:p/>
        </w:tc>
        <w:tc>
          <w:tcPr>
            <w:tcW w:w="6746" w:type="dxa"/>
          </w:tcPr>
          <w:p>
            <w:pPr>
              <w:pStyle w:val="0"/>
              <w:jc w:val="both"/>
            </w:pPr>
            <w:r>
              <w:rPr>
                <w:sz w:val="20"/>
              </w:rPr>
              <w:t xml:space="preserve">социальная и культурная адаптация иностранных граждан и их интеграция в российское общество</w:t>
            </w:r>
          </w:p>
        </w:tc>
      </w:tr>
      <w:tr>
        <w:tc>
          <w:tcPr>
            <w:tcW w:w="2294" w:type="dxa"/>
            <w:vMerge w:val="restart"/>
          </w:tcPr>
          <w:p>
            <w:pPr>
              <w:pStyle w:val="0"/>
            </w:pPr>
            <w:r>
              <w:rPr>
                <w:sz w:val="20"/>
              </w:rPr>
              <w:t xml:space="preserve">Развитие общественной дипломатии и поддержка соотечественников</w:t>
            </w:r>
          </w:p>
        </w:tc>
        <w:tc>
          <w:tcPr>
            <w:tcW w:w="6746" w:type="dxa"/>
          </w:tcPr>
          <w:p>
            <w:pPr>
              <w:pStyle w:val="0"/>
              <w:jc w:val="both"/>
            </w:pPr>
            <w:r>
              <w:rPr>
                <w:sz w:val="20"/>
              </w:rPr>
              <w:t xml:space="preserve">оказание на Донбассе и освобождаемых территориях помощи населению (вне зависимости от гражданства и правового статуса), в том числе содействие в получении необходимой социальной, медицинской, психологической, педагогической, юридической помощи, организация (поддержка) в этих целях благотворительной и добровольческой (волонтерской) деятельности, развитие сектора некоммерческих организаций</w:t>
            </w:r>
          </w:p>
        </w:tc>
      </w:tr>
      <w:tr>
        <w:tc>
          <w:tcPr>
            <w:vMerge w:val="continue"/>
          </w:tcPr>
          <w:p/>
        </w:tc>
        <w:tc>
          <w:tcPr>
            <w:tcW w:w="6746" w:type="dxa"/>
          </w:tcPr>
          <w:p>
            <w:pPr>
              <w:pStyle w:val="0"/>
              <w:jc w:val="both"/>
            </w:pPr>
            <w:r>
              <w:rPr>
                <w:sz w:val="20"/>
              </w:rPr>
              <w:t xml:space="preserve">продвижение успешных социальных технологий и проектов российских некоммерческих организаций на международных площадках</w:t>
            </w:r>
          </w:p>
        </w:tc>
      </w:tr>
      <w:tr>
        <w:tc>
          <w:tcPr>
            <w:vMerge w:val="continue"/>
          </w:tcPr>
          <w:p/>
        </w:tc>
        <w:tc>
          <w:tcPr>
            <w:tcW w:w="6746" w:type="dxa"/>
          </w:tcPr>
          <w:p>
            <w:pPr>
              <w:pStyle w:val="0"/>
              <w:jc w:val="both"/>
            </w:pPr>
            <w:r>
              <w:rPr>
                <w:sz w:val="20"/>
              </w:rPr>
              <w:t xml:space="preserve">развитие межрегиональных побратимских связей как инструмента развития общественной дипломатии</w:t>
            </w:r>
          </w:p>
        </w:tc>
      </w:tr>
    </w:tbl>
    <w:p>
      <w:pPr>
        <w:pStyle w:val="0"/>
        <w:jc w:val="both"/>
      </w:pPr>
      <w:r>
        <w:rPr>
          <w:sz w:val="20"/>
        </w:rPr>
      </w:r>
    </w:p>
    <w:bookmarkStart w:id="192" w:name="P192"/>
    <w:bookmarkEnd w:id="192"/>
    <w:p>
      <w:pPr>
        <w:pStyle w:val="0"/>
        <w:ind w:firstLine="540"/>
        <w:jc w:val="both"/>
      </w:pPr>
      <w:r>
        <w:rPr>
          <w:sz w:val="20"/>
        </w:rPr>
        <w:t xml:space="preserve">11. Участник конкурса должен одновременно соответствовать следующим требованиям на день подачи заявки:</w:t>
      </w:r>
    </w:p>
    <w:p>
      <w:pPr>
        <w:pStyle w:val="0"/>
        <w:spacing w:before="200" w:line-rule="auto"/>
        <w:ind w:firstLine="540"/>
        <w:jc w:val="both"/>
      </w:pPr>
      <w:r>
        <w:rPr>
          <w:sz w:val="20"/>
        </w:rPr>
        <w:t xml:space="preserve">11.1.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2022 году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11.2. У участника конкурса отсутствует просроченная задолженность по возврату в областной бюджет субсидий, бюджетных инвестиций, предоставленных в том числе с иными правовыми актами, и иной просроченной (неурегулированной) задолженности перед Тюменской областью.</w:t>
      </w:r>
    </w:p>
    <w:p>
      <w:pPr>
        <w:pStyle w:val="0"/>
        <w:spacing w:before="200" w:line-rule="auto"/>
        <w:ind w:firstLine="540"/>
        <w:jc w:val="both"/>
      </w:pPr>
      <w:r>
        <w:rPr>
          <w:sz w:val="20"/>
        </w:rPr>
        <w:t xml:space="preserve">11.3. Участник конкурса не находится в процессе реорганизации (за исключением реорганизации в форме присоединения к другой некоммерческой организации),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11.4.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11.5.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11.5 в ред. </w:t>
      </w:r>
      <w:hyperlink w:history="0" r:id="rId35"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rPr>
        <w:t xml:space="preserve"> Правительства Тюменской области от 03.02.2023 N 36-п)</w:t>
      </w:r>
    </w:p>
    <w:p>
      <w:pPr>
        <w:pStyle w:val="0"/>
        <w:spacing w:before="200" w:line-rule="auto"/>
        <w:ind w:firstLine="540"/>
        <w:jc w:val="both"/>
      </w:pPr>
      <w:r>
        <w:rPr>
          <w:sz w:val="20"/>
        </w:rPr>
        <w:t xml:space="preserve">11.6. Участник конкурса не получает средств из областного бюджета на реализацию проекта, который включен в состав заявки на конкурс, на основании иных нормативных правовых актов Тюменской области на цели, установленные в </w:t>
      </w:r>
      <w:hyperlink w:history="0" w:anchor="P55" w:tooltip="3. Грант предоставляется на финансовое обеспечение социально значимых проектов в целях реализации государственных программ Тюменской области:">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11.7. У участника конкурса отсутствует факт нецелевого использования предоставленной ранее Уполномоченным органом субсидии и (или) гранта и непредставления участником конкурса в уполномоченный орган отчетности об осуществлении расходов, источником финансового обеспечения которых является субсидия и (или) грант и о достижении значений результатов предоставления субсидии и (или) гранта и характеристик результатов предоставления субсидии и (или) гранта и (или) иной отчетности в течение одного последнего отчетного периода.</w:t>
      </w:r>
    </w:p>
    <w:p>
      <w:pPr>
        <w:pStyle w:val="0"/>
        <w:spacing w:before="200" w:line-rule="auto"/>
        <w:ind w:firstLine="540"/>
        <w:jc w:val="both"/>
      </w:pPr>
      <w:r>
        <w:rPr>
          <w:sz w:val="20"/>
        </w:rPr>
        <w:t xml:space="preserve">11.8. В 2022 году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12. Заявки на конкурс (далее - заявка) подаются через личный кабинет на официальном сайте конкурса в форме электронных документов посредством заполнения соответствующих электронных форм, размещенных на официальном сайте конкурса, в сроки, указанные в объявлении о проведении конкурса.</w:t>
      </w:r>
    </w:p>
    <w:bookmarkStart w:id="204" w:name="P204"/>
    <w:bookmarkEnd w:id="204"/>
    <w:p>
      <w:pPr>
        <w:pStyle w:val="0"/>
        <w:spacing w:before="200" w:line-rule="auto"/>
        <w:ind w:firstLine="540"/>
        <w:jc w:val="both"/>
      </w:pPr>
      <w:r>
        <w:rPr>
          <w:sz w:val="20"/>
        </w:rPr>
        <w:t xml:space="preserve">13. Заявка на конкурс содержит следующую информацию:</w:t>
      </w:r>
    </w:p>
    <w:p>
      <w:pPr>
        <w:pStyle w:val="0"/>
        <w:spacing w:before="200" w:line-rule="auto"/>
        <w:ind w:firstLine="540"/>
        <w:jc w:val="both"/>
      </w:pPr>
      <w:r>
        <w:rPr>
          <w:sz w:val="20"/>
        </w:rPr>
        <w:t xml:space="preserve">13.1. Информацию об участнике конкурса:</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 ссылки на сайт и (или) аккаунты (группы) в социальных сетях (при наличии), имеющиеся в распоряжении материально-технические ресурсы (при наличии).</w:t>
      </w:r>
    </w:p>
    <w:p>
      <w:pPr>
        <w:pStyle w:val="0"/>
        <w:spacing w:before="200" w:line-rule="auto"/>
        <w:ind w:firstLine="540"/>
        <w:jc w:val="both"/>
      </w:pPr>
      <w:r>
        <w:rPr>
          <w:sz w:val="20"/>
        </w:rPr>
        <w:t xml:space="preserve">13.2. Информацию о проекте в рамках грантовых направлений, указанных в </w:t>
      </w:r>
      <w:hyperlink w:history="0" w:anchor="P101" w:tooltip="10. На конкурс принимаются проекты по следующим грантовым направлениям:">
        <w:r>
          <w:rPr>
            <w:sz w:val="20"/>
            <w:color w:val="0000ff"/>
          </w:rPr>
          <w:t xml:space="preserve">пункте 10</w:t>
        </w:r>
      </w:hyperlink>
      <w:r>
        <w:rPr>
          <w:sz w:val="20"/>
        </w:rPr>
        <w:t xml:space="preserve"> настоящего Положения:</w:t>
      </w:r>
    </w:p>
    <w:p>
      <w:pPr>
        <w:pStyle w:val="0"/>
        <w:spacing w:before="200" w:line-rule="auto"/>
        <w:ind w:firstLine="540"/>
        <w:jc w:val="both"/>
      </w:pPr>
      <w:r>
        <w:rPr>
          <w:sz w:val="20"/>
        </w:rPr>
        <w:t xml:space="preserve">грантовое направление проекта, тематика проекта, название проекта, на реализацию которого запрашивается грант;</w:t>
      </w:r>
    </w:p>
    <w:p>
      <w:pPr>
        <w:pStyle w:val="0"/>
        <w:spacing w:before="200" w:line-rule="auto"/>
        <w:ind w:firstLine="540"/>
        <w:jc w:val="both"/>
      </w:pPr>
      <w:r>
        <w:rPr>
          <w:sz w:val="20"/>
        </w:rPr>
        <w:t xml:space="preserve">описание проекта;</w:t>
      </w:r>
    </w:p>
    <w:p>
      <w:pPr>
        <w:pStyle w:val="0"/>
        <w:spacing w:before="200" w:line-rule="auto"/>
        <w:ind w:firstLine="540"/>
        <w:jc w:val="both"/>
      </w:pPr>
      <w:r>
        <w:rPr>
          <w:sz w:val="20"/>
        </w:rPr>
        <w:t xml:space="preserve">география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характеристики, необходимые для достижения результата проекта;</w:t>
      </w:r>
    </w:p>
    <w:p>
      <w:pPr>
        <w:pStyle w:val="0"/>
        <w:spacing w:before="200" w:line-rule="auto"/>
        <w:ind w:firstLine="540"/>
        <w:jc w:val="both"/>
      </w:pPr>
      <w:r>
        <w:rPr>
          <w:sz w:val="20"/>
        </w:rPr>
        <w:t xml:space="preserve">партнеры проекта (при наличии подтверждающих писем);</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запрашиваемая сумма гранта;</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информация о руководителе проекта;</w:t>
      </w:r>
    </w:p>
    <w:p>
      <w:pPr>
        <w:pStyle w:val="0"/>
        <w:spacing w:before="200" w:line-rule="auto"/>
        <w:ind w:firstLine="540"/>
        <w:jc w:val="both"/>
      </w:pPr>
      <w:r>
        <w:rPr>
          <w:sz w:val="20"/>
        </w:rPr>
        <w:t xml:space="preserve">информация о команде проекта.</w:t>
      </w:r>
    </w:p>
    <w:p>
      <w:pPr>
        <w:pStyle w:val="0"/>
        <w:spacing w:before="200" w:line-rule="auto"/>
        <w:ind w:firstLine="540"/>
        <w:jc w:val="both"/>
      </w:pPr>
      <w:r>
        <w:rPr>
          <w:sz w:val="20"/>
        </w:rPr>
        <w:t xml:space="preserve">13.3. Согласие на публикацию (размещение) в информационно-телекоммуникационной сети "Интернет" информации об участнике конкурса, о заявке, иной информации об участнике конкурса, связанной с конкурсом.</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13.4. Заверение о соответствии участника конкурса требованиям, установленным </w:t>
      </w:r>
      <w:hyperlink w:history="0" w:anchor="P66" w:tooltip="5. Право на получение гранта в соответствии с настоящим Положением имеет социально ориентированная некоммерческая организация:">
        <w:r>
          <w:rPr>
            <w:sz w:val="20"/>
            <w:color w:val="0000ff"/>
          </w:rPr>
          <w:t xml:space="preserve">пунктами 5</w:t>
        </w:r>
      </w:hyperlink>
      <w:r>
        <w:rPr>
          <w:sz w:val="20"/>
        </w:rPr>
        <w:t xml:space="preserve"> и </w:t>
      </w:r>
      <w:hyperlink w:history="0" w:anchor="P192" w:tooltip="11. Участник конкурса должен одновременно соответствовать следующим требованиям на день подачи заявки:">
        <w:r>
          <w:rPr>
            <w:sz w:val="20"/>
            <w:color w:val="0000ff"/>
          </w:rPr>
          <w:t xml:space="preserve">11</w:t>
        </w:r>
      </w:hyperlink>
      <w:r>
        <w:rPr>
          <w:sz w:val="20"/>
        </w:rPr>
        <w:t xml:space="preserve"> настоящего Положения, и о достоверности содержащихся в заявке и прилагаемых к ней документов и сведений.</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bookmarkStart w:id="226" w:name="P226"/>
    <w:bookmarkEnd w:id="226"/>
    <w:p>
      <w:pPr>
        <w:pStyle w:val="0"/>
        <w:spacing w:before="200" w:line-rule="auto"/>
        <w:ind w:firstLine="540"/>
        <w:jc w:val="both"/>
      </w:pPr>
      <w:r>
        <w:rPr>
          <w:sz w:val="20"/>
        </w:rPr>
        <w:t xml:space="preserve">14. К заявке прилагаются следующие документы:</w:t>
      </w:r>
    </w:p>
    <w:p>
      <w:pPr>
        <w:pStyle w:val="0"/>
        <w:spacing w:before="200" w:line-rule="auto"/>
        <w:ind w:firstLine="540"/>
        <w:jc w:val="both"/>
      </w:pPr>
      <w:r>
        <w:rPr>
          <w:sz w:val="20"/>
        </w:rPr>
        <w:t xml:space="preserve">14.1. Копия действующей редакции устава участника конкурса на день подачи заявки с отметкой регистрирующего органа (со всеми внесенными изменениями) в виде электронной копии - одного многостраничного файла в формате pdf объемом не более 20 мегабайт.</w:t>
      </w:r>
    </w:p>
    <w:p>
      <w:pPr>
        <w:pStyle w:val="0"/>
        <w:spacing w:before="200" w:line-rule="auto"/>
        <w:ind w:firstLine="540"/>
        <w:jc w:val="both"/>
      </w:pPr>
      <w:r>
        <w:rPr>
          <w:sz w:val="20"/>
        </w:rPr>
        <w:t xml:space="preserve">14.2.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а также иной просроченной (неурегулированной) задолженности по денежным обязательствам перед Тюменской областью на дату подачи заявки, подписанную руководителем (иным уполномоченным лицом) и главным бухгалтером участника конкурса и скрепленную печатью. По форме в соответствии с </w:t>
      </w:r>
      <w:hyperlink w:history="0" w:anchor="P467" w:tooltip="Приложение N 1">
        <w:r>
          <w:rPr>
            <w:sz w:val="20"/>
            <w:color w:val="0000ff"/>
          </w:rPr>
          <w:t xml:space="preserve">приложением N 1</w:t>
        </w:r>
      </w:hyperlink>
      <w:r>
        <w:rPr>
          <w:sz w:val="20"/>
        </w:rPr>
        <w:t xml:space="preserve"> к настоящему Положению.</w:t>
      </w:r>
    </w:p>
    <w:p>
      <w:pPr>
        <w:pStyle w:val="0"/>
        <w:spacing w:before="200" w:line-rule="auto"/>
        <w:ind w:firstLine="540"/>
        <w:jc w:val="both"/>
      </w:pPr>
      <w:r>
        <w:rPr>
          <w:sz w:val="20"/>
        </w:rPr>
        <w:t xml:space="preserve">14.3. </w:t>
      </w:r>
      <w:hyperlink w:history="0" w:anchor="P497" w:tooltip="                             СОГЛАСИЕ СУБЪЕКТА">
        <w:r>
          <w:rPr>
            <w:sz w:val="20"/>
            <w:color w:val="0000ff"/>
          </w:rPr>
          <w:t xml:space="preserve">Согласие</w:t>
        </w:r>
      </w:hyperlink>
      <w:r>
        <w:rPr>
          <w:sz w:val="20"/>
        </w:rPr>
        <w:t xml:space="preserve"> субъекта на обработку персональных данных, разрешенных субъектом персональных данных для распространения, по форме в соответствии с приложением N 2 к настоящему Положению.</w:t>
      </w:r>
    </w:p>
    <w:p>
      <w:pPr>
        <w:pStyle w:val="0"/>
        <w:jc w:val="both"/>
      </w:pPr>
      <w:r>
        <w:rPr>
          <w:sz w:val="20"/>
        </w:rPr>
        <w:t xml:space="preserve">(в ред. </w:t>
      </w:r>
      <w:hyperlink w:history="0" r:id="rId36"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rPr>
        <w:t xml:space="preserve"> Правительства Тюменской области от 03.02.2023 N 36-п)</w:t>
      </w:r>
    </w:p>
    <w:p>
      <w:pPr>
        <w:pStyle w:val="0"/>
        <w:spacing w:before="200" w:line-rule="auto"/>
        <w:ind w:firstLine="540"/>
        <w:jc w:val="both"/>
      </w:pPr>
      <w:r>
        <w:rPr>
          <w:sz w:val="20"/>
        </w:rPr>
        <w:t xml:space="preserve">Предоставляются Согласия субъектов персональных данных, разрешенных субъектом персональных данных для распространения, чьи персональные данные были отражены в информационной системе при подаче заявки: руководителя программы (проекта); представителей команды программы (проекта) - при наличии.</w:t>
      </w:r>
    </w:p>
    <w:p>
      <w:pPr>
        <w:pStyle w:val="0"/>
        <w:jc w:val="both"/>
      </w:pPr>
      <w:r>
        <w:rPr>
          <w:sz w:val="20"/>
        </w:rPr>
        <w:t xml:space="preserve">(в ред. </w:t>
      </w:r>
      <w:hyperlink w:history="0" r:id="rId37"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rPr>
        <w:t xml:space="preserve"> Правительства Тюменской области от 03.02.2023 N 36-п)</w:t>
      </w:r>
    </w:p>
    <w:p>
      <w:pPr>
        <w:pStyle w:val="0"/>
        <w:spacing w:before="200" w:line-rule="auto"/>
        <w:ind w:firstLine="540"/>
        <w:jc w:val="both"/>
      </w:pPr>
      <w:r>
        <w:rPr>
          <w:sz w:val="20"/>
        </w:rPr>
        <w:t xml:space="preserve">14.4. 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подачи заявки, выданную Федеральной налоговой службой, подтверждающую, что в 2022 году размер задолженности не превышает 300 тыс. рублей (при наличии у участника конкурса в 2022 году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bookmarkStart w:id="234" w:name="P234"/>
    <w:bookmarkEnd w:id="234"/>
    <w:p>
      <w:pPr>
        <w:pStyle w:val="0"/>
        <w:spacing w:before="200" w:line-rule="auto"/>
        <w:ind w:firstLine="540"/>
        <w:jc w:val="both"/>
      </w:pPr>
      <w:r>
        <w:rPr>
          <w:sz w:val="20"/>
        </w:rPr>
        <w:t xml:space="preserve">15. Участник конкурса в дополнение к заявке и документам, указанным в </w:t>
      </w:r>
      <w:hyperlink w:history="0" w:anchor="P204" w:tooltip="13. Заявка на конкурс содержит следующую информацию:">
        <w:r>
          <w:rPr>
            <w:sz w:val="20"/>
            <w:color w:val="0000ff"/>
          </w:rPr>
          <w:t xml:space="preserve">пунктах 13</w:t>
        </w:r>
      </w:hyperlink>
      <w:r>
        <w:rPr>
          <w:sz w:val="20"/>
        </w:rPr>
        <w:t xml:space="preserve"> и </w:t>
      </w:r>
      <w:hyperlink w:history="0" w:anchor="P226" w:tooltip="14. К заявке прилагаются следующие документы:">
        <w:r>
          <w:rPr>
            <w:sz w:val="20"/>
            <w:color w:val="0000ff"/>
          </w:rPr>
          <w:t xml:space="preserve">14</w:t>
        </w:r>
      </w:hyperlink>
      <w:r>
        <w:rPr>
          <w:sz w:val="20"/>
        </w:rPr>
        <w:t xml:space="preserve"> настоящего Положения, вправе по собственной инициативе представить следующие документы:</w:t>
      </w:r>
    </w:p>
    <w:p>
      <w:pPr>
        <w:pStyle w:val="0"/>
        <w:spacing w:before="200" w:line-rule="auto"/>
        <w:ind w:firstLine="540"/>
        <w:jc w:val="both"/>
      </w:pPr>
      <w:r>
        <w:rPr>
          <w:sz w:val="20"/>
        </w:rPr>
        <w:t xml:space="preserve">15.1. Выписку из Единого государственного реестра юридических лиц, выданную не позднее чем за 30 календарных дней до даты подачи заявки.</w:t>
      </w:r>
    </w:p>
    <w:p>
      <w:pPr>
        <w:pStyle w:val="0"/>
        <w:spacing w:before="200" w:line-rule="auto"/>
        <w:ind w:firstLine="540"/>
        <w:jc w:val="both"/>
      </w:pPr>
      <w:r>
        <w:rPr>
          <w:sz w:val="20"/>
        </w:rPr>
        <w:t xml:space="preserve">15.2.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сформированную не ранее чем за три дня до даты подачи заявки.</w:t>
      </w:r>
    </w:p>
    <w:p>
      <w:pPr>
        <w:pStyle w:val="0"/>
        <w:spacing w:before="200" w:line-rule="auto"/>
        <w:ind w:firstLine="540"/>
        <w:jc w:val="both"/>
      </w:pPr>
      <w:r>
        <w:rPr>
          <w:sz w:val="20"/>
        </w:rPr>
        <w:t xml:space="preserve">15.3. Справка о том, что в 2022 году участник конкурса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238" w:name="P238"/>
    <w:bookmarkEnd w:id="238"/>
    <w:p>
      <w:pPr>
        <w:pStyle w:val="0"/>
        <w:spacing w:before="200" w:line-rule="auto"/>
        <w:ind w:firstLine="540"/>
        <w:jc w:val="both"/>
      </w:pPr>
      <w:r>
        <w:rPr>
          <w:sz w:val="20"/>
        </w:rPr>
        <w:t xml:space="preserve">16. Участник конкурса вправе включать в состав заявки на участие в конкурсе дополнительную информацию и представить по собственной инициативе иные документы, не указанные в </w:t>
      </w:r>
      <w:hyperlink w:history="0" w:anchor="P226" w:tooltip="14. К заявке прилагаются следующие документы:">
        <w:r>
          <w:rPr>
            <w:sz w:val="20"/>
            <w:color w:val="0000ff"/>
          </w:rPr>
          <w:t xml:space="preserve">пунктах 14</w:t>
        </w:r>
      </w:hyperlink>
      <w:r>
        <w:rPr>
          <w:sz w:val="20"/>
        </w:rPr>
        <w:t xml:space="preserve"> и </w:t>
      </w:r>
      <w:hyperlink w:history="0" w:anchor="P234" w:tooltip="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sz w:val="20"/>
            <w:color w:val="0000ff"/>
          </w:rPr>
          <w:t xml:space="preserve">15</w:t>
        </w:r>
      </w:hyperlink>
      <w:r>
        <w:rPr>
          <w:sz w:val="20"/>
        </w:rPr>
        <w:t xml:space="preserve"> настоящего Положения, в соответствии с критериями конкурсного отбора.</w:t>
      </w:r>
    </w:p>
    <w:p>
      <w:pPr>
        <w:pStyle w:val="0"/>
        <w:spacing w:before="200" w:line-rule="auto"/>
        <w:ind w:firstLine="540"/>
        <w:jc w:val="both"/>
      </w:pPr>
      <w:r>
        <w:rPr>
          <w:sz w:val="20"/>
        </w:rPr>
        <w:t xml:space="preserve">В случае непредставления участником конкурса по собственной инициативе документов, указанных в </w:t>
      </w:r>
      <w:hyperlink w:history="0" w:anchor="P234" w:tooltip="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sz w:val="20"/>
            <w:color w:val="0000ff"/>
          </w:rPr>
          <w:t xml:space="preserve">пункте 15</w:t>
        </w:r>
      </w:hyperlink>
      <w:r>
        <w:rPr>
          <w:sz w:val="20"/>
        </w:rPr>
        <w:t xml:space="preserve"> настоящего Положения, Организатор конкурса в течение трех рабочих дней со дня получения заявки и документов, указанных в </w:t>
      </w:r>
      <w:hyperlink w:history="0" w:anchor="P226" w:tooltip="14. К заявке прилагаются следующие документы:">
        <w:r>
          <w:rPr>
            <w:sz w:val="20"/>
            <w:color w:val="0000ff"/>
          </w:rPr>
          <w:t xml:space="preserve">пункте 14</w:t>
        </w:r>
      </w:hyperlink>
      <w:r>
        <w:rPr>
          <w:sz w:val="20"/>
        </w:rPr>
        <w:t xml:space="preserve"> настоящего Положения, запрашивает и проверяет сведения (документы), установленные в </w:t>
      </w:r>
      <w:hyperlink w:history="0" w:anchor="P234" w:tooltip="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sz w:val="20"/>
            <w:color w:val="0000ff"/>
          </w:rPr>
          <w:t xml:space="preserve">пункте 15</w:t>
        </w:r>
      </w:hyperlink>
      <w:r>
        <w:rPr>
          <w:sz w:val="20"/>
        </w:rPr>
        <w:t xml:space="preserve"> настоящего Положения и проверяет сведения, указанные в </w:t>
      </w:r>
      <w:hyperlink w:history="0" w:anchor="P192" w:tooltip="11. Участник конкурса должен одновременно соответствовать следующим требованиям на день подачи заявки:">
        <w:r>
          <w:rPr>
            <w:sz w:val="20"/>
            <w:color w:val="0000ff"/>
          </w:rPr>
          <w:t xml:space="preserve">пункте 11</w:t>
        </w:r>
      </w:hyperlink>
      <w:r>
        <w:rPr>
          <w:sz w:val="20"/>
        </w:rPr>
        <w:t xml:space="preserve"> настоящего Положения в порядке межведомственного информационного взаимодействия в организациях, уполномоченных на представление таких сведений (документов), Единой информационной системе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17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17. Заявка формируется в электронном виде на официальном сайте конкурса или едином портале (в случае проведения отбора в системе "Электронный бюджет"),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"Электронный бюджет") в электронной форме в виде одного файла.</w:t>
      </w:r>
    </w:p>
    <w:p>
      <w:pPr>
        <w:pStyle w:val="0"/>
        <w:spacing w:before="200" w:line-rule="auto"/>
        <w:ind w:firstLine="540"/>
        <w:jc w:val="both"/>
      </w:pPr>
      <w:r>
        <w:rPr>
          <w:sz w:val="20"/>
        </w:rPr>
        <w:t xml:space="preserve">Каждый из документов, указанных в </w:t>
      </w:r>
      <w:hyperlink w:history="0" w:anchor="P226" w:tooltip="14. К заявке прилагаются следующие документы:">
        <w:r>
          <w:rPr>
            <w:sz w:val="20"/>
            <w:color w:val="0000ff"/>
          </w:rPr>
          <w:t xml:space="preserve">пунктах 14</w:t>
        </w:r>
      </w:hyperlink>
      <w:r>
        <w:rPr>
          <w:sz w:val="20"/>
        </w:rPr>
        <w:t xml:space="preserve">, </w:t>
      </w:r>
      <w:hyperlink w:history="0" w:anchor="P234" w:tooltip="15. Участник конкурса в дополнение к заявке и документам, указанным в пунктах 13 и 14 настоящего Положения, вправе по собственной инициативе представить следующие документы:">
        <w:r>
          <w:rPr>
            <w:sz w:val="20"/>
            <w:color w:val="0000ff"/>
          </w:rPr>
          <w:t xml:space="preserve">15</w:t>
        </w:r>
      </w:hyperlink>
      <w:r>
        <w:rPr>
          <w:sz w:val="20"/>
        </w:rPr>
        <w:t xml:space="preserve">, </w:t>
      </w:r>
      <w:hyperlink w:history="0" w:anchor="P238" w:tooltip="16. Участник конкурса вправе включать в состав заявки на участие в конкурсе дополнительную информацию и представить по собственной инициативе иные документы, не указанные в пунктах 14 и 15 настоящего Положения, в соответствии с критериями конкурсного отбора.">
        <w:r>
          <w:rPr>
            <w:sz w:val="20"/>
            <w:color w:val="0000ff"/>
          </w:rPr>
          <w:t xml:space="preserve">16</w:t>
        </w:r>
      </w:hyperlink>
      <w:r>
        <w:rPr>
          <w:sz w:val="20"/>
        </w:rPr>
        <w:t xml:space="preserve"> настоящего Положения, представляется на официальный сайт конкурса в электронной форме в виде одного файла.</w:t>
      </w:r>
    </w:p>
    <w:p>
      <w:pPr>
        <w:pStyle w:val="0"/>
        <w:spacing w:before="200" w:line-rule="auto"/>
        <w:ind w:firstLine="540"/>
        <w:jc w:val="both"/>
      </w:pPr>
      <w:r>
        <w:rPr>
          <w:sz w:val="20"/>
        </w:rPr>
        <w:t xml:space="preserve">18. Ответственность за правильность оформления, достоверность, полноту и актуальность представленной участником конкурса информации несет участник конкурса в соответствии с законодательством Российской Федерации.</w:t>
      </w:r>
    </w:p>
    <w:p>
      <w:pPr>
        <w:pStyle w:val="0"/>
        <w:spacing w:before="200" w:line-rule="auto"/>
        <w:ind w:firstLine="540"/>
        <w:jc w:val="both"/>
      </w:pPr>
      <w:r>
        <w:rPr>
          <w:sz w:val="20"/>
        </w:rPr>
        <w:t xml:space="preserve">19.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Днем и временем подачи заявки является запись даты, времени присвоения заявке статуса "подано" в личном кабинете участника конкурса.</w:t>
      </w:r>
    </w:p>
    <w:p>
      <w:pPr>
        <w:pStyle w:val="0"/>
        <w:spacing w:before="200" w:line-rule="auto"/>
        <w:ind w:firstLine="540"/>
        <w:jc w:val="both"/>
      </w:pPr>
      <w:r>
        <w:rPr>
          <w:sz w:val="20"/>
        </w:rPr>
        <w:t xml:space="preserve">Днем и временем публикации заявки является присвоение заявке статуса "зарегистрировано".</w:t>
      </w:r>
    </w:p>
    <w:bookmarkStart w:id="247" w:name="P247"/>
    <w:bookmarkEnd w:id="247"/>
    <w:p>
      <w:pPr>
        <w:pStyle w:val="0"/>
        <w:spacing w:before="200" w:line-rule="auto"/>
        <w:ind w:firstLine="540"/>
        <w:jc w:val="both"/>
      </w:pPr>
      <w:r>
        <w:rPr>
          <w:sz w:val="20"/>
        </w:rPr>
        <w:t xml:space="preserve">20. Участник конкурса вправе подать не более двух заявок, но не более одной по одному из грантовых направлений, указанных в </w:t>
      </w:r>
      <w:hyperlink w:history="0" w:anchor="P101" w:tooltip="10. На конкурс принимаются проекты по следующим грантовым направлениям:">
        <w:r>
          <w:rPr>
            <w:sz w:val="20"/>
            <w:color w:val="0000ff"/>
          </w:rPr>
          <w:t xml:space="preserve">пункте 10</w:t>
        </w:r>
      </w:hyperlink>
      <w:r>
        <w:rPr>
          <w:sz w:val="20"/>
        </w:rPr>
        <w:t xml:space="preserve"> настоящего Положения, соответствующих видам деятельности, указанным в учредительных документах участника конкурса.</w:t>
      </w:r>
    </w:p>
    <w:p>
      <w:pPr>
        <w:pStyle w:val="0"/>
        <w:spacing w:before="200" w:line-rule="auto"/>
        <w:ind w:firstLine="540"/>
        <w:jc w:val="both"/>
      </w:pPr>
      <w:r>
        <w:rPr>
          <w:sz w:val="20"/>
        </w:rPr>
        <w:t xml:space="preserve">При этом по результатам конкурса одной организации может быть предоставлен грант на осуществление только одного проекта, набравшего наибольший рейтинговый балл по итогам независимой экспертизы.</w:t>
      </w:r>
    </w:p>
    <w:p>
      <w:pPr>
        <w:pStyle w:val="0"/>
        <w:spacing w:before="200" w:line-rule="auto"/>
        <w:ind w:firstLine="540"/>
        <w:jc w:val="both"/>
      </w:pPr>
      <w:r>
        <w:rPr>
          <w:sz w:val="20"/>
        </w:rPr>
        <w:t xml:space="preserve">Участник конкурса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"запрос на снятие заявки" Организатору конкурса через личный кабинет на официальном сайте конкурса.</w:t>
      </w:r>
    </w:p>
    <w:bookmarkStart w:id="250" w:name="P250"/>
    <w:bookmarkEnd w:id="250"/>
    <w:p>
      <w:pPr>
        <w:pStyle w:val="0"/>
        <w:spacing w:before="200" w:line-rule="auto"/>
        <w:ind w:firstLine="540"/>
        <w:jc w:val="both"/>
      </w:pPr>
      <w:r>
        <w:rPr>
          <w:sz w:val="20"/>
        </w:rPr>
        <w:t xml:space="preserve">21. Организатор конкурса в течение 5 рабочих дней со дня присвоения на официальном сайте конкурса заявке статуса "подано" осуществляет валидацию заявки на предмет соответствия </w:t>
      </w:r>
      <w:hyperlink w:history="0" w:anchor="P66" w:tooltip="5. Право на получение гранта в соответствии с настоящим Положением имеет социально ориентированная некоммерческая организация:">
        <w:r>
          <w:rPr>
            <w:sz w:val="20"/>
            <w:color w:val="0000ff"/>
          </w:rPr>
          <w:t xml:space="preserve">пункту 5</w:t>
        </w:r>
      </w:hyperlink>
      <w:r>
        <w:rPr>
          <w:sz w:val="20"/>
        </w:rPr>
        <w:t xml:space="preserve"> настоящего Положения, наличия указанных в </w:t>
      </w:r>
      <w:hyperlink w:history="0" w:anchor="P226" w:tooltip="14. К заявке прилагаются следующие документы:">
        <w:r>
          <w:rPr>
            <w:sz w:val="20"/>
            <w:color w:val="0000ff"/>
          </w:rPr>
          <w:t xml:space="preserve">пункте 14</w:t>
        </w:r>
      </w:hyperlink>
      <w:r>
        <w:rPr>
          <w:sz w:val="20"/>
        </w:rPr>
        <w:t xml:space="preserve"> настоящего Положения документов, соответствия заявки </w:t>
      </w:r>
      <w:hyperlink w:history="0" w:anchor="P241" w:tooltip="17. Заявка формируется в электронном виде на официальном сайте конкурса или едином портале (в случае проведения отбора в системе &quot;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quot;Электронный бюджет&quot;) в электронной форме в виде одного файла.">
        <w:r>
          <w:rPr>
            <w:sz w:val="20"/>
            <w:color w:val="0000ff"/>
          </w:rPr>
          <w:t xml:space="preserve">абзацу первому пункта 17</w:t>
        </w:r>
      </w:hyperlink>
      <w:r>
        <w:rPr>
          <w:sz w:val="20"/>
        </w:rPr>
        <w:t xml:space="preserve"> настоящего Положения.</w:t>
      </w:r>
    </w:p>
    <w:p>
      <w:pPr>
        <w:pStyle w:val="0"/>
        <w:spacing w:before="200" w:line-rule="auto"/>
        <w:ind w:firstLine="540"/>
        <w:jc w:val="both"/>
      </w:pPr>
      <w:r>
        <w:rPr>
          <w:sz w:val="20"/>
        </w:rPr>
        <w:t xml:space="preserve">22. По итогам валидации заявке может быть присвоен статус "требуется устранение недостатков", "не подлежит рассмотрению" или "зарегистрирована".</w:t>
      </w:r>
    </w:p>
    <w:p>
      <w:pPr>
        <w:pStyle w:val="0"/>
        <w:spacing w:before="200" w:line-rule="auto"/>
        <w:ind w:firstLine="540"/>
        <w:jc w:val="both"/>
      </w:pPr>
      <w:r>
        <w:rPr>
          <w:sz w:val="20"/>
        </w:rPr>
        <w:t xml:space="preserve">23. Основаниями для присвоения заявке статуса "требуется устранение недостатков" являются:</w:t>
      </w:r>
    </w:p>
    <w:p>
      <w:pPr>
        <w:pStyle w:val="0"/>
        <w:spacing w:before="200" w:line-rule="auto"/>
        <w:ind w:firstLine="540"/>
        <w:jc w:val="both"/>
      </w:pPr>
      <w:r>
        <w:rPr>
          <w:sz w:val="20"/>
        </w:rPr>
        <w:t xml:space="preserve">23.1. Невключение в состав заявки документов, указанных в </w:t>
      </w:r>
      <w:hyperlink w:history="0" w:anchor="P226" w:tooltip="14. К заявке прилагаются следующие документы:">
        <w:r>
          <w:rPr>
            <w:sz w:val="20"/>
            <w:color w:val="0000ff"/>
          </w:rPr>
          <w:t xml:space="preserve">пункте 14</w:t>
        </w:r>
      </w:hyperlink>
      <w:r>
        <w:rPr>
          <w:sz w:val="20"/>
        </w:rPr>
        <w:t xml:space="preserve"> настоящего Положения.</w:t>
      </w:r>
    </w:p>
    <w:p>
      <w:pPr>
        <w:pStyle w:val="0"/>
        <w:spacing w:before="200" w:line-rule="auto"/>
        <w:ind w:firstLine="540"/>
        <w:jc w:val="both"/>
      </w:pPr>
      <w:r>
        <w:rPr>
          <w:sz w:val="20"/>
        </w:rPr>
        <w:t xml:space="preserve">23.2. Несоответствие заявки требованиям, указанным в </w:t>
      </w:r>
      <w:hyperlink w:history="0" w:anchor="P241" w:tooltip="17. Заявка формируется в электронном виде на официальном сайте конкурса или едином портале (в случае проведения отбора в системе &quot;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quot;Электронный бюджет&quot;) в электронной форме в виде одного файла.">
        <w:r>
          <w:rPr>
            <w:sz w:val="20"/>
            <w:color w:val="0000ff"/>
          </w:rPr>
          <w:t xml:space="preserve">абзаце первом пункта 17</w:t>
        </w:r>
      </w:hyperlink>
      <w:r>
        <w:rPr>
          <w:sz w:val="20"/>
        </w:rPr>
        <w:t xml:space="preserve"> настоящего Положения, в том числе: отсутствие в заявке подписи руководителя, отсутствие печати организации, заявка подписана не уполномоченным лицом.</w:t>
      </w:r>
    </w:p>
    <w:p>
      <w:pPr>
        <w:pStyle w:val="0"/>
        <w:spacing w:before="200" w:line-rule="auto"/>
        <w:ind w:firstLine="540"/>
        <w:jc w:val="both"/>
      </w:pPr>
      <w:r>
        <w:rPr>
          <w:sz w:val="20"/>
        </w:rPr>
        <w:t xml:space="preserve">24. При наличии оснований для отправления заявки на доработку Организатор конкурса в срок, установленный </w:t>
      </w:r>
      <w:hyperlink w:history="0" w:anchor="P250" w:tooltip="21. Организатор конкурса в течение 5 рабочих дней со дня присвоения на официальном сайте конкурса заявке статуса &quot;подано&quot; осуществляет валидацию заявки на предмет соответствия пункту 5 настоящего Положения, наличия указанных в пункте 14 настоящего Положения документов, соответствия заявки абзацу первому пункта 17 настоящего Положения.">
        <w:r>
          <w:rPr>
            <w:sz w:val="20"/>
            <w:color w:val="0000ff"/>
          </w:rPr>
          <w:t xml:space="preserve">пунктом 21</w:t>
        </w:r>
      </w:hyperlink>
      <w:r>
        <w:rPr>
          <w:sz w:val="20"/>
        </w:rPr>
        <w:t xml:space="preserve"> настоящего Положения, направляет в конкурсной системе заявку на доработку, изменяя статус заявки с "подана" на "требуется устранение недостатков" с указанием причины изменения статуса заявки.</w:t>
      </w:r>
    </w:p>
    <w:p>
      <w:pPr>
        <w:pStyle w:val="0"/>
        <w:spacing w:before="200" w:line-rule="auto"/>
        <w:ind w:firstLine="540"/>
        <w:jc w:val="both"/>
      </w:pPr>
      <w:r>
        <w:rPr>
          <w:sz w:val="20"/>
        </w:rPr>
        <w:t xml:space="preserve">24.1. Основанием для присвоения заявке статуса "не подлежит рассмотрению" является несоответствие заявки требованиям, указанным в </w:t>
      </w:r>
      <w:hyperlink w:history="0" w:anchor="P247" w:tooltip="20. Участник конкурса вправе подать не более двух заявок, но не более одной по одному из грантовых направлений, указанных в пункте 10 настоящего Положения, соответствующих видам деятельности, указанным в учредительных документах участника конкурса.">
        <w:r>
          <w:rPr>
            <w:sz w:val="20"/>
            <w:color w:val="0000ff"/>
          </w:rPr>
          <w:t xml:space="preserve">абзаце первом пункта 20</w:t>
        </w:r>
      </w:hyperlink>
      <w:r>
        <w:rPr>
          <w:sz w:val="20"/>
        </w:rPr>
        <w:t xml:space="preserve"> настоящего Положения.</w:t>
      </w:r>
    </w:p>
    <w:p>
      <w:pPr>
        <w:pStyle w:val="0"/>
        <w:spacing w:before="200" w:line-rule="auto"/>
        <w:ind w:firstLine="540"/>
        <w:jc w:val="both"/>
      </w:pPr>
      <w:r>
        <w:rPr>
          <w:sz w:val="20"/>
        </w:rPr>
        <w:t xml:space="preserve">24.2. При наличии оснований для присвоения заявке статуса "не подлежит рассмотрению" Организатор конкурса в срок, установленный </w:t>
      </w:r>
      <w:hyperlink w:history="0" w:anchor="P250" w:tooltip="21. Организатор конкурса в течение 5 рабочих дней со дня присвоения на официальном сайте конкурса заявке статуса &quot;подано&quot; осуществляет валидацию заявки на предмет соответствия пункту 5 настоящего Положения, наличия указанных в пункте 14 настоящего Положения документов, соответствия заявки абзацу первому пункта 17 настоящего Положения.">
        <w:r>
          <w:rPr>
            <w:sz w:val="20"/>
            <w:color w:val="0000ff"/>
          </w:rPr>
          <w:t xml:space="preserve">пунктом 21</w:t>
        </w:r>
      </w:hyperlink>
      <w:r>
        <w:rPr>
          <w:sz w:val="20"/>
        </w:rPr>
        <w:t xml:space="preserve"> настоящего Положения, изменяет в конкурсной системе статус заявки с "подана" на "не подлежит рассмотрению" с указанием причины отказа.</w:t>
      </w:r>
    </w:p>
    <w:p>
      <w:pPr>
        <w:pStyle w:val="0"/>
        <w:spacing w:before="200" w:line-rule="auto"/>
        <w:ind w:firstLine="540"/>
        <w:jc w:val="both"/>
      </w:pPr>
      <w:r>
        <w:rPr>
          <w:sz w:val="20"/>
        </w:rPr>
        <w:t xml:space="preserve">25. Участник конкурса, заявка которого получила статус "требуется устранение недостатков", вправе повторно направить заявку после устранения оснований для отклонения заявки к участию в конкурсе в пределах срока, указанного в объявлении о проведении конкурса.</w:t>
      </w:r>
    </w:p>
    <w:p>
      <w:pPr>
        <w:pStyle w:val="0"/>
        <w:spacing w:before="200" w:line-rule="auto"/>
        <w:ind w:firstLine="540"/>
        <w:jc w:val="both"/>
      </w:pPr>
      <w:r>
        <w:rPr>
          <w:sz w:val="20"/>
        </w:rPr>
        <w:t xml:space="preserve">Днем и временем повторной подачи заявки является запись даты, времени присвоения заявке статуса "подано" в личном кабинете участника конкурса.</w:t>
      </w:r>
    </w:p>
    <w:p>
      <w:pPr>
        <w:pStyle w:val="0"/>
        <w:spacing w:before="200" w:line-rule="auto"/>
        <w:ind w:firstLine="540"/>
        <w:jc w:val="both"/>
      </w:pPr>
      <w:r>
        <w:rPr>
          <w:sz w:val="20"/>
        </w:rPr>
        <w:t xml:space="preserve">26. Заявкам, которые соответствуют требованиям </w:t>
      </w:r>
      <w:hyperlink w:history="0" w:anchor="P226" w:tooltip="14. К заявке прилагаются следующие документы:">
        <w:r>
          <w:rPr>
            <w:sz w:val="20"/>
            <w:color w:val="0000ff"/>
          </w:rPr>
          <w:t xml:space="preserve">пункта 14</w:t>
        </w:r>
      </w:hyperlink>
      <w:r>
        <w:rPr>
          <w:sz w:val="20"/>
        </w:rPr>
        <w:t xml:space="preserve">, </w:t>
      </w:r>
      <w:hyperlink w:history="0" w:anchor="P241" w:tooltip="17. Заявка формируется в электронном виде на официальном сайте конкурса или едином портале (в случае проведения отбора в системе &quot;Электронный бюджет&quot;), распечатывается и подписывается руководителем участника конкурса (иным уполномоченным лицом), скрепляется печатью и представляется на официальный сайт конкурса или единый портал (в случае проведения отбора в системе &quot;Электронный бюджет&quot;) в электронной форме в виде одного файла.">
        <w:r>
          <w:rPr>
            <w:sz w:val="20"/>
            <w:color w:val="0000ff"/>
          </w:rPr>
          <w:t xml:space="preserve">абзацу первому пункта 17</w:t>
        </w:r>
      </w:hyperlink>
      <w:r>
        <w:rPr>
          <w:sz w:val="20"/>
        </w:rPr>
        <w:t xml:space="preserve"> настоящего Положения, по итогам валидации присваивается статус "зарегистрировано".</w:t>
      </w:r>
    </w:p>
    <w:p>
      <w:pPr>
        <w:pStyle w:val="0"/>
        <w:spacing w:before="200" w:line-rule="auto"/>
        <w:ind w:firstLine="540"/>
        <w:jc w:val="both"/>
      </w:pPr>
      <w:r>
        <w:rPr>
          <w:sz w:val="20"/>
        </w:rPr>
        <w:t xml:space="preserve">Зарегистрированные заявки публикуются на сайте конкурса с указанием даты подачи заявки.</w:t>
      </w:r>
    </w:p>
    <w:bookmarkStart w:id="262" w:name="P262"/>
    <w:bookmarkEnd w:id="262"/>
    <w:p>
      <w:pPr>
        <w:pStyle w:val="0"/>
        <w:spacing w:before="200" w:line-rule="auto"/>
        <w:ind w:firstLine="540"/>
        <w:jc w:val="both"/>
      </w:pPr>
      <w:r>
        <w:rPr>
          <w:sz w:val="20"/>
        </w:rPr>
        <w:t xml:space="preserve">27. Организатор конкурса в течение 7 рабочих дней со дня регистрации заявки на официальном сайте конкурса и получения статуса заявки "зарегистрировано" осуществляет проверку заявления и приложенных к нему документов на предмет соответствия требованиям настоящего Положения.</w:t>
      </w:r>
    </w:p>
    <w:p>
      <w:pPr>
        <w:pStyle w:val="0"/>
        <w:spacing w:before="200" w:line-rule="auto"/>
        <w:ind w:firstLine="540"/>
        <w:jc w:val="both"/>
      </w:pPr>
      <w:r>
        <w:rPr>
          <w:sz w:val="20"/>
        </w:rPr>
        <w:t xml:space="preserve">Проверка достоверности представленной участником конкурса информации осуществляется Организатором конкурса путем проверки представленной информации на предмет наличия в них противоречивых сведений и (или) направления официальных запросов в соответствующие организации, в распоряжении которых находятся такие документы (информации), и (или) сверки с открытыми данными, представленными на официальных сайтах данных организаций в информационно-телекоммуникационной сети "Интернет".</w:t>
      </w:r>
    </w:p>
    <w:bookmarkStart w:id="264" w:name="P264"/>
    <w:bookmarkEnd w:id="264"/>
    <w:p>
      <w:pPr>
        <w:pStyle w:val="0"/>
        <w:spacing w:before="200" w:line-rule="auto"/>
        <w:ind w:firstLine="540"/>
        <w:jc w:val="both"/>
      </w:pPr>
      <w:r>
        <w:rPr>
          <w:sz w:val="20"/>
        </w:rPr>
        <w:t xml:space="preserve">28. Основаниями для отклонения заявки к участию в конкурсе являются:</w:t>
      </w:r>
    </w:p>
    <w:p>
      <w:pPr>
        <w:pStyle w:val="0"/>
        <w:spacing w:before="200" w:line-rule="auto"/>
        <w:ind w:firstLine="540"/>
        <w:jc w:val="both"/>
      </w:pPr>
      <w:r>
        <w:rPr>
          <w:sz w:val="20"/>
        </w:rPr>
        <w:t xml:space="preserve">28.1. Несоответствие участника конкурса требованиям, установленным </w:t>
      </w:r>
      <w:hyperlink w:history="0" w:anchor="P66" w:tooltip="5. Право на получение гранта в соответствии с настоящим Положением имеет социально ориентированная некоммерческая организация:">
        <w:r>
          <w:rPr>
            <w:sz w:val="20"/>
            <w:color w:val="0000ff"/>
          </w:rPr>
          <w:t xml:space="preserve">пунктами 5</w:t>
        </w:r>
      </w:hyperlink>
      <w:r>
        <w:rPr>
          <w:sz w:val="20"/>
        </w:rPr>
        <w:t xml:space="preserve"> и </w:t>
      </w:r>
      <w:hyperlink w:history="0" w:anchor="P192" w:tooltip="11. Участник конкурса должен одновременно соответствовать следующим требованиям на день подачи заявки:">
        <w:r>
          <w:rPr>
            <w:sz w:val="20"/>
            <w:color w:val="0000ff"/>
          </w:rPr>
          <w:t xml:space="preserve">11</w:t>
        </w:r>
      </w:hyperlink>
      <w:r>
        <w:rPr>
          <w:sz w:val="20"/>
        </w:rPr>
        <w:t xml:space="preserve"> настоящего Положения.</w:t>
      </w:r>
    </w:p>
    <w:p>
      <w:pPr>
        <w:pStyle w:val="0"/>
        <w:spacing w:before="200" w:line-rule="auto"/>
        <w:ind w:firstLine="540"/>
        <w:jc w:val="both"/>
      </w:pPr>
      <w:r>
        <w:rPr>
          <w:sz w:val="20"/>
        </w:rPr>
        <w:t xml:space="preserve">28.2. Несоответствие представленных участником конкурса заявок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28.3. Недостоверность представленной участником конкурса информации.</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28.4. Невыполнение участником конкурса требований, установленных </w:t>
      </w:r>
      <w:hyperlink w:history="0" w:anchor="P247" w:tooltip="20. Участник конкурса вправе подать не более двух заявок, но не более одной по одному из грантовых направлений, указанных в пункте 10 настоящего Положения, соответствующих видам деятельности, указанным в учредительных документах участника конкурса.">
        <w:r>
          <w:rPr>
            <w:sz w:val="20"/>
            <w:color w:val="0000ff"/>
          </w:rPr>
          <w:t xml:space="preserve">абзацем первым пункта 20</w:t>
        </w:r>
      </w:hyperlink>
      <w:r>
        <w:rPr>
          <w:sz w:val="20"/>
        </w:rPr>
        <w:t xml:space="preserve"> настоящего Положения.</w:t>
      </w:r>
    </w:p>
    <w:p>
      <w:pPr>
        <w:pStyle w:val="0"/>
        <w:spacing w:before="200" w:line-rule="auto"/>
        <w:ind w:firstLine="540"/>
        <w:jc w:val="both"/>
      </w:pPr>
      <w:r>
        <w:rPr>
          <w:sz w:val="20"/>
        </w:rPr>
        <w:t xml:space="preserve">28.5. Подача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29. При наличии оснований для отклонения заявки, указанных в </w:t>
      </w:r>
      <w:hyperlink w:history="0" w:anchor="P264" w:tooltip="28. Основаниями для отклонения заявки к участию в конкурсе являются:">
        <w:r>
          <w:rPr>
            <w:sz w:val="20"/>
            <w:color w:val="0000ff"/>
          </w:rPr>
          <w:t xml:space="preserve">пункте 28</w:t>
        </w:r>
      </w:hyperlink>
      <w:r>
        <w:rPr>
          <w:sz w:val="20"/>
        </w:rPr>
        <w:t xml:space="preserve"> настоящего Положения, Организатор конкурса в срок, установленный </w:t>
      </w:r>
      <w:hyperlink w:history="0" w:anchor="P262" w:tooltip="27. Организатор конкурса в течение 7 рабочих дней со дня регистрации заявки на официальном сайте конкурса и получения статуса заявки &quot;зарегистрировано&quot; осуществляет проверку заявления и приложенных к нему документов на предмет соответствия требованиям настоящего Положения.">
        <w:r>
          <w:rPr>
            <w:sz w:val="20"/>
            <w:color w:val="0000ff"/>
          </w:rPr>
          <w:t xml:space="preserve">абзацем первым пункта 27</w:t>
        </w:r>
      </w:hyperlink>
      <w:r>
        <w:rPr>
          <w:sz w:val="20"/>
        </w:rPr>
        <w:t xml:space="preserve"> настоящего Положения, готовит проект решения Уполномоченного органа об отклонении заявки с обоснованием причин ее отклонения и направляет его руководителю для подписания.</w:t>
      </w:r>
    </w:p>
    <w:p>
      <w:pPr>
        <w:pStyle w:val="0"/>
        <w:spacing w:before="200" w:line-rule="auto"/>
        <w:ind w:firstLine="540"/>
        <w:jc w:val="both"/>
      </w:pPr>
      <w:r>
        <w:rPr>
          <w:sz w:val="20"/>
        </w:rPr>
        <w:t xml:space="preserve">Уполномоченный орган принимает решение об отклонении заявки и в течение одного рабочего дня со дня принятия решения размещает соответствующую информацию на официальном сайте конкурса.</w:t>
      </w:r>
    </w:p>
    <w:p>
      <w:pPr>
        <w:pStyle w:val="0"/>
        <w:spacing w:before="200" w:line-rule="auto"/>
        <w:ind w:firstLine="540"/>
        <w:jc w:val="both"/>
      </w:pPr>
      <w:r>
        <w:rPr>
          <w:sz w:val="20"/>
        </w:rPr>
        <w:t xml:space="preserve">Участник конкурса, в отношении которого принято решение об отклонении заявки, вправе повторно направить заявку и документы, указанные в </w:t>
      </w:r>
      <w:hyperlink w:history="0" w:anchor="P204" w:tooltip="13. Заявка на конкурс содержит следующую информацию:">
        <w:r>
          <w:rPr>
            <w:sz w:val="20"/>
            <w:color w:val="0000ff"/>
          </w:rPr>
          <w:t xml:space="preserve">пунктах 13</w:t>
        </w:r>
      </w:hyperlink>
      <w:r>
        <w:rPr>
          <w:sz w:val="20"/>
        </w:rPr>
        <w:t xml:space="preserve">, </w:t>
      </w:r>
      <w:hyperlink w:history="0" w:anchor="P226" w:tooltip="14. К заявке прилагаются следующие документы:">
        <w:r>
          <w:rPr>
            <w:sz w:val="20"/>
            <w:color w:val="0000ff"/>
          </w:rPr>
          <w:t xml:space="preserve">14</w:t>
        </w:r>
      </w:hyperlink>
      <w:r>
        <w:rPr>
          <w:sz w:val="20"/>
        </w:rPr>
        <w:t xml:space="preserve"> настоящего Положения, после устранения оснований для отклонения заявки к участию в конкурсе в пределах срока, указанного в объявлении о проведении конкурса.</w:t>
      </w:r>
    </w:p>
    <w:p>
      <w:pPr>
        <w:pStyle w:val="0"/>
        <w:spacing w:before="200" w:line-rule="auto"/>
        <w:ind w:firstLine="540"/>
        <w:jc w:val="both"/>
      </w:pPr>
      <w:r>
        <w:rPr>
          <w:sz w:val="20"/>
        </w:rPr>
        <w:t xml:space="preserve">В случае отсутствия оснований для отклонения заявки Организатор конкурса в течение 7 рабочих дней с даты окончания приема заявок оформляет заключение о допуске к участию в конкурсе, и в течение одного рабочего дня со дня принятия решения размещает соответствующую информацию на официальном сайте конкурса с указанием участников конкурса, допущенных и не допущенных до независимой экспертизы,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 на осуществление которого запрашивается поддержка, запрашиваемого размера поддержки.</w:t>
      </w:r>
    </w:p>
    <w:p>
      <w:pPr>
        <w:pStyle w:val="0"/>
        <w:spacing w:before="200" w:line-rule="auto"/>
        <w:ind w:firstLine="540"/>
        <w:jc w:val="both"/>
      </w:pPr>
      <w:r>
        <w:rPr>
          <w:sz w:val="20"/>
        </w:rPr>
        <w:t xml:space="preserve">Допущенным заявкам присваивается статус "на независимой экспертизе".</w:t>
      </w:r>
    </w:p>
    <w:p>
      <w:pPr>
        <w:pStyle w:val="0"/>
        <w:spacing w:before="200" w:line-rule="auto"/>
        <w:ind w:firstLine="540"/>
        <w:jc w:val="both"/>
      </w:pPr>
      <w:r>
        <w:rPr>
          <w:sz w:val="20"/>
        </w:rPr>
        <w:t xml:space="preserve">30. Для проведения независимой экспертизы проектов, допущенных к участию в конкурсе, Уполномоченным органом формируется Объединенный экспертный совет (далее - Совет).</w:t>
      </w:r>
    </w:p>
    <w:p>
      <w:pPr>
        <w:pStyle w:val="0"/>
        <w:spacing w:before="200" w:line-rule="auto"/>
        <w:ind w:firstLine="540"/>
        <w:jc w:val="both"/>
      </w:pPr>
      <w:r>
        <w:rPr>
          <w:sz w:val="20"/>
        </w:rPr>
        <w:t xml:space="preserve">Совет формируется из числа представителей органов исполнительной власти Тюменской области, Общественной палаты Тюменской области, общественных советов, созданных при органах исполнительной власти Тюменской области, средств массовой информации, представителей научных, образовательных и других организаций, привлекаемых в качестве независимых экспертов по видам деятельности, предусмотренным </w:t>
      </w:r>
      <w:hyperlink w:history="0" r:id="rId38"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w:t>
      </w:r>
      <w:hyperlink w:history="0" r:id="rId39"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от 18.02.2016 N 2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Число членов Совета должно быть нечетным и составлять не менее 27 человек. При этом лица, замещающие государственные должности Тюменской области, должности государственной и муниципальной службы, муниципальные должности, составляют не более одной трети от общего числа членов (экспертов).</w:t>
      </w:r>
    </w:p>
    <w:p>
      <w:pPr>
        <w:pStyle w:val="0"/>
        <w:spacing w:before="200" w:line-rule="auto"/>
        <w:ind w:firstLine="540"/>
        <w:jc w:val="both"/>
      </w:pPr>
      <w:r>
        <w:rPr>
          <w:sz w:val="20"/>
        </w:rPr>
        <w:t xml:space="preserve">Состав и положение о Совете утверждаются приказом Уполномоченного органа и размещаются на официальном портале и официальном сайте конкурса.</w:t>
      </w:r>
    </w:p>
    <w:p>
      <w:pPr>
        <w:pStyle w:val="0"/>
        <w:spacing w:before="200" w:line-rule="auto"/>
        <w:ind w:firstLine="540"/>
        <w:jc w:val="both"/>
      </w:pPr>
      <w:r>
        <w:rPr>
          <w:sz w:val="20"/>
        </w:rPr>
        <w:t xml:space="preserve">Персональный состав Совета и Порядок проведения независимой экспертизы проектов утверждается приказом Уполномоченного органа до даты проведения независимой экспертизы проектов, размещенной на сайте конкурса в разделе "конкурсы". Персональный состав экспертов не разглашается.</w:t>
      </w:r>
    </w:p>
    <w:p>
      <w:pPr>
        <w:pStyle w:val="0"/>
        <w:spacing w:before="200" w:line-rule="auto"/>
        <w:ind w:firstLine="540"/>
        <w:jc w:val="both"/>
      </w:pPr>
      <w:r>
        <w:rPr>
          <w:sz w:val="20"/>
        </w:rPr>
        <w:t xml:space="preserve">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31. Экспертиза проектов, представленных на конкурс, осуществляется в электронной форме на сайте конкурса.</w:t>
      </w:r>
    </w:p>
    <w:p>
      <w:pPr>
        <w:pStyle w:val="0"/>
        <w:spacing w:before="200" w:line-rule="auto"/>
        <w:ind w:firstLine="540"/>
        <w:jc w:val="both"/>
      </w:pPr>
      <w:r>
        <w:rPr>
          <w:sz w:val="20"/>
        </w:rPr>
        <w:t xml:space="preserve">Для проведения экспертизы всем экспертам необходимо зарегистрироваться на сайте конкурса.</w:t>
      </w:r>
    </w:p>
    <w:p>
      <w:pPr>
        <w:pStyle w:val="0"/>
        <w:spacing w:before="200" w:line-rule="auto"/>
        <w:ind w:firstLine="540"/>
        <w:jc w:val="both"/>
      </w:pPr>
      <w:r>
        <w:rPr>
          <w:sz w:val="20"/>
        </w:rPr>
        <w:t xml:space="preserve">32. В течение 5 календарных дней с даты принятия решения о допуске к участию в конкурсе Организатор конкурса в региональной конкурсной системе допущенные к участию в конкурсе заявки направляет членам Совета для проведения независимой экспертизы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33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r>
        <w:rPr>
          <w:sz w:val="20"/>
        </w:rPr>
        <w:t xml:space="preserve">33. Порядок проведения независимой экспертизы представленных проектов размещается на официальном сайте конкурса или на едином портале (в случае проведения отбора в системе "Электронный бюджет"), а также на официальном портале в течение 5 календарных дней со дня его утверждения, но не позднее даты начала независимой экспертизы.</w:t>
      </w:r>
    </w:p>
    <w:p>
      <w:pPr>
        <w:pStyle w:val="0"/>
        <w:spacing w:before="200" w:line-rule="auto"/>
        <w:ind w:firstLine="540"/>
        <w:jc w:val="both"/>
      </w:pPr>
      <w:r>
        <w:rPr>
          <w:sz w:val="20"/>
        </w:rPr>
        <w:t xml:space="preserve">34. Оценка заявок и проектов, допущенных к участию в конкурсе, осуществляется в соответствии с </w:t>
      </w:r>
      <w:hyperlink w:history="0" w:anchor="P577" w:tooltip="МЕТОДИКА">
        <w:r>
          <w:rPr>
            <w:sz w:val="20"/>
            <w:color w:val="0000ff"/>
          </w:rPr>
          <w:t xml:space="preserve">Методикой</w:t>
        </w:r>
      </w:hyperlink>
      <w:r>
        <w:rPr>
          <w:sz w:val="20"/>
        </w:rPr>
        <w:t xml:space="preserve"> оценки заявок на участие в конкурсе на предоставление грантов Губернатора Тюменской области на развитие гражданского общества, утвержденной приложением N 3 к настоящему Положению (далее - Методика).</w:t>
      </w:r>
    </w:p>
    <w:p>
      <w:pPr>
        <w:pStyle w:val="0"/>
        <w:spacing w:before="200" w:line-rule="auto"/>
        <w:ind w:firstLine="540"/>
        <w:jc w:val="both"/>
      </w:pPr>
      <w:r>
        <w:rPr>
          <w:sz w:val="20"/>
        </w:rPr>
        <w:t xml:space="preserve">35. Заявки и проекты оцениваются экспертами в порядке и по критериям, определенным Методикой.</w:t>
      </w:r>
    </w:p>
    <w:p>
      <w:pPr>
        <w:pStyle w:val="0"/>
        <w:spacing w:before="200" w:line-rule="auto"/>
        <w:ind w:firstLine="540"/>
        <w:jc w:val="both"/>
      </w:pPr>
      <w:r>
        <w:rPr>
          <w:sz w:val="20"/>
        </w:rPr>
        <w:t xml:space="preserve">Проект оценивается не менее чем тремя экспертами.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п. 35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 w:name="P291"/>
    <w:bookmarkEnd w:id="291"/>
    <w:p>
      <w:pPr>
        <w:pStyle w:val="0"/>
        <w:spacing w:before="260" w:line-rule="auto"/>
        <w:ind w:firstLine="540"/>
        <w:jc w:val="both"/>
      </w:pPr>
      <w:r>
        <w:rPr>
          <w:sz w:val="20"/>
        </w:rPr>
        <w:t xml:space="preserve">Срок проведения независимой экспертизы проектов не превышает 15 рабочих дней со дня назначения Организатором конкурса заявок и проектов экспертам на официальном сайте конкурса или едином портале (в случае проведения отбора в системе "Электронный бюджет").</w:t>
      </w:r>
    </w:p>
    <w:p>
      <w:pPr>
        <w:pStyle w:val="0"/>
        <w:spacing w:before="200" w:line-rule="auto"/>
        <w:ind w:firstLine="540"/>
        <w:jc w:val="both"/>
      </w:pPr>
      <w:r>
        <w:rPr>
          <w:sz w:val="20"/>
        </w:rPr>
        <w:t xml:space="preserve">36. Организатор конкурса в течение 5 рабочих дней с даты завершения независимой экспертизы всеми экспертами:</w:t>
      </w:r>
    </w:p>
    <w:p>
      <w:pPr>
        <w:pStyle w:val="0"/>
        <w:spacing w:before="200" w:line-rule="auto"/>
        <w:ind w:firstLine="540"/>
        <w:jc w:val="both"/>
      </w:pPr>
      <w:r>
        <w:rPr>
          <w:sz w:val="20"/>
        </w:rPr>
        <w:t xml:space="preserve">36.1. Формирует по каждому грантовому направлению рейтинг заявок (проектов) с учетом итоговых баллов от наибольшего к наименьшему.</w:t>
      </w:r>
    </w:p>
    <w:p>
      <w:pPr>
        <w:pStyle w:val="0"/>
        <w:spacing w:before="200" w:line-rule="auto"/>
        <w:ind w:firstLine="540"/>
        <w:jc w:val="both"/>
      </w:pPr>
      <w:r>
        <w:rPr>
          <w:sz w:val="20"/>
        </w:rPr>
        <w:t xml:space="preserve">36.2. Осуществляет предварительный расчет сумм гранта с учетом рейтинга по каждому грантовому направлению, указанному в </w:t>
      </w:r>
      <w:hyperlink w:history="0" w:anchor="P101" w:tooltip="10. На конкурс принимаются проекты по следующим грантовым направлениям:">
        <w:r>
          <w:rPr>
            <w:sz w:val="20"/>
            <w:color w:val="0000ff"/>
          </w:rPr>
          <w:t xml:space="preserve">пункте 10</w:t>
        </w:r>
      </w:hyperlink>
      <w:r>
        <w:rPr>
          <w:sz w:val="20"/>
        </w:rPr>
        <w:t xml:space="preserve"> настоящего Положения, с учетом требований </w:t>
      </w:r>
      <w:hyperlink w:history="0" w:anchor="P247" w:tooltip="20. Участник конкурса вправе подать не более двух заявок, но не более одной по одному из грантовых направлений, указанных в пункте 10 настоящего Положения, соответствующих видам деятельности, указанным в учредительных документах участника конкурса.">
        <w:r>
          <w:rPr>
            <w:sz w:val="20"/>
            <w:color w:val="0000ff"/>
          </w:rPr>
          <w:t xml:space="preserve">пункта 20</w:t>
        </w:r>
      </w:hyperlink>
      <w:r>
        <w:rPr>
          <w:sz w:val="20"/>
        </w:rPr>
        <w:t xml:space="preserve"> настоящего Положения.</w:t>
      </w:r>
    </w:p>
    <w:p>
      <w:pPr>
        <w:pStyle w:val="0"/>
        <w:spacing w:before="200" w:line-rule="auto"/>
        <w:ind w:firstLine="540"/>
        <w:jc w:val="both"/>
      </w:pPr>
      <w:r>
        <w:rPr>
          <w:sz w:val="20"/>
        </w:rPr>
        <w:t xml:space="preserve">36.3. Формирует проект перечня победителей конкурса по каждому грантовому направлению, включающий предварительный расчет сумм гранта.</w:t>
      </w:r>
    </w:p>
    <w:p>
      <w:pPr>
        <w:pStyle w:val="0"/>
        <w:spacing w:before="200" w:line-rule="auto"/>
        <w:ind w:firstLine="540"/>
        <w:jc w:val="both"/>
      </w:pPr>
      <w:r>
        <w:rPr>
          <w:sz w:val="20"/>
        </w:rPr>
        <w:t xml:space="preserve">37.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Методикой установлен повышающий коэффициент для расчета итогового балла заявки. Повышающий коэффициент, установленный Методикой, применяется для некоммерческих организаций, имеющих статус исполнителя общественно полезных услуг.</w:t>
      </w:r>
    </w:p>
    <w:p>
      <w:pPr>
        <w:pStyle w:val="0"/>
        <w:spacing w:before="200" w:line-rule="auto"/>
        <w:ind w:firstLine="540"/>
        <w:jc w:val="both"/>
      </w:pPr>
      <w:r>
        <w:rPr>
          <w:sz w:val="20"/>
        </w:rPr>
        <w:t xml:space="preserve">Повышающий коэффициент применяется только в отношении тех проектов организации, которые соответствуют услуге, на основании которой организации присвоен статус "Исполнитель общественно полезных услуг".</w:t>
      </w:r>
    </w:p>
    <w:bookmarkStart w:id="299" w:name="P299"/>
    <w:bookmarkEnd w:id="299"/>
    <w:p>
      <w:pPr>
        <w:pStyle w:val="0"/>
        <w:spacing w:before="200" w:line-rule="auto"/>
        <w:ind w:firstLine="540"/>
        <w:jc w:val="both"/>
      </w:pPr>
      <w:r>
        <w:rPr>
          <w:sz w:val="20"/>
        </w:rPr>
        <w:t xml:space="preserve">38. Организатор конкурса:</w:t>
      </w:r>
    </w:p>
    <w:p>
      <w:pPr>
        <w:pStyle w:val="0"/>
        <w:spacing w:before="200" w:line-rule="auto"/>
        <w:ind w:firstLine="540"/>
        <w:jc w:val="both"/>
      </w:pPr>
      <w:r>
        <w:rPr>
          <w:sz w:val="20"/>
        </w:rPr>
        <w:t xml:space="preserve">38.1. В течение трех рабочих дней со дня подготовки проекта перечня победителей конкурса направляет членам Совета на рассмотрение проект перечня победителей, включающий предварительный расчет сумм гранта по каждому грантовому направлению.</w:t>
      </w:r>
    </w:p>
    <w:p>
      <w:pPr>
        <w:pStyle w:val="0"/>
        <w:spacing w:before="200" w:line-rule="auto"/>
        <w:ind w:firstLine="540"/>
        <w:jc w:val="both"/>
      </w:pPr>
      <w:r>
        <w:rPr>
          <w:sz w:val="20"/>
        </w:rPr>
        <w:t xml:space="preserve">Члены Совета в течение 5 рабочих дней со дня получения материалов, указанных в настоящем подпункте </w:t>
      </w:r>
      <w:hyperlink w:history="0" w:anchor="P299" w:tooltip="38. Организатор конкурса:">
        <w:r>
          <w:rPr>
            <w:sz w:val="20"/>
            <w:color w:val="0000ff"/>
          </w:rPr>
          <w:t xml:space="preserve">пункта 38</w:t>
        </w:r>
      </w:hyperlink>
      <w:r>
        <w:rPr>
          <w:sz w:val="20"/>
        </w:rPr>
        <w:t xml:space="preserve"> настоящего Положения, рассматривают представленные материалы, устанавливают минимальный уровень итогового балла заявки по каждому грантовому направлению, с учетом минимального уровня итогового балла заявки определяют перечень победителей конкурса по каждому грантовому направлению с указанием возможного размера предоставляемого гранта.</w:t>
      </w:r>
    </w:p>
    <w:p>
      <w:pPr>
        <w:pStyle w:val="0"/>
        <w:spacing w:before="200" w:line-rule="auto"/>
        <w:ind w:firstLine="540"/>
        <w:jc w:val="both"/>
      </w:pPr>
      <w:r>
        <w:rPr>
          <w:sz w:val="20"/>
        </w:rPr>
        <w:t xml:space="preserve">38.2. В течение 10 рабочих дней со дня подготовки проекта перечня победителей конкурса созывает заседание Совета для определения минимального уровня итогового балла заявки по каждому грантовому направлению, определения перечня победителей конкурса по каждому грантовому направлению с указанием возможного размера предоставляемого гранта.</w:t>
      </w:r>
    </w:p>
    <w:p>
      <w:pPr>
        <w:pStyle w:val="0"/>
        <w:spacing w:before="200" w:line-rule="auto"/>
        <w:ind w:firstLine="540"/>
        <w:jc w:val="both"/>
      </w:pPr>
      <w:r>
        <w:rPr>
          <w:sz w:val="20"/>
        </w:rPr>
        <w:t xml:space="preserve">В случае, если после определения перечня победителей конкурса остались нераспределенные остатки средств, закрепленные за конкурсным направлением в объявлении о конкурсе, Члены Совета вправе подготовить предложения о перераспределении указанных средств на другие направления, увеличив количество победителей, отразив решение в протоколе заседания.</w:t>
      </w:r>
    </w:p>
    <w:p>
      <w:pPr>
        <w:pStyle w:val="0"/>
        <w:spacing w:before="200" w:line-rule="auto"/>
        <w:ind w:firstLine="540"/>
        <w:jc w:val="both"/>
      </w:pPr>
      <w:r>
        <w:rPr>
          <w:sz w:val="20"/>
        </w:rPr>
        <w:t xml:space="preserve">Решение Совета в день заседания оформляется протоколом, который подписывается председателем Совета и секретарем Совета (далее - решение Совета). Решение Совета в течение 3 рабочих дней со дня его оформления направляется Уполномоченному органу.</w:t>
      </w:r>
    </w:p>
    <w:p>
      <w:pPr>
        <w:pStyle w:val="0"/>
        <w:spacing w:before="200" w:line-rule="auto"/>
        <w:ind w:firstLine="540"/>
        <w:jc w:val="both"/>
      </w:pPr>
      <w:r>
        <w:rPr>
          <w:sz w:val="20"/>
        </w:rPr>
        <w:t xml:space="preserve">38.3. В случае если размер предоставляемого гранта победителю конкурса определен Советом в объеме, меньшем запрашиваемого в заявке, то Организатор конкурса в течение 3 рабочих дней со дня утверждения протокола Совета направляет победителю конкурса уведомление в электронном виде о необходимости корректировки сметы проекта под предусмотренный объем гранта с указанием статьи расходов для корректировки.</w:t>
      </w:r>
    </w:p>
    <w:p>
      <w:pPr>
        <w:pStyle w:val="0"/>
        <w:spacing w:before="200" w:line-rule="auto"/>
        <w:ind w:firstLine="540"/>
        <w:jc w:val="both"/>
      </w:pPr>
      <w:r>
        <w:rPr>
          <w:sz w:val="20"/>
        </w:rPr>
        <w:t xml:space="preserve">39. Победитель конкурса корректирует смету проекта под предусмотренный объем гранта и в течение 3 рабочих дней со дня получения уведомления о корректировке представляет ее Организатору в электронном виде в форме одного файла с подписью руководителя в формате pdf, объединенного в один файл.</w:t>
      </w:r>
    </w:p>
    <w:p>
      <w:pPr>
        <w:pStyle w:val="0"/>
        <w:spacing w:before="200" w:line-rule="auto"/>
        <w:ind w:firstLine="540"/>
        <w:jc w:val="both"/>
      </w:pPr>
      <w:r>
        <w:rPr>
          <w:sz w:val="20"/>
        </w:rPr>
        <w:t xml:space="preserve">В случае если по результатам рассмотрения уведомления о корректировке победитель конкурса направляет Организатору отказ в корректировке сметы, такой участник конкурса считается отказавшимся от предоставления гранта.</w:t>
      </w:r>
    </w:p>
    <w:p>
      <w:pPr>
        <w:pStyle w:val="0"/>
        <w:spacing w:before="200" w:line-rule="auto"/>
        <w:ind w:firstLine="540"/>
        <w:jc w:val="both"/>
      </w:pPr>
      <w:r>
        <w:rPr>
          <w:sz w:val="20"/>
        </w:rPr>
        <w:t xml:space="preserve">При равном количестве баллов победителем конкурса по каждому грантовому направлению признается участник конкурса, заявка которого имеет более раннюю дату регистрации.</w:t>
      </w:r>
    </w:p>
    <w:p>
      <w:pPr>
        <w:pStyle w:val="0"/>
        <w:spacing w:before="200" w:line-rule="auto"/>
        <w:ind w:firstLine="540"/>
        <w:jc w:val="both"/>
      </w:pPr>
      <w:r>
        <w:rPr>
          <w:sz w:val="20"/>
        </w:rPr>
        <w:t xml:space="preserve">40. Уполномоченный орган на основании решения Совета о победителях конкурса в течение 5 календарных дней со дня его утверждения:</w:t>
      </w:r>
    </w:p>
    <w:bookmarkStart w:id="310" w:name="P310"/>
    <w:bookmarkEnd w:id="310"/>
    <w:p>
      <w:pPr>
        <w:pStyle w:val="0"/>
        <w:spacing w:before="200" w:line-rule="auto"/>
        <w:ind w:firstLine="540"/>
        <w:jc w:val="both"/>
      </w:pPr>
      <w:r>
        <w:rPr>
          <w:sz w:val="20"/>
        </w:rPr>
        <w:t xml:space="preserve">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пп. 40.2 п. 40 </w:t>
            </w:r>
            <w:hyperlink w:history="0" w:anchor="P17" w:tooltip="3. Абзац первый, подпункты &quot;д&quot;, &quot;н&quot; пункта 9, абзац первый пункта 17, пункт 33, абзац третий пункта 35, абзац первый подпункта 40.2 пункта 40 приложения к настоящему постановлению вступают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с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2" w:name="P312"/>
    <w:bookmarkEnd w:id="312"/>
    <w:p>
      <w:pPr>
        <w:pStyle w:val="0"/>
        <w:spacing w:before="260" w:line-rule="auto"/>
        <w:ind w:firstLine="540"/>
        <w:jc w:val="both"/>
      </w:pPr>
      <w:r>
        <w:rPr>
          <w:sz w:val="20"/>
        </w:rPr>
        <w:t xml:space="preserve">40.2. Размещает на официальном сайте конкурса или едином портале (в случае проведения отбора в системе "Электронный бюджет"), официальном портале приказ уполномоченного органа с указанием информации о результатах проведения конкурса, в том числе:</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перечень участников конкурса, которым отказано в предоставлении грантов с указанием причин отказа;</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перечень участников конкурса, которым предоставляется грант, с указанием полного наименования организации - победителя конкурса, с которым(и) будет заключено соглашение, ее основного государственного регистрационного номера и (или) идентификационного номера налогоплательщика, названия проекта (программы), на осуществление которого предоставляется поддержка, размера предоставляемого гранта в форме субсидии;</w:t>
      </w:r>
    </w:p>
    <w:p>
      <w:pPr>
        <w:pStyle w:val="0"/>
        <w:spacing w:before="200" w:line-rule="auto"/>
        <w:ind w:firstLine="540"/>
        <w:jc w:val="both"/>
      </w:pPr>
      <w:r>
        <w:rPr>
          <w:sz w:val="20"/>
        </w:rPr>
        <w:t xml:space="preserve">протокол заседания Совета, которым оформлено решение, связанное с проведением конкурса, и который содержит сведения об участниках заседания,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41. Уполномоченный орган в течение одного рабочего дня со дня подписания приказа, указанного в </w:t>
      </w:r>
      <w:hyperlink w:history="0" w:anchor="P310" w:tooltip="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
        <w:r>
          <w:rPr>
            <w:sz w:val="20"/>
            <w:color w:val="0000ff"/>
          </w:rPr>
          <w:t xml:space="preserve">подпункте 40.1 пункта 40</w:t>
        </w:r>
      </w:hyperlink>
      <w:r>
        <w:rPr>
          <w:sz w:val="20"/>
        </w:rPr>
        <w:t xml:space="preserve"> настоящего Положения, присваивает заявкам участников конкурса, которым предоставляется грант, статус "победитель конкурса". Проектам, которым отказано в предоставлении грантов, присваивается статус "проект не получил поддержки".</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p>
      <w:pPr>
        <w:pStyle w:val="0"/>
        <w:ind w:firstLine="540"/>
        <w:jc w:val="both"/>
      </w:pPr>
      <w:r>
        <w:rPr>
          <w:sz w:val="20"/>
        </w:rPr>
        <w:t xml:space="preserve">42. Грант предоставляется победителю конкурса. Условиями предоставления гранта являются:</w:t>
      </w:r>
    </w:p>
    <w:p>
      <w:pPr>
        <w:pStyle w:val="0"/>
        <w:spacing w:before="200" w:line-rule="auto"/>
        <w:ind w:firstLine="540"/>
        <w:jc w:val="both"/>
      </w:pPr>
      <w:r>
        <w:rPr>
          <w:sz w:val="20"/>
        </w:rPr>
        <w:t xml:space="preserve">целевое расходования гранта по направлениям, указанным в </w:t>
      </w:r>
      <w:hyperlink w:history="0" w:anchor="P383" w:tooltip="51. Направления расходования средств гранта:">
        <w:r>
          <w:rPr>
            <w:sz w:val="20"/>
            <w:color w:val="0000ff"/>
          </w:rPr>
          <w:t xml:space="preserve">пункте 51</w:t>
        </w:r>
      </w:hyperlink>
      <w:r>
        <w:rPr>
          <w:sz w:val="20"/>
        </w:rPr>
        <w:t xml:space="preserve"> настоящего Положения;</w:t>
      </w:r>
    </w:p>
    <w:p>
      <w:pPr>
        <w:pStyle w:val="0"/>
        <w:spacing w:before="200" w:line-rule="auto"/>
        <w:ind w:firstLine="540"/>
        <w:jc w:val="both"/>
      </w:pPr>
      <w:r>
        <w:rPr>
          <w:sz w:val="20"/>
        </w:rPr>
        <w:t xml:space="preserve">достижение значений результата предоставления гранта, установленных соглашением;</w:t>
      </w:r>
    </w:p>
    <w:bookmarkStart w:id="328" w:name="P328"/>
    <w:bookmarkEnd w:id="328"/>
    <w:p>
      <w:pPr>
        <w:pStyle w:val="0"/>
        <w:spacing w:before="200" w:line-rule="auto"/>
        <w:ind w:firstLine="540"/>
        <w:jc w:val="both"/>
      </w:pPr>
      <w:r>
        <w:rPr>
          <w:sz w:val="20"/>
        </w:rPr>
        <w:t xml:space="preserve">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грантополучателя на осуществление Главным распорядителем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условий и порядка предоставления гранта в соответствии со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330" w:name="P330"/>
    <w:bookmarkEnd w:id="330"/>
    <w:p>
      <w:pPr>
        <w:pStyle w:val="0"/>
        <w:spacing w:before="200" w:line-rule="auto"/>
        <w:ind w:firstLine="540"/>
        <w:jc w:val="both"/>
      </w:pPr>
      <w:r>
        <w:rPr>
          <w:sz w:val="20"/>
        </w:rPr>
        <w:t xml:space="preserve">согласие лиц, получающих средства на основании договоров (соглашений),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грант, соблюдения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43. Основаниями для отказа участнику конкурса в предоставлении гранта являются:</w:t>
      </w:r>
    </w:p>
    <w:p>
      <w:pPr>
        <w:pStyle w:val="0"/>
        <w:spacing w:before="200" w:line-rule="auto"/>
        <w:ind w:firstLine="540"/>
        <w:jc w:val="both"/>
      </w:pPr>
      <w:r>
        <w:rPr>
          <w:sz w:val="20"/>
        </w:rPr>
        <w:t xml:space="preserve">1) несоответствие представленных участником конкурса документов требованиям, установленным </w:t>
      </w:r>
      <w:hyperlink w:history="0" w:anchor="P226" w:tooltip="14. К заявке прилагаются следующие документы:">
        <w:r>
          <w:rPr>
            <w:sz w:val="20"/>
            <w:color w:val="0000ff"/>
          </w:rPr>
          <w:t xml:space="preserve">пунктом 14</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3) непризнание участника конкурса победителем конкурса по итогам заседания Совета.</w:t>
      </w:r>
    </w:p>
    <w:bookmarkStart w:id="336" w:name="P336"/>
    <w:bookmarkEnd w:id="336"/>
    <w:p>
      <w:pPr>
        <w:pStyle w:val="0"/>
        <w:spacing w:before="200" w:line-rule="auto"/>
        <w:ind w:firstLine="540"/>
        <w:jc w:val="both"/>
      </w:pPr>
      <w:r>
        <w:rPr>
          <w:sz w:val="20"/>
        </w:rPr>
        <w:t xml:space="preserve">44. Размер гранта на одного грантополучателя не превышает:</w:t>
      </w:r>
    </w:p>
    <w:p>
      <w:pPr>
        <w:pStyle w:val="0"/>
        <w:spacing w:before="200" w:line-rule="auto"/>
        <w:ind w:firstLine="540"/>
        <w:jc w:val="both"/>
      </w:pPr>
      <w:r>
        <w:rPr>
          <w:sz w:val="20"/>
        </w:rPr>
        <w:t xml:space="preserve">1) для грантополучателей, со дня регистрации которых в едином государственном реестре юридических лиц на день подачи заявки прошло менее 6 месяцев, предшествующих дате подачи документов на конкурс, - 200 тысяч рублей;</w:t>
      </w:r>
    </w:p>
    <w:p>
      <w:pPr>
        <w:pStyle w:val="0"/>
        <w:spacing w:before="200" w:line-rule="auto"/>
        <w:ind w:firstLine="540"/>
        <w:jc w:val="both"/>
      </w:pPr>
      <w:r>
        <w:rPr>
          <w:sz w:val="20"/>
        </w:rPr>
        <w:t xml:space="preserve">2) для грантополучателей, со дня регистрации которых в едином государственном реестре юридических лиц на день подачи заявки прошло более 6 месяцев и менее 3 лет, предшествующих дате подачи документов на конкурс, - 500 тысяч рублей;</w:t>
      </w:r>
    </w:p>
    <w:p>
      <w:pPr>
        <w:pStyle w:val="0"/>
        <w:spacing w:before="200" w:line-rule="auto"/>
        <w:ind w:firstLine="540"/>
        <w:jc w:val="both"/>
      </w:pPr>
      <w:r>
        <w:rPr>
          <w:sz w:val="20"/>
        </w:rPr>
        <w:t xml:space="preserve">3) для грантополучателей, со дня регистрации которых в едином государственном реестре юридических лиц на день подачи заявки прошло более 3 лет, предшествующих дате подачи документов на конкурс, - 1,0 млн рублей.</w:t>
      </w:r>
    </w:p>
    <w:p>
      <w:pPr>
        <w:pStyle w:val="0"/>
        <w:spacing w:before="200" w:line-rule="auto"/>
        <w:ind w:firstLine="540"/>
        <w:jc w:val="both"/>
      </w:pPr>
      <w:r>
        <w:rPr>
          <w:sz w:val="20"/>
        </w:rPr>
        <w:t xml:space="preserve">45. Размер гранта определяется по формуле:</w:t>
      </w:r>
    </w:p>
    <w:p>
      <w:pPr>
        <w:pStyle w:val="0"/>
        <w:jc w:val="both"/>
      </w:pPr>
      <w:r>
        <w:rPr>
          <w:sz w:val="20"/>
        </w:rPr>
      </w:r>
    </w:p>
    <w:p>
      <w:pPr>
        <w:pStyle w:val="0"/>
        <w:jc w:val="center"/>
      </w:pPr>
      <w:r>
        <w:rPr>
          <w:sz w:val="20"/>
        </w:rPr>
        <w:t xml:space="preserve">РПГ = Робщ. - Рсоф, где:</w:t>
      </w:r>
    </w:p>
    <w:p>
      <w:pPr>
        <w:pStyle w:val="0"/>
        <w:jc w:val="both"/>
      </w:pPr>
      <w:r>
        <w:rPr>
          <w:sz w:val="20"/>
        </w:rPr>
      </w:r>
    </w:p>
    <w:p>
      <w:pPr>
        <w:pStyle w:val="0"/>
        <w:ind w:firstLine="540"/>
        <w:jc w:val="both"/>
      </w:pPr>
      <w:r>
        <w:rPr>
          <w:sz w:val="20"/>
        </w:rPr>
        <w:t xml:space="preserve">РПГ - размер предоставляемого гранта;</w:t>
      </w:r>
    </w:p>
    <w:p>
      <w:pPr>
        <w:pStyle w:val="0"/>
        <w:spacing w:before="200" w:line-rule="auto"/>
        <w:ind w:firstLine="540"/>
        <w:jc w:val="both"/>
      </w:pPr>
      <w:r>
        <w:rPr>
          <w:sz w:val="20"/>
        </w:rPr>
        <w:t xml:space="preserve">Робщ. - общий планируемый бюджет проекта;</w:t>
      </w:r>
    </w:p>
    <w:p>
      <w:pPr>
        <w:pStyle w:val="0"/>
        <w:spacing w:before="200" w:line-rule="auto"/>
        <w:ind w:firstLine="540"/>
        <w:jc w:val="both"/>
      </w:pPr>
      <w:r>
        <w:rPr>
          <w:sz w:val="20"/>
        </w:rPr>
        <w:t xml:space="preserve">Рсоф - размер затрат на реализацию проекта, покрываемых собственными средствами грантополучателя или партнерами проекта.</w:t>
      </w:r>
    </w:p>
    <w:p>
      <w:pPr>
        <w:pStyle w:val="0"/>
        <w:spacing w:before="200" w:line-rule="auto"/>
        <w:ind w:firstLine="540"/>
        <w:jc w:val="both"/>
      </w:pPr>
      <w:r>
        <w:rPr>
          <w:sz w:val="20"/>
        </w:rPr>
        <w:t xml:space="preserve">При этом предоставляемый объем гранта не может быть более размера, установленного </w:t>
      </w:r>
      <w:hyperlink w:history="0" w:anchor="P336" w:tooltip="44. Размер гранта на одного грантополучателя не превышает:">
        <w:r>
          <w:rPr>
            <w:sz w:val="20"/>
            <w:color w:val="0000ff"/>
          </w:rPr>
          <w:t xml:space="preserve">пунктом 44</w:t>
        </w:r>
      </w:hyperlink>
      <w:r>
        <w:rPr>
          <w:sz w:val="20"/>
        </w:rPr>
        <w:t xml:space="preserve"> настоящего Положения.</w:t>
      </w:r>
    </w:p>
    <w:p>
      <w:pPr>
        <w:pStyle w:val="0"/>
        <w:spacing w:before="200" w:line-rule="auto"/>
        <w:ind w:firstLine="540"/>
        <w:jc w:val="both"/>
      </w:pPr>
      <w:r>
        <w:rPr>
          <w:sz w:val="20"/>
        </w:rPr>
        <w:t xml:space="preserve">Возврат гранта в областной бюджет в случае нарушения грантополучателем условий, установленных при его предоставлении, осуществляется в порядке и сроки, предусмотренные </w:t>
      </w:r>
      <w:hyperlink w:history="0" w:anchor="P417" w:tooltip="V. Требования об осуществлении контроля (мониторинга)">
        <w:r>
          <w:rPr>
            <w:sz w:val="20"/>
            <w:color w:val="0000ff"/>
          </w:rPr>
          <w:t xml:space="preserve">разделом V</w:t>
        </w:r>
      </w:hyperlink>
      <w:r>
        <w:rPr>
          <w:sz w:val="20"/>
        </w:rPr>
        <w:t xml:space="preserve"> настоящего Положения.</w:t>
      </w:r>
    </w:p>
    <w:p>
      <w:pPr>
        <w:pStyle w:val="0"/>
        <w:spacing w:before="200" w:line-rule="auto"/>
        <w:ind w:firstLine="540"/>
        <w:jc w:val="both"/>
      </w:pPr>
      <w:r>
        <w:rPr>
          <w:sz w:val="20"/>
        </w:rPr>
        <w:t xml:space="preserve">В случае невозврата гранта взыскание средств производится в судебном порядке в соответствии с действующим законодательством Российской Федерации.</w:t>
      </w:r>
    </w:p>
    <w:p>
      <w:pPr>
        <w:pStyle w:val="0"/>
        <w:spacing w:before="200" w:line-rule="auto"/>
        <w:ind w:firstLine="540"/>
        <w:jc w:val="both"/>
      </w:pPr>
      <w:r>
        <w:rPr>
          <w:sz w:val="20"/>
        </w:rPr>
        <w:t xml:space="preserve">При получении Уполномоченным органом представления от органов государственного финансового контроля, указывающего на выявленные нарушения условий, установленных при предоставлении гранта, Уполномоченный орган в течение 30 рабочих дней со дня, следующего за днем его получения, направляет грантополучателю уведомление о возврате гранта в областной бюджет в соответствии с суммой, указанной в представлении, с указанием платежных реквизитов. Грантополучатель в течение 30 календарных дней со дня, следующего за днем направления Уполномоченным органом уведомления, производит возврат гранта в областной бюджет по платежным реквизитам, указанным в уведомлении о возврате.</w:t>
      </w:r>
    </w:p>
    <w:p>
      <w:pPr>
        <w:pStyle w:val="0"/>
        <w:spacing w:before="200" w:line-rule="auto"/>
        <w:ind w:firstLine="540"/>
        <w:jc w:val="both"/>
      </w:pPr>
      <w:r>
        <w:rPr>
          <w:sz w:val="20"/>
        </w:rPr>
        <w:t xml:space="preserve">46. Гранты предоставляются Уполномоченным органом на основании соглашения о предоставлении гранта в форме субсидии, заключаемого между уполномоченным органом и участником конкурса, в соответствии с типовой формой, установленной Департаментом финансов Тюменской области (далее - соглашение).</w:t>
      </w:r>
    </w:p>
    <w:p>
      <w:pPr>
        <w:pStyle w:val="0"/>
        <w:spacing w:before="200" w:line-rule="auto"/>
        <w:ind w:firstLine="540"/>
        <w:jc w:val="both"/>
      </w:pPr>
      <w:r>
        <w:rPr>
          <w:sz w:val="20"/>
        </w:rPr>
        <w:t xml:space="preserve">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являющимся его неотъемлемой частью, в соответствии с типовой формой, установленной Департаментом финансов Тюменской области.</w:t>
      </w:r>
    </w:p>
    <w:p>
      <w:pPr>
        <w:pStyle w:val="0"/>
        <w:spacing w:before="200" w:line-rule="auto"/>
        <w:ind w:firstLine="540"/>
        <w:jc w:val="both"/>
      </w:pPr>
      <w:r>
        <w:rPr>
          <w:sz w:val="20"/>
        </w:rPr>
        <w:t xml:space="preserve">Дополнительное соглашение заключается в течение 10 рабочих дней со дня принятия решения уполномоченным органом о согласовании корректировки проекта.</w:t>
      </w:r>
    </w:p>
    <w:p>
      <w:pPr>
        <w:pStyle w:val="0"/>
        <w:spacing w:before="200" w:line-rule="auto"/>
        <w:ind w:firstLine="540"/>
        <w:jc w:val="both"/>
      </w:pPr>
      <w:r>
        <w:rPr>
          <w:sz w:val="20"/>
        </w:rPr>
        <w:t xml:space="preserve">При возникновении необходимости корректировки проекта, влекущей внесение изменений в соглашение в части:</w:t>
      </w:r>
    </w:p>
    <w:p>
      <w:pPr>
        <w:pStyle w:val="0"/>
        <w:spacing w:before="200" w:line-rule="auto"/>
        <w:ind w:firstLine="540"/>
        <w:jc w:val="both"/>
      </w:pPr>
      <w:r>
        <w:rPr>
          <w:sz w:val="20"/>
        </w:rPr>
        <w:t xml:space="preserve">перераспределения сумм между статьями расходов в пределах 25 процентов (40 процентов в 2022 - 2023 годах) общей суммы гранта, предоставленной на реализацию проекта (без увеличения общей суммы гранта),</w:t>
      </w:r>
    </w:p>
    <w:p>
      <w:pPr>
        <w:pStyle w:val="0"/>
        <w:spacing w:before="200" w:line-rule="auto"/>
        <w:ind w:firstLine="540"/>
        <w:jc w:val="both"/>
      </w:pPr>
      <w:r>
        <w:rPr>
          <w:sz w:val="20"/>
        </w:rPr>
        <w:t xml:space="preserve">корректировки наименования оборудования, замены оборудования (без увеличения общей суммы гранта),</w:t>
      </w:r>
    </w:p>
    <w:p>
      <w:pPr>
        <w:pStyle w:val="0"/>
        <w:spacing w:before="200" w:line-rule="auto"/>
        <w:ind w:firstLine="540"/>
        <w:jc w:val="both"/>
      </w:pPr>
      <w:r>
        <w:rPr>
          <w:sz w:val="20"/>
        </w:rPr>
        <w:t xml:space="preserve">изменения формата мероприятий,</w:t>
      </w:r>
    </w:p>
    <w:p>
      <w:pPr>
        <w:pStyle w:val="0"/>
        <w:spacing w:before="200" w:line-rule="auto"/>
        <w:ind w:firstLine="540"/>
        <w:jc w:val="both"/>
      </w:pPr>
      <w:r>
        <w:rPr>
          <w:sz w:val="20"/>
        </w:rPr>
        <w:t xml:space="preserve">изменения сроков реализации отдельных мероприятий проекта (без увеличения общего срока реализации проекта).</w:t>
      </w:r>
    </w:p>
    <w:p>
      <w:pPr>
        <w:pStyle w:val="0"/>
        <w:spacing w:before="200" w:line-rule="auto"/>
        <w:ind w:firstLine="540"/>
        <w:jc w:val="both"/>
      </w:pPr>
      <w:r>
        <w:rPr>
          <w:sz w:val="20"/>
        </w:rPr>
        <w:t xml:space="preserve">грантополучатель направляет в Уполномоченный орган проект соответствующих изменений в проект, а также документы, обосновывающие необходимость корректировки проекта. Проект изменений направляется грантополучателем в срок не позднее чем за 15 рабочих дней до окончания срока действия соглашения. Проект изменений рассматривается уполномоченным органом в срок не позднее 10 рабочих дней со дня его регистрации. По результатам рассмотрения проекта изменений уполномоченным органом принимается решение о согласовании или об отказе в согласовании корректировки проекта, влекущей внесение изменений в соглашение. В случае согласования корректировки проекта внесение изменений в действующее соглашение осуществляется путем подписания дополнительного соглашения.</w:t>
      </w:r>
    </w:p>
    <w:p>
      <w:pPr>
        <w:pStyle w:val="0"/>
        <w:spacing w:before="200" w:line-rule="auto"/>
        <w:ind w:firstLine="540"/>
        <w:jc w:val="both"/>
      </w:pPr>
      <w:r>
        <w:rPr>
          <w:sz w:val="20"/>
        </w:rPr>
        <w:t xml:space="preserve">При возникновении необходимости корректировки проекта, влекущей внесение изменений в соглашение в части сроков действия соглашения, сроков реализации проекта, перераспределения сумм между статьями расходов более чем на 25 процентов (более чем на 40 процентов в 2022 году) общей суммы гранта, предоставленной на реализацию проекта (без увеличения общей суммы гранта), грантополучатель направляет письменное уведомление с приложением документов, обосновывающих необходимость корректировки проекта, в уполномоченный орган для инициирования рассмотрения Советом вопроса о внесении соответствующих изменений в проект и соглашение. Письменное уведомление направляется грантополучателем в срок не позднее чем за 15 рабочих дней до окончания срока действия соглашения. Уведомление грантополучателя о необходимости корректировки проекта, влекущей внесение изменений в соглашение, рассматривается Советом в срок не позднее 10 рабочих дней со дня его регистрации уполномоченным органом. По результатам рассмотрения уведомления Советом выдается рекомендация о согласовании или об отказе в согласовании корректировки проекта, влекущей внесение изменений в соглашение. Уполномоченным органом в течение 5 рабочих дней со дня выдачи рекомендации Совета принимается решение о согласовании или об отказе в согласовании корректировки проекта, влекущей внесение изменений в соглашение. В случае согласования корректировки проекта внесение изменений в действующее соглашение осуществляется путем подписания дополнительного соглашения.</w:t>
      </w:r>
    </w:p>
    <w:p>
      <w:pPr>
        <w:pStyle w:val="0"/>
        <w:spacing w:before="200" w:line-rule="auto"/>
        <w:ind w:firstLine="540"/>
        <w:jc w:val="both"/>
      </w:pPr>
      <w:r>
        <w:rPr>
          <w:sz w:val="20"/>
        </w:rPr>
        <w:t xml:space="preserve">Основаниями для отказа в согласовании корректировки проекта являются:</w:t>
      </w:r>
    </w:p>
    <w:p>
      <w:pPr>
        <w:pStyle w:val="0"/>
        <w:spacing w:before="200" w:line-rule="auto"/>
        <w:ind w:firstLine="540"/>
        <w:jc w:val="both"/>
      </w:pPr>
      <w:r>
        <w:rPr>
          <w:sz w:val="20"/>
        </w:rPr>
        <w:t xml:space="preserve">а) наличие фактов нарушений условий и порядка предоставления гранта грантополучателем, выявленных по результатам представленной отчетности;</w:t>
      </w:r>
    </w:p>
    <w:p>
      <w:pPr>
        <w:pStyle w:val="0"/>
        <w:spacing w:before="200" w:line-rule="auto"/>
        <w:ind w:firstLine="540"/>
        <w:jc w:val="both"/>
      </w:pPr>
      <w:r>
        <w:rPr>
          <w:sz w:val="20"/>
        </w:rPr>
        <w:t xml:space="preserve">б) отсутствие необходимости проведения мероприятий проекта в иные временные периоды;</w:t>
      </w:r>
    </w:p>
    <w:p>
      <w:pPr>
        <w:pStyle w:val="0"/>
        <w:spacing w:before="200" w:line-rule="auto"/>
        <w:ind w:firstLine="540"/>
        <w:jc w:val="both"/>
      </w:pPr>
      <w:r>
        <w:rPr>
          <w:sz w:val="20"/>
        </w:rPr>
        <w:t xml:space="preserve">в) несоответствие предлагаемых изменений цели проекта.</w:t>
      </w:r>
    </w:p>
    <w:p>
      <w:pPr>
        <w:pStyle w:val="0"/>
        <w:spacing w:before="200" w:line-rule="auto"/>
        <w:ind w:firstLine="540"/>
        <w:jc w:val="both"/>
      </w:pPr>
      <w:r>
        <w:rPr>
          <w:sz w:val="20"/>
        </w:rPr>
        <w:t xml:space="preserve">Отказ в согласовании корректировки проекта оформляется приказом уполномоченного органа.</w:t>
      </w:r>
    </w:p>
    <w:p>
      <w:pPr>
        <w:pStyle w:val="0"/>
        <w:spacing w:before="200" w:line-rule="auto"/>
        <w:ind w:firstLine="540"/>
        <w:jc w:val="both"/>
      </w:pPr>
      <w:r>
        <w:rPr>
          <w:sz w:val="20"/>
        </w:rPr>
        <w:t xml:space="preserve">Уведомление об отказе в согласовании корректировки проекта с указанием оснований отказа направляется в течение трех рабочих дней со дня принятия такого решения на почтовый или электронный адрес грантополучателя.</w:t>
      </w:r>
    </w:p>
    <w:p>
      <w:pPr>
        <w:pStyle w:val="0"/>
        <w:spacing w:before="200" w:line-rule="auto"/>
        <w:ind w:firstLine="540"/>
        <w:jc w:val="both"/>
      </w:pPr>
      <w:r>
        <w:rPr>
          <w:sz w:val="20"/>
        </w:rPr>
        <w:t xml:space="preserve">47. Уполномоченный орган в течение 20 рабочих дней со дня принятия решения о предоставлении гранта, указанного в </w:t>
      </w:r>
      <w:hyperlink w:history="0" w:anchor="P310" w:tooltip="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
        <w:r>
          <w:rPr>
            <w:sz w:val="20"/>
            <w:color w:val="0000ff"/>
          </w:rPr>
          <w:t xml:space="preserve">подпункте 40.1 пункта 40</w:t>
        </w:r>
      </w:hyperlink>
      <w:r>
        <w:rPr>
          <w:sz w:val="20"/>
        </w:rPr>
        <w:t xml:space="preserve"> настоящего Положения, направляет победителям конкурса проект соглашения.</w:t>
      </w:r>
    </w:p>
    <w:bookmarkStart w:id="368" w:name="P368"/>
    <w:bookmarkEnd w:id="368"/>
    <w:p>
      <w:pPr>
        <w:pStyle w:val="0"/>
        <w:spacing w:before="200" w:line-rule="auto"/>
        <w:ind w:firstLine="540"/>
        <w:jc w:val="both"/>
      </w:pPr>
      <w:r>
        <w:rPr>
          <w:sz w:val="20"/>
        </w:rPr>
        <w:t xml:space="preserve">Соглашение заключается в течение 30 рабочих дней со дня принятия решения, указанного в </w:t>
      </w:r>
      <w:hyperlink w:history="0" w:anchor="P310" w:tooltip="40.1. Принимает решение о предоставлении грантов победителям конкурса с указанием перечня победителей конкурса и размера предоставляемого гранта, и (или) отказе в их предоставлении, перечня участников конкурса, которым отказано в предоставлении грантов. Решение о предоставлении гранта оформляется приказом Уполномоченного органа.">
        <w:r>
          <w:rPr>
            <w:sz w:val="20"/>
            <w:color w:val="0000ff"/>
          </w:rPr>
          <w:t xml:space="preserve">подпункте 40.1 пункта 40</w:t>
        </w:r>
      </w:hyperlink>
      <w:r>
        <w:rPr>
          <w:sz w:val="20"/>
        </w:rPr>
        <w:t xml:space="preserve"> настоящего Положения.</w:t>
      </w:r>
    </w:p>
    <w:p>
      <w:pPr>
        <w:pStyle w:val="0"/>
        <w:spacing w:before="200" w:line-rule="auto"/>
        <w:ind w:firstLine="540"/>
        <w:jc w:val="both"/>
      </w:pPr>
      <w:r>
        <w:rPr>
          <w:sz w:val="20"/>
        </w:rPr>
        <w:t xml:space="preserve">В случае незаключения победителем конкурса соглашения в течение срока, указанного в </w:t>
      </w:r>
      <w:hyperlink w:history="0" w:anchor="P368" w:tooltip="Соглашение заключается в течение 30 рабочих дней со дня принятия решения, указанного в подпункте 40.1 пункта 40 настоящего Положения.">
        <w:r>
          <w:rPr>
            <w:sz w:val="20"/>
            <w:color w:val="0000ff"/>
          </w:rPr>
          <w:t xml:space="preserve">абзаце втором</w:t>
        </w:r>
      </w:hyperlink>
      <w:r>
        <w:rPr>
          <w:sz w:val="20"/>
        </w:rPr>
        <w:t xml:space="preserve"> настоящего пункта, данный участник конкурса признается уклонившимся от заключения соглашения. Грант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Уполномоченного органа в течение трех рабочих дней после истечения срока, указанного в </w:t>
      </w:r>
      <w:hyperlink w:history="0" w:anchor="P368" w:tooltip="Соглашение заключается в течение 30 рабочих дней со дня принятия решения, указанного в подпункте 40.1 пункта 40 настоящего Положения.">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Высвободившиеся средства гранта предоставляются следующему участнику конкурса, проект которого по рейтингу в данном направлении набрал наибольший балл.</w:t>
      </w:r>
    </w:p>
    <w:p>
      <w:pPr>
        <w:pStyle w:val="0"/>
        <w:spacing w:before="200" w:line-rule="auto"/>
        <w:ind w:firstLine="540"/>
        <w:jc w:val="both"/>
      </w:pPr>
      <w:r>
        <w:rPr>
          <w:sz w:val="20"/>
        </w:rPr>
        <w:t xml:space="preserve">48. В соглашении предусматриваются:</w:t>
      </w:r>
    </w:p>
    <w:p>
      <w:pPr>
        <w:pStyle w:val="0"/>
        <w:spacing w:before="200" w:line-rule="auto"/>
        <w:ind w:firstLine="540"/>
        <w:jc w:val="both"/>
      </w:pPr>
      <w:r>
        <w:rPr>
          <w:sz w:val="20"/>
        </w:rPr>
        <w:t xml:space="preserve">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грантополучателя на осуществление Главным распорядителем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условий и порядка предоставления гранта в соответствии со </w:t>
      </w:r>
      <w:hyperlink w:history="0" r:id="rId4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Согласие лиц, получающих средства на основании договоров (соглашений),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грант, соблюдения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в случае уменьшения Уполномоченному органу как получателю бюджетных средств ранее доведенных лимитов бюджетных обязательств, приводящих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сроки и порядок уведомления грантополучателя о невозможности предоставления гранта в размере, определенном в соглашении, в случае уменьшения Уполномоченному органу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условие ведения грантополучателем раздельного бухгалтерского учета в отношении полученных средств гранта.</w:t>
      </w:r>
    </w:p>
    <w:bookmarkStart w:id="378" w:name="P378"/>
    <w:bookmarkEnd w:id="378"/>
    <w:p>
      <w:pPr>
        <w:pStyle w:val="0"/>
        <w:spacing w:before="200" w:line-rule="auto"/>
        <w:ind w:firstLine="540"/>
        <w:jc w:val="both"/>
      </w:pPr>
      <w:r>
        <w:rPr>
          <w:sz w:val="20"/>
        </w:rPr>
        <w:t xml:space="preserve">49. Результатом предоставления гранта является реализованный грантополучателем проект по грантовым направлениям, указанным в </w:t>
      </w:r>
      <w:hyperlink w:history="0" w:anchor="P101" w:tooltip="10. На конкурс принимаются проекты по следующим грантовым направлениям:">
        <w:r>
          <w:rPr>
            <w:sz w:val="20"/>
            <w:color w:val="0000ff"/>
          </w:rPr>
          <w:t xml:space="preserve">пункте 10</w:t>
        </w:r>
      </w:hyperlink>
      <w:r>
        <w:rPr>
          <w:sz w:val="20"/>
        </w:rPr>
        <w:t xml:space="preserve"> настоящего Положения, на дату, определенную соглашением.</w:t>
      </w:r>
    </w:p>
    <w:p>
      <w:pPr>
        <w:pStyle w:val="0"/>
        <w:spacing w:before="200" w:line-rule="auto"/>
        <w:ind w:firstLine="540"/>
        <w:jc w:val="both"/>
      </w:pPr>
      <w:r>
        <w:rPr>
          <w:sz w:val="20"/>
        </w:rPr>
        <w:t xml:space="preserve">Характеристикой является количество оказанных услуг и (или) выполненных работ в рамках реализации проекта и (или) количество мероприятий, реализованных в рамках проекта, и (или) количество получателей оказанных услуг (участников реализованных мероприятий).</w:t>
      </w:r>
    </w:p>
    <w:p>
      <w:pPr>
        <w:pStyle w:val="0"/>
        <w:spacing w:before="200" w:line-rule="auto"/>
        <w:ind w:firstLine="540"/>
        <w:jc w:val="both"/>
      </w:pPr>
      <w:r>
        <w:rPr>
          <w:sz w:val="20"/>
        </w:rPr>
        <w:t xml:space="preserve">Значения результата и характеристики, устанавливаются в соглашении.</w:t>
      </w:r>
    </w:p>
    <w:p>
      <w:pPr>
        <w:pStyle w:val="0"/>
        <w:spacing w:before="200" w:line-rule="auto"/>
        <w:ind w:firstLine="540"/>
        <w:jc w:val="both"/>
      </w:pPr>
      <w:r>
        <w:rPr>
          <w:sz w:val="20"/>
        </w:rPr>
        <w:t xml:space="preserve">Результаты предоставления гранта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50. Перечисление гранта производится с лицевого счета Уполномоченного органа на расчетный счет грантополучателя, открытый в кредитной организации, в срок, установленный соглашением, но не позднее 10 рабочих дней со дня заключения соглашения.</w:t>
      </w:r>
    </w:p>
    <w:bookmarkStart w:id="383" w:name="P383"/>
    <w:bookmarkEnd w:id="383"/>
    <w:p>
      <w:pPr>
        <w:pStyle w:val="0"/>
        <w:spacing w:before="200" w:line-rule="auto"/>
        <w:ind w:firstLine="540"/>
        <w:jc w:val="both"/>
      </w:pPr>
      <w:r>
        <w:rPr>
          <w:sz w:val="20"/>
        </w:rPr>
        <w:t xml:space="preserve">51. Направления расходования средств гранта:</w:t>
      </w:r>
    </w:p>
    <w:p>
      <w:pPr>
        <w:pStyle w:val="0"/>
        <w:spacing w:before="200" w:line-rule="auto"/>
        <w:ind w:firstLine="540"/>
        <w:jc w:val="both"/>
      </w:pPr>
      <w:r>
        <w:rPr>
          <w:sz w:val="20"/>
        </w:rPr>
        <w:t xml:space="preserve">расходы на оплату труда с начислениями;</w:t>
      </w:r>
    </w:p>
    <w:p>
      <w:pPr>
        <w:pStyle w:val="0"/>
        <w:spacing w:before="200" w:line-rule="auto"/>
        <w:ind w:firstLine="540"/>
        <w:jc w:val="both"/>
      </w:pPr>
      <w:r>
        <w:rPr>
          <w:sz w:val="20"/>
        </w:rPr>
        <w:t xml:space="preserve">расходы на содержание имущества, в том числе на проведение ремонтных работ;</w:t>
      </w:r>
    </w:p>
    <w:p>
      <w:pPr>
        <w:pStyle w:val="0"/>
        <w:spacing w:before="200" w:line-rule="auto"/>
        <w:ind w:firstLine="540"/>
        <w:jc w:val="both"/>
      </w:pPr>
      <w:r>
        <w:rPr>
          <w:sz w:val="20"/>
        </w:rPr>
        <w:t xml:space="preserve">расходы на приобретение оборудования (основных средств);</w:t>
      </w:r>
    </w:p>
    <w:p>
      <w:pPr>
        <w:pStyle w:val="0"/>
        <w:spacing w:before="200" w:line-rule="auto"/>
        <w:ind w:firstLine="540"/>
        <w:jc w:val="both"/>
      </w:pPr>
      <w:r>
        <w:rPr>
          <w:sz w:val="20"/>
        </w:rPr>
        <w:t xml:space="preserve">расходы на оплату коммунальных услуг;</w:t>
      </w:r>
    </w:p>
    <w:p>
      <w:pPr>
        <w:pStyle w:val="0"/>
        <w:spacing w:before="200" w:line-rule="auto"/>
        <w:ind w:firstLine="540"/>
        <w:jc w:val="both"/>
      </w:pPr>
      <w:r>
        <w:rPr>
          <w:sz w:val="20"/>
        </w:rPr>
        <w:t xml:space="preserve">расходы на оплату услуг связи (почта, телефон, интернет, мобильная связь);</w:t>
      </w:r>
    </w:p>
    <w:p>
      <w:pPr>
        <w:pStyle w:val="0"/>
        <w:spacing w:before="200" w:line-rule="auto"/>
        <w:ind w:firstLine="540"/>
        <w:jc w:val="both"/>
      </w:pPr>
      <w:r>
        <w:rPr>
          <w:sz w:val="20"/>
        </w:rPr>
        <w:t xml:space="preserve">расходы на транспортные услуги;</w:t>
      </w:r>
    </w:p>
    <w:p>
      <w:pPr>
        <w:pStyle w:val="0"/>
        <w:spacing w:before="200" w:line-rule="auto"/>
        <w:ind w:firstLine="540"/>
        <w:jc w:val="both"/>
      </w:pPr>
      <w:r>
        <w:rPr>
          <w:sz w:val="20"/>
        </w:rPr>
        <w:t xml:space="preserve">расходы на программное обеспечение;</w:t>
      </w:r>
    </w:p>
    <w:p>
      <w:pPr>
        <w:pStyle w:val="0"/>
        <w:spacing w:before="200" w:line-rule="auto"/>
        <w:ind w:firstLine="540"/>
        <w:jc w:val="both"/>
      </w:pPr>
      <w:r>
        <w:rPr>
          <w:sz w:val="20"/>
        </w:rPr>
        <w:t xml:space="preserve">расходы на канцелярские и хозяйственные расходы, в том числе горюче-смазочные материалы;</w:t>
      </w:r>
    </w:p>
    <w:p>
      <w:pPr>
        <w:pStyle w:val="0"/>
        <w:spacing w:before="200" w:line-rule="auto"/>
        <w:ind w:firstLine="540"/>
        <w:jc w:val="both"/>
      </w:pPr>
      <w:r>
        <w:rPr>
          <w:sz w:val="20"/>
        </w:rPr>
        <w:t xml:space="preserve">командировочные расходы (оплата проезда, проживания, суточные);</w:t>
      </w:r>
    </w:p>
    <w:p>
      <w:pPr>
        <w:pStyle w:val="0"/>
        <w:spacing w:before="200" w:line-rule="auto"/>
        <w:ind w:firstLine="540"/>
        <w:jc w:val="both"/>
      </w:pPr>
      <w:r>
        <w:rPr>
          <w:sz w:val="20"/>
        </w:rPr>
        <w:t xml:space="preserve">расходы за аренду помещений, оборудования;</w:t>
      </w:r>
    </w:p>
    <w:p>
      <w:pPr>
        <w:pStyle w:val="0"/>
        <w:spacing w:before="200" w:line-rule="auto"/>
        <w:ind w:firstLine="540"/>
        <w:jc w:val="both"/>
      </w:pPr>
      <w:r>
        <w:rPr>
          <w:sz w:val="20"/>
        </w:rPr>
        <w:t xml:space="preserve">прочие расходы, в том числе расходы за обслуживание банковских счетов, налоги и сборы;</w:t>
      </w:r>
    </w:p>
    <w:p>
      <w:pPr>
        <w:pStyle w:val="0"/>
        <w:spacing w:before="200" w:line-rule="auto"/>
        <w:ind w:firstLine="540"/>
        <w:jc w:val="both"/>
      </w:pPr>
      <w:r>
        <w:rPr>
          <w:sz w:val="20"/>
        </w:rPr>
        <w:t xml:space="preserve">расходы на оплату курсов, семинаров;</w:t>
      </w:r>
    </w:p>
    <w:p>
      <w:pPr>
        <w:pStyle w:val="0"/>
        <w:spacing w:before="200" w:line-rule="auto"/>
        <w:ind w:firstLine="540"/>
        <w:jc w:val="both"/>
      </w:pPr>
      <w:r>
        <w:rPr>
          <w:sz w:val="20"/>
        </w:rPr>
        <w:t xml:space="preserve">расходы на изготовление информационно-методических, текстовых, фото- и видеоматериалов, создание и администрирование интернет-ресурсов, мобильных приложений и других информационных продуктов;</w:t>
      </w:r>
    </w:p>
    <w:p>
      <w:pPr>
        <w:pStyle w:val="0"/>
        <w:spacing w:before="200" w:line-rule="auto"/>
        <w:ind w:firstLine="540"/>
        <w:jc w:val="both"/>
      </w:pPr>
      <w:r>
        <w:rPr>
          <w:sz w:val="20"/>
        </w:rPr>
        <w:t xml:space="preserve">расходы на оплату сувенирной продукции, подарков, поощрения (призовой фонд, сертификаты) участникам, цветов и иных расходных материалов, в том числе воды;</w:t>
      </w:r>
    </w:p>
    <w:p>
      <w:pPr>
        <w:pStyle w:val="0"/>
        <w:spacing w:before="200" w:line-rule="auto"/>
        <w:ind w:firstLine="540"/>
        <w:jc w:val="both"/>
      </w:pPr>
      <w:r>
        <w:rPr>
          <w:sz w:val="20"/>
        </w:rPr>
        <w:t xml:space="preserve">расходы на оплату услуг привлекаемых специалистов для организации и участия в мероприятии;</w:t>
      </w:r>
    </w:p>
    <w:p>
      <w:pPr>
        <w:pStyle w:val="0"/>
        <w:spacing w:before="200" w:line-rule="auto"/>
        <w:ind w:firstLine="540"/>
        <w:jc w:val="both"/>
      </w:pPr>
      <w:r>
        <w:rPr>
          <w:sz w:val="20"/>
        </w:rPr>
        <w:t xml:space="preserve">расходы на оплату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За счет предоставленного гранта грантополучателю запрещается осуществлять следующие расходы:</w:t>
      </w:r>
    </w:p>
    <w:p>
      <w:pPr>
        <w:pStyle w:val="0"/>
        <w:spacing w:before="200" w:line-rule="auto"/>
        <w:ind w:firstLine="540"/>
        <w:jc w:val="both"/>
      </w:pPr>
      <w:r>
        <w:rPr>
          <w:sz w:val="20"/>
        </w:rPr>
        <w:t xml:space="preserve">расходы, непосредственно не связанные с реализацией проекта;</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организация, а также всех видов помощи иным коммерческим организациям;</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 текущий и капитальный ремонт арендуемых помещений;</w:t>
      </w:r>
    </w:p>
    <w:p>
      <w:pPr>
        <w:pStyle w:val="0"/>
        <w:spacing w:before="200" w:line-rule="auto"/>
        <w:ind w:firstLine="540"/>
        <w:jc w:val="both"/>
      </w:pPr>
      <w:r>
        <w:rPr>
          <w:sz w:val="20"/>
        </w:rPr>
        <w:t xml:space="preserve">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грантов, определенных настоящим Положением;</w:t>
      </w:r>
    </w:p>
    <w:p>
      <w:pPr>
        <w:pStyle w:val="0"/>
        <w:spacing w:before="200" w:line-rule="auto"/>
        <w:ind w:firstLine="540"/>
        <w:jc w:val="both"/>
      </w:pPr>
      <w:r>
        <w:rPr>
          <w:sz w:val="20"/>
        </w:rPr>
        <w:t xml:space="preserve">расходы по оплате погашения задолженности организации;</w:t>
      </w:r>
    </w:p>
    <w:p>
      <w:pPr>
        <w:pStyle w:val="0"/>
        <w:spacing w:before="200" w:line-rule="auto"/>
        <w:ind w:firstLine="540"/>
        <w:jc w:val="both"/>
      </w:pPr>
      <w:r>
        <w:rPr>
          <w:sz w:val="20"/>
        </w:rPr>
        <w:t xml:space="preserve">расходы по уплате неустойки, пени, штрафов.</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412" w:name="P412"/>
    <w:bookmarkEnd w:id="412"/>
    <w:p>
      <w:pPr>
        <w:pStyle w:val="0"/>
        <w:ind w:firstLine="540"/>
        <w:jc w:val="both"/>
      </w:pPr>
      <w:r>
        <w:rPr>
          <w:sz w:val="20"/>
        </w:rPr>
        <w:t xml:space="preserve">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Министерством финансов Российской Федерации (в случае заключения соглашения в системе "Электронный бюджет").</w:t>
      </w:r>
    </w:p>
    <w:bookmarkStart w:id="413" w:name="P413"/>
    <w:bookmarkEnd w:id="413"/>
    <w:p>
      <w:pPr>
        <w:pStyle w:val="0"/>
        <w:spacing w:before="200" w:line-rule="auto"/>
        <w:ind w:firstLine="540"/>
        <w:jc w:val="both"/>
      </w:pPr>
      <w:r>
        <w:rPr>
          <w:sz w:val="20"/>
        </w:rPr>
        <w:t xml:space="preserve">Уполномоченный орган вправе установить в соглашении формы и сроки представляемой грантополучателем дополнительной отчетности, связанной с предоставлением гранта и не указанной в </w:t>
      </w:r>
      <w:hyperlink w:history="0" w:anchor="P412" w:tooltip="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 отчетам, указанным в </w:t>
      </w:r>
      <w:hyperlink w:history="0" w:anchor="P412" w:tooltip="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sz w:val="20"/>
            <w:color w:val="0000ff"/>
          </w:rPr>
          <w:t xml:space="preserve">абзацах первом</w:t>
        </w:r>
      </w:hyperlink>
      <w:r>
        <w:rPr>
          <w:sz w:val="20"/>
        </w:rPr>
        <w:t xml:space="preserve"> и </w:t>
      </w:r>
      <w:hyperlink w:history="0" w:anchor="P413" w:tooltip="Уполномоченный орган вправе установить в соглашении формы и сроки представляемой грантополучателем дополнительной отчетности, связанной с предоставлением гранта и не указанной в абзаце первом настоящего пункта.">
        <w:r>
          <w:rPr>
            <w:sz w:val="20"/>
            <w:color w:val="0000ff"/>
          </w:rPr>
          <w:t xml:space="preserve">втором</w:t>
        </w:r>
      </w:hyperlink>
      <w:r>
        <w:rPr>
          <w:sz w:val="20"/>
        </w:rPr>
        <w:t xml:space="preserve"> настоящего пункта, грантополучатель прилагает копии документов, подтверждающих расходы, понесенные при реализации проекта, иные документы, предусмотренные соглашением, подписанные руководителем грантополучателя (иным уполномоченным лицом) и заверенные печатью грантополучателя, а также материалы (информацию), подтверждающие достижение значений результата и характеристик предоставления гранта, установленных в соглашении.</w:t>
      </w:r>
    </w:p>
    <w:p>
      <w:pPr>
        <w:pStyle w:val="0"/>
        <w:spacing w:before="200" w:line-rule="auto"/>
        <w:ind w:firstLine="540"/>
        <w:jc w:val="both"/>
      </w:pPr>
      <w:r>
        <w:rPr>
          <w:sz w:val="20"/>
        </w:rPr>
        <w:t xml:space="preserve">53. Ответственность за достоверность сведений, указанных в представленных в Уполномоченный орган документах и отчетах, несет грантополучатель.</w:t>
      </w:r>
    </w:p>
    <w:p>
      <w:pPr>
        <w:pStyle w:val="0"/>
        <w:jc w:val="both"/>
      </w:pPr>
      <w:r>
        <w:rPr>
          <w:sz w:val="20"/>
        </w:rPr>
      </w:r>
    </w:p>
    <w:bookmarkStart w:id="417" w:name="P417"/>
    <w:bookmarkEnd w:id="417"/>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54. Контроль за соблюдением грантополучателем условий и порядка предоставления гранта осуществляется Уполномоченным органом и органами государственного финансового контроля Тюменской области.</w:t>
      </w:r>
    </w:p>
    <w:p>
      <w:pPr>
        <w:pStyle w:val="0"/>
        <w:spacing w:before="200" w:line-rule="auto"/>
        <w:ind w:firstLine="540"/>
        <w:jc w:val="both"/>
      </w:pPr>
      <w:r>
        <w:rPr>
          <w:sz w:val="20"/>
        </w:rPr>
        <w:t xml:space="preserve">Мониторинг достижения результатов предоставления грантов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Государственный финансовый контроль в отношении грантополучателя за соблюдением условий и порядка предоставления гранта осуществляется в соответствии со </w:t>
      </w:r>
      <w:hyperlink w:history="0" r:id="rId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55. Уполномоченный орган в сроки, установленные Соглашением, проводит проверку отчетов, указанных в </w:t>
      </w:r>
      <w:hyperlink w:history="0" w:anchor="P412" w:tooltip="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sz w:val="20"/>
            <w:color w:val="0000ff"/>
          </w:rPr>
          <w:t xml:space="preserve">пункте 52</w:t>
        </w:r>
      </w:hyperlink>
      <w:r>
        <w:rPr>
          <w:sz w:val="20"/>
        </w:rPr>
        <w:t xml:space="preserve"> настоящего Положения.</w:t>
      </w:r>
    </w:p>
    <w:bookmarkStart w:id="425" w:name="P425"/>
    <w:bookmarkEnd w:id="425"/>
    <w:p>
      <w:pPr>
        <w:pStyle w:val="0"/>
        <w:spacing w:before="200" w:line-rule="auto"/>
        <w:ind w:firstLine="540"/>
        <w:jc w:val="both"/>
      </w:pPr>
      <w:r>
        <w:rPr>
          <w:sz w:val="20"/>
        </w:rPr>
        <w:t xml:space="preserve">56. В случае нарушения условий предоставления гранта, выявленных по результатам проверок, проведенных Уполномоченным органом и органами государственного финансового контроля, средства гранта подлежат возврату в областной бюджет следующим образом:</w:t>
      </w:r>
    </w:p>
    <w:p>
      <w:pPr>
        <w:pStyle w:val="0"/>
        <w:spacing w:before="200" w:line-rule="auto"/>
        <w:ind w:firstLine="540"/>
        <w:jc w:val="both"/>
      </w:pPr>
      <w:r>
        <w:rPr>
          <w:sz w:val="20"/>
        </w:rPr>
        <w:t xml:space="preserve">При нарушении целевого расходования гранта по направлениям, указанным в </w:t>
      </w:r>
      <w:hyperlink w:history="0" w:anchor="P383" w:tooltip="51. Направления расходования средств гранта:">
        <w:r>
          <w:rPr>
            <w:sz w:val="20"/>
            <w:color w:val="0000ff"/>
          </w:rPr>
          <w:t xml:space="preserve">пункте 51</w:t>
        </w:r>
      </w:hyperlink>
      <w:r>
        <w:rPr>
          <w:sz w:val="20"/>
        </w:rPr>
        <w:t xml:space="preserve"> настоящего Положения, средства гранта подлежат возврату в областной бюджет в части их нецелевого использования.</w:t>
      </w:r>
    </w:p>
    <w:p>
      <w:pPr>
        <w:pStyle w:val="0"/>
        <w:spacing w:before="200" w:line-rule="auto"/>
        <w:ind w:firstLine="540"/>
        <w:jc w:val="both"/>
      </w:pPr>
      <w:r>
        <w:rPr>
          <w:sz w:val="20"/>
        </w:rPr>
        <w:t xml:space="preserve">В случае нарушения условий предоставления гранта, указанных в </w:t>
      </w:r>
      <w:hyperlink w:history="0" w:anchor="P328" w:tooltip="запрет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абзацах 4</w:t>
        </w:r>
      </w:hyperlink>
      <w:r>
        <w:rPr>
          <w:sz w:val="20"/>
        </w:rPr>
        <w:t xml:space="preserve"> - </w:t>
      </w:r>
      <w:hyperlink w:history="0" w:anchor="P330" w:tooltip="согласие лиц, получающих средства на основании договоров (соглашений),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грант, соблюдения порядка и условий п...">
        <w:r>
          <w:rPr>
            <w:sz w:val="20"/>
            <w:color w:val="0000ff"/>
          </w:rPr>
          <w:t xml:space="preserve">6 пункта 42</w:t>
        </w:r>
      </w:hyperlink>
      <w:r>
        <w:rPr>
          <w:sz w:val="20"/>
        </w:rPr>
        <w:t xml:space="preserve"> настоящего Положения, средства подлежат возврату в областной бюджет в полном объеме.</w:t>
      </w:r>
    </w:p>
    <w:p>
      <w:pPr>
        <w:pStyle w:val="0"/>
        <w:spacing w:before="200" w:line-rule="auto"/>
        <w:ind w:firstLine="540"/>
        <w:jc w:val="both"/>
      </w:pPr>
      <w:r>
        <w:rPr>
          <w:sz w:val="20"/>
        </w:rPr>
        <w:t xml:space="preserve">В случае недостижения значений результатов предоставления гранта, предусмотренных соглашением, соответствующие средства подлежат возврату в областной бюджет в объеме, пропорциональном недостигнутому значению характеристик, который рассчитывается по формуле:</w:t>
      </w:r>
    </w:p>
    <w:p>
      <w:pPr>
        <w:pStyle w:val="0"/>
        <w:jc w:val="both"/>
      </w:pPr>
      <w:r>
        <w:rPr>
          <w:sz w:val="20"/>
        </w:rPr>
      </w:r>
    </w:p>
    <w:p>
      <w:pPr>
        <w:pStyle w:val="0"/>
        <w:jc w:val="center"/>
      </w:pPr>
      <w:r>
        <w:rPr>
          <w:position w:val="-10"/>
        </w:rPr>
        <w:drawing>
          <wp:inline distT="0" distB="0" distL="0" distR="0">
            <wp:extent cx="2143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Vвозврата - средства гранта, подлежащие возврату в областной бюджет;</w:t>
      </w:r>
    </w:p>
    <w:p>
      <w:pPr>
        <w:pStyle w:val="0"/>
        <w:spacing w:before="200" w:line-rule="auto"/>
        <w:ind w:firstLine="540"/>
        <w:jc w:val="both"/>
      </w:pPr>
      <w:r>
        <w:rPr>
          <w:sz w:val="20"/>
        </w:rPr>
        <w:t xml:space="preserve">Si - стоимость i-го товара, работы, услуги;</w:t>
      </w:r>
    </w:p>
    <w:p>
      <w:pPr>
        <w:pStyle w:val="0"/>
        <w:spacing w:before="200" w:line-rule="auto"/>
        <w:ind w:firstLine="540"/>
        <w:jc w:val="both"/>
      </w:pPr>
      <w:r>
        <w:rPr>
          <w:sz w:val="20"/>
        </w:rPr>
        <w:t xml:space="preserve">Di - значение i-й характеристики, отраженного в отчетном документе;</w:t>
      </w:r>
    </w:p>
    <w:p>
      <w:pPr>
        <w:pStyle w:val="0"/>
        <w:spacing w:before="200" w:line-rule="auto"/>
        <w:ind w:firstLine="540"/>
        <w:jc w:val="both"/>
      </w:pPr>
      <w:r>
        <w:rPr>
          <w:sz w:val="20"/>
        </w:rPr>
        <w:t xml:space="preserve">Ti - фактическое значение i-й характеристики.</w:t>
      </w:r>
    </w:p>
    <w:p>
      <w:pPr>
        <w:pStyle w:val="0"/>
        <w:spacing w:before="200" w:line-rule="auto"/>
        <w:ind w:firstLine="540"/>
        <w:jc w:val="both"/>
      </w:pPr>
      <w:r>
        <w:rPr>
          <w:sz w:val="20"/>
        </w:rPr>
        <w:t xml:space="preserve">57. Уполномоченный орган в течение 5 рабочих дней со дня выявления случаев, указанных в </w:t>
      </w:r>
      <w:hyperlink w:history="0" w:anchor="P425" w:tooltip="56. В случае нарушения условий предоставления гранта, выявленных по результатам проверок, проведенных Уполномоченным органом и органами государственного финансового контроля, средства гранта подлежат возврату в областной бюджет следующим образом:">
        <w:r>
          <w:rPr>
            <w:sz w:val="20"/>
            <w:color w:val="0000ff"/>
          </w:rPr>
          <w:t xml:space="preserve">пункте 56</w:t>
        </w:r>
      </w:hyperlink>
      <w:r>
        <w:rPr>
          <w:sz w:val="20"/>
        </w:rPr>
        <w:t xml:space="preserve">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грантополучателя заказным письмом с уведомлением по адресу, указанному в соглашении.</w:t>
      </w:r>
    </w:p>
    <w:p>
      <w:pPr>
        <w:pStyle w:val="0"/>
        <w:spacing w:before="200" w:line-rule="auto"/>
        <w:ind w:firstLine="540"/>
        <w:jc w:val="both"/>
      </w:pPr>
      <w:r>
        <w:rPr>
          <w:sz w:val="20"/>
        </w:rPr>
        <w:t xml:space="preserve">В случае неустранения грантополучателем нарушений в сроки, указанные в акте, уполномоченный орган в течение 5 рабочих дней со дня истечения срока, указанного в акте, принимает решение о возврате грантополучателем гранта в областной бюджет, которое оформляется приказом уполномоченного органа.</w:t>
      </w:r>
    </w:p>
    <w:p>
      <w:pPr>
        <w:pStyle w:val="0"/>
        <w:spacing w:before="200" w:line-rule="auto"/>
        <w:ind w:firstLine="540"/>
        <w:jc w:val="both"/>
      </w:pPr>
      <w:r>
        <w:rPr>
          <w:sz w:val="20"/>
        </w:rPr>
        <w:t xml:space="preserve">Уполномоченный орган в течение 5 рабочих дней со дня вынесения решения о возврате гранта в областной бюджет направляет грантополучателю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перечисляется средства (далее - требование). Требование направляется грантополучателю заказным письмом с уведомлением по адресу, указанному в соглашении.</w:t>
      </w:r>
    </w:p>
    <w:p>
      <w:pPr>
        <w:pStyle w:val="0"/>
        <w:spacing w:before="200" w:line-rule="auto"/>
        <w:ind w:firstLine="540"/>
        <w:jc w:val="both"/>
      </w:pPr>
      <w:r>
        <w:rPr>
          <w:sz w:val="20"/>
        </w:rPr>
        <w:t xml:space="preserve">Грантополучатель осуществляет возврат гранта в течение 30 календарных дней (если в требовании не указан иной срок) со дня получения требования. В случае неисполнения грантополучателем в установленный требованием срок требования о возврате средств гранта в областной бюджет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58. В случае наличия неиспользованного остатка гранта грантополучатель осуществляет его возврат в областной бюджет в срок не позднее 30 календарных дней со дня окончания реализации проекта. В случае неисполнения грантополучателем условия о возврате неиспользованных средств гранта в областной бюджет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VI. Оценка завершенных проектов, получивших поддержку</w:t>
      </w:r>
    </w:p>
    <w:p>
      <w:pPr>
        <w:pStyle w:val="0"/>
        <w:jc w:val="both"/>
      </w:pPr>
      <w:r>
        <w:rPr>
          <w:sz w:val="20"/>
        </w:rPr>
      </w:r>
    </w:p>
    <w:p>
      <w:pPr>
        <w:pStyle w:val="0"/>
        <w:ind w:firstLine="540"/>
        <w:jc w:val="both"/>
      </w:pPr>
      <w:r>
        <w:rPr>
          <w:sz w:val="20"/>
        </w:rPr>
        <w:t xml:space="preserve">59. Эффективность и целевое использование гранта оценивается Уполномоченным органом на основании представленных грантополучателем отчетов, указанных в </w:t>
      </w:r>
      <w:hyperlink w:history="0" w:anchor="P412" w:tooltip="52. Грантополучатель ежеквартально в срок, не позднее 20 числа месяца, следующего за отчетным периодом представляет в Уполномоченный орган отчет об осуществлении расходов, источником финансового обеспечения которых является грант, отчет о достижении значений результатов предоставления гранта и характеристик, необходимых для достижения результатов предоставления гранта, в соответствии с формами, определенными типовой формой соглашения, установленной Департаментом финансов Тюменской области или Министерств...">
        <w:r>
          <w:rPr>
            <w:sz w:val="20"/>
            <w:color w:val="0000ff"/>
          </w:rPr>
          <w:t xml:space="preserve">пункте 52</w:t>
        </w:r>
      </w:hyperlink>
      <w:r>
        <w:rPr>
          <w:sz w:val="20"/>
        </w:rPr>
        <w:t xml:space="preserve"> настоящего Положения. Эффективность использования гранта определяется как процент фактического достижения значений результатов предоставления гранта, определенных соглашением.</w:t>
      </w:r>
    </w:p>
    <w:p>
      <w:pPr>
        <w:pStyle w:val="0"/>
        <w:spacing w:before="200" w:line-rule="auto"/>
        <w:ind w:firstLine="540"/>
        <w:jc w:val="both"/>
      </w:pPr>
      <w:r>
        <w:rPr>
          <w:sz w:val="20"/>
        </w:rPr>
        <w:t xml:space="preserve">В целях формирования перечня организаций, наиболее успешно реализовавших проект, Уполномоченным органом осуществляется оценка результатов реализации социально ориентированными некоммерческими организациями - победителями конкурса грантов Губернатора Тюменской области на развитие гражданского общества социально значимых проектов (далее - оценка результатов проектов).</w:t>
      </w:r>
    </w:p>
    <w:p>
      <w:pPr>
        <w:pStyle w:val="0"/>
        <w:spacing w:before="200" w:line-rule="auto"/>
        <w:ind w:firstLine="540"/>
        <w:jc w:val="both"/>
      </w:pPr>
      <w:r>
        <w:rPr>
          <w:sz w:val="20"/>
        </w:rPr>
        <w:t xml:space="preserve">Порядок проведения оценки результатов проектов утверждается приказом уполномоченного органа и включает следующие процедуры:</w:t>
      </w:r>
    </w:p>
    <w:p>
      <w:pPr>
        <w:pStyle w:val="0"/>
        <w:spacing w:before="200" w:line-rule="auto"/>
        <w:ind w:firstLine="540"/>
        <w:jc w:val="both"/>
      </w:pPr>
      <w:r>
        <w:rPr>
          <w:sz w:val="20"/>
        </w:rPr>
        <w:t xml:space="preserve">- оценку результатов проектов грантополучателями;</w:t>
      </w:r>
    </w:p>
    <w:p>
      <w:pPr>
        <w:pStyle w:val="0"/>
        <w:spacing w:before="200" w:line-rule="auto"/>
        <w:ind w:firstLine="540"/>
        <w:jc w:val="both"/>
      </w:pPr>
      <w:r>
        <w:rPr>
          <w:sz w:val="20"/>
        </w:rPr>
        <w:t xml:space="preserve">- оценку результатов проектов Уполномоченным органом, иными органами исполнительной власти Тюменской области;</w:t>
      </w:r>
    </w:p>
    <w:p>
      <w:pPr>
        <w:pStyle w:val="0"/>
        <w:spacing w:before="200" w:line-rule="auto"/>
        <w:ind w:firstLine="540"/>
        <w:jc w:val="both"/>
      </w:pPr>
      <w:r>
        <w:rPr>
          <w:sz w:val="20"/>
        </w:rPr>
        <w:t xml:space="preserve">- оценку результатов проектов представителями Объединенного экспертного совета;</w:t>
      </w:r>
    </w:p>
    <w:p>
      <w:pPr>
        <w:pStyle w:val="0"/>
        <w:spacing w:before="200" w:line-rule="auto"/>
        <w:ind w:firstLine="540"/>
        <w:jc w:val="both"/>
      </w:pPr>
      <w:r>
        <w:rPr>
          <w:sz w:val="20"/>
        </w:rPr>
        <w:t xml:space="preserve">- оценку результатов проектов гражданами или организациями, которые являлись благополучателями проекта либо интересы которых были затронуты в ходе реализации проекта;</w:t>
      </w:r>
    </w:p>
    <w:p>
      <w:pPr>
        <w:pStyle w:val="0"/>
        <w:spacing w:before="200" w:line-rule="auto"/>
        <w:ind w:firstLine="540"/>
        <w:jc w:val="both"/>
      </w:pPr>
      <w:r>
        <w:rPr>
          <w:sz w:val="20"/>
        </w:rPr>
        <w:t xml:space="preserve">- подведение итогов оценки результатов проектов.</w:t>
      </w:r>
    </w:p>
    <w:p>
      <w:pPr>
        <w:pStyle w:val="0"/>
        <w:spacing w:before="200" w:line-rule="auto"/>
        <w:ind w:firstLine="540"/>
        <w:jc w:val="both"/>
      </w:pPr>
      <w:r>
        <w:rPr>
          <w:sz w:val="20"/>
        </w:rPr>
        <w:t xml:space="preserve">Процедуры, предусмотренные настоящим пунктом, проводятся ежегодно начиная с 2022 года в отношении проектов, реализация которых завершилась в предыдущем календарном году после проверки Уполномоченным органом.</w:t>
      </w:r>
    </w:p>
    <w:p>
      <w:pPr>
        <w:pStyle w:val="0"/>
        <w:spacing w:before="200" w:line-rule="auto"/>
        <w:ind w:firstLine="540"/>
        <w:jc w:val="both"/>
      </w:pPr>
      <w:r>
        <w:rPr>
          <w:sz w:val="20"/>
        </w:rPr>
        <w:t xml:space="preserve">Оценка результатов проекта завершается определением общего вывода об успешности реализации проекта.</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(более 90%) достижения значений характеристик предоставления гранта, высокого или среднего уровня информационной открытости проекта и отсутствия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удовлетворительно" дается в случае частичного (не ниже 50%) достижения значений характеристик предоставления гранта, наличия незначительных замечаний со стороны уполномоченного органа к реализации проекта и (или) представлению отчетности при отсутствии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договора о предоставлении гранта. К таким случаям относятся в том числе: низкий уровень (менее 50%) достижения характеристик проекта, использование гранта не по целевому назначению, непредставление отчетности.</w:t>
      </w:r>
    </w:p>
    <w:p>
      <w:pPr>
        <w:pStyle w:val="0"/>
        <w:spacing w:before="200" w:line-rule="auto"/>
        <w:ind w:firstLine="540"/>
        <w:jc w:val="both"/>
      </w:pPr>
      <w:r>
        <w:rPr>
          <w:sz w:val="20"/>
        </w:rPr>
        <w:t xml:space="preserve">Грантополучатели, проекты которых признаны по итогам оценки "успешными", награждаются дипломами; приглашаются на встречи с руководителями органов исполнительной власти Тюменской области в рамках направления деятельности реализуемого проекта. Информация о данных проектах размещается на официальном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67" w:name="P467"/>
    <w:bookmarkEnd w:id="467"/>
    <w:p>
      <w:pPr>
        <w:pStyle w:val="0"/>
        <w:outlineLvl w:val="1"/>
        <w:jc w:val="right"/>
      </w:pPr>
      <w:r>
        <w:rPr>
          <w:sz w:val="20"/>
        </w:rPr>
        <w:t xml:space="preserve">Приложение N 1</w:t>
      </w:r>
    </w:p>
    <w:p>
      <w:pPr>
        <w:pStyle w:val="0"/>
        <w:jc w:val="right"/>
      </w:pPr>
      <w:r>
        <w:rPr>
          <w:sz w:val="20"/>
        </w:rPr>
        <w:t xml:space="preserve">к Положению о предоставлении</w:t>
      </w:r>
    </w:p>
    <w:p>
      <w:pPr>
        <w:pStyle w:val="0"/>
        <w:jc w:val="right"/>
      </w:pPr>
      <w:r>
        <w:rPr>
          <w:sz w:val="20"/>
        </w:rPr>
        <w:t xml:space="preserve">грантов Губернатора Тюменской области</w:t>
      </w:r>
    </w:p>
    <w:p>
      <w:pPr>
        <w:pStyle w:val="0"/>
        <w:jc w:val="right"/>
      </w:pPr>
      <w:r>
        <w:rPr>
          <w:sz w:val="20"/>
        </w:rPr>
        <w:t xml:space="preserve">на развитие гражданского общества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p>
            <w:pPr>
              <w:pStyle w:val="0"/>
              <w:jc w:val="center"/>
            </w:pPr>
            <w:r>
              <w:rPr>
                <w:sz w:val="20"/>
              </w:rPr>
              <w:t xml:space="preserve">Фирменный бланк организации (при наличии)</w:t>
            </w:r>
          </w:p>
        </w:tc>
      </w:tr>
      <w:tr>
        <w:tc>
          <w:tcPr>
            <w:gridSpan w:val="2"/>
            <w:tcW w:w="9070" w:type="dxa"/>
            <w:tcBorders>
              <w:top w:val="nil"/>
              <w:left w:val="nil"/>
              <w:bottom w:val="single" w:sz="4"/>
              <w:right w:val="nil"/>
            </w:tcBorders>
          </w:tcPr>
          <w:p>
            <w:pPr>
              <w:pStyle w:val="0"/>
            </w:pPr>
            <w:r>
              <w:rPr>
                <w:sz w:val="20"/>
              </w:rPr>
            </w:r>
          </w:p>
        </w:tc>
      </w:tr>
      <w:tr>
        <w:tc>
          <w:tcPr>
            <w:gridSpan w:val="2"/>
            <w:tcW w:w="9070"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jc w:val="both"/>
            </w:pPr>
            <w:r>
              <w:rPr>
                <w:sz w:val="20"/>
              </w:rPr>
              <w:t xml:space="preserve">Настоящим письмом подтверждаю об отсутствии на день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а также иной просроченной (неурегулированной) задолженности по денежным обязательствам перед Тюменской областью.</w:t>
            </w:r>
          </w:p>
        </w:tc>
      </w:tr>
      <w:tr>
        <w:tc>
          <w:tcPr>
            <w:gridSpan w:val="2"/>
            <w:tcW w:w="9070"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pPr>
            <w:r>
              <w:rPr>
                <w:sz w:val="20"/>
              </w:rPr>
              <w:t xml:space="preserve">Руководитель организации</w:t>
            </w:r>
          </w:p>
          <w:p>
            <w:pPr>
              <w:pStyle w:val="0"/>
            </w:pPr>
            <w:r>
              <w:rPr>
                <w:sz w:val="20"/>
              </w:rPr>
              <w:t xml:space="preserve">(иное уполномоченным лицом)</w:t>
            </w:r>
          </w:p>
        </w:tc>
        <w:tc>
          <w:tcPr>
            <w:tcW w:w="4535" w:type="dxa"/>
            <w:tcBorders>
              <w:top w:val="nil"/>
              <w:left w:val="nil"/>
              <w:bottom w:val="nil"/>
              <w:right w:val="nil"/>
            </w:tcBorders>
          </w:tcPr>
          <w:p>
            <w:pPr>
              <w:pStyle w:val="0"/>
              <w:jc w:val="center"/>
            </w:pPr>
            <w:r>
              <w:rPr>
                <w:sz w:val="20"/>
              </w:rPr>
              <w:t xml:space="preserve">ФИО</w:t>
            </w:r>
          </w:p>
        </w:tc>
      </w:tr>
      <w:tr>
        <w:tc>
          <w:tcPr>
            <w:tcW w:w="4535" w:type="dxa"/>
            <w:tcBorders>
              <w:top w:val="nil"/>
              <w:left w:val="nil"/>
              <w:bottom w:val="nil"/>
              <w:right w:val="nil"/>
            </w:tcBorders>
          </w:tcPr>
          <w:p>
            <w:pPr>
              <w:pStyle w:val="0"/>
            </w:pPr>
            <w:r>
              <w:rPr>
                <w:sz w:val="20"/>
              </w:rPr>
              <w:t xml:space="preserve">Главный бухгалтер (при наличии)</w:t>
            </w:r>
          </w:p>
        </w:tc>
        <w:tc>
          <w:tcPr>
            <w:tcW w:w="4535" w:type="dxa"/>
            <w:tcBorders>
              <w:top w:val="nil"/>
              <w:left w:val="nil"/>
              <w:bottom w:val="nil"/>
              <w:right w:val="nil"/>
            </w:tcBorders>
          </w:tcPr>
          <w:p>
            <w:pPr>
              <w:pStyle w:val="0"/>
              <w:jc w:val="center"/>
            </w:pPr>
            <w:r>
              <w:rPr>
                <w:sz w:val="20"/>
              </w:rPr>
              <w:t xml:space="preserve">ФИО</w:t>
            </w:r>
          </w:p>
        </w:tc>
      </w:tr>
      <w:tr>
        <w:tc>
          <w:tcPr>
            <w:tcW w:w="4535" w:type="dxa"/>
            <w:tcBorders>
              <w:top w:val="nil"/>
              <w:left w:val="nil"/>
              <w:bottom w:val="nil"/>
              <w:right w:val="nil"/>
            </w:tcBorders>
          </w:tcPr>
          <w:p>
            <w:pPr>
              <w:pStyle w:val="0"/>
            </w:pPr>
            <w:r>
              <w:rPr>
                <w:sz w:val="20"/>
              </w:rPr>
              <w:t xml:space="preserve">Печать организации __________</w:t>
            </w:r>
          </w:p>
        </w:tc>
        <w:tc>
          <w:tcPr>
            <w:tcW w:w="453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предоставлении</w:t>
      </w:r>
    </w:p>
    <w:p>
      <w:pPr>
        <w:pStyle w:val="0"/>
        <w:jc w:val="right"/>
      </w:pPr>
      <w:r>
        <w:rPr>
          <w:sz w:val="20"/>
        </w:rPr>
        <w:t xml:space="preserve">грантов Губернатора Тюменской области</w:t>
      </w:r>
    </w:p>
    <w:p>
      <w:pPr>
        <w:pStyle w:val="0"/>
        <w:jc w:val="right"/>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Тюменской области от 03.02.2023 N 36-п &quot;О внесении изменений в постановление от 22.04.2021 N 213-п&quot; {КонсультантПлюс}">
              <w:r>
                <w:rPr>
                  <w:sz w:val="20"/>
                  <w:color w:val="0000ff"/>
                </w:rPr>
                <w:t xml:space="preserve">постановления</w:t>
              </w:r>
            </w:hyperlink>
            <w:r>
              <w:rPr>
                <w:sz w:val="20"/>
                <w:color w:val="392c69"/>
              </w:rPr>
              <w:t xml:space="preserve"> Правительства Тюменской области от 03.02.2023 N 36-п)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97" w:name="P497"/>
    <w:bookmarkEnd w:id="497"/>
    <w:p>
      <w:pPr>
        <w:pStyle w:val="1"/>
        <w:jc w:val="both"/>
      </w:pPr>
      <w:r>
        <w:rPr>
          <w:sz w:val="20"/>
        </w:rPr>
        <w:t xml:space="preserve">                             СОГЛАСИЕ СУБЪЕКТА</w:t>
      </w:r>
    </w:p>
    <w:p>
      <w:pPr>
        <w:pStyle w:val="1"/>
        <w:jc w:val="both"/>
      </w:pPr>
      <w:r>
        <w:rPr>
          <w:sz w:val="20"/>
        </w:rPr>
        <w:t xml:space="preserve">                     НА ОБРАБОТКУ ПЕРСОНАЛЬНЫХ ДАННЫХ,</w:t>
      </w:r>
    </w:p>
    <w:p>
      <w:pPr>
        <w:pStyle w:val="1"/>
        <w:jc w:val="both"/>
      </w:pPr>
      <w:r>
        <w:rPr>
          <w:sz w:val="20"/>
        </w:rPr>
        <w:t xml:space="preserve">       РАЗРЕШЕННЫХ СУБЪЕКТОМ ПЕРСОНАЛЬНЫХ ДАННЫХ ДЛЯ РАСПРОСТРАНЕНИЯ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полностью)</w:t>
      </w:r>
    </w:p>
    <w:p>
      <w:pPr>
        <w:pStyle w:val="1"/>
        <w:jc w:val="both"/>
      </w:pPr>
      <w:r>
        <w:rPr>
          <w:sz w:val="20"/>
        </w:rPr>
        <w:t xml:space="preserve">зарегистрированный (-ая) по адресу: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номер телефона: _________________, адрес электронной почты: ______________,</w:t>
      </w:r>
    </w:p>
    <w:p>
      <w:pPr>
        <w:pStyle w:val="1"/>
        <w:jc w:val="both"/>
      </w:pPr>
      <w:r>
        <w:rPr>
          <w:sz w:val="20"/>
        </w:rPr>
        <w:t xml:space="preserve">в  соответствии  со  </w:t>
      </w:r>
      <w:hyperlink w:history="0" r:id="rId48" w:tooltip="Федеральный закон от 27.07.2006 N 152-ФЗ (ред. от 06.02.2023) &quot;О персональных данных&quot; {КонсультантПлюс}">
        <w:r>
          <w:rPr>
            <w:sz w:val="20"/>
            <w:color w:val="0000ff"/>
          </w:rPr>
          <w:t xml:space="preserve">ст. 10.1</w:t>
        </w:r>
      </w:hyperlink>
      <w:r>
        <w:rPr>
          <w:sz w:val="20"/>
        </w:rPr>
        <w:t xml:space="preserve"> Федерального закона от 27.07.2006 N 152-ФЗ "О</w:t>
      </w:r>
    </w:p>
    <w:p>
      <w:pPr>
        <w:pStyle w:val="1"/>
        <w:jc w:val="both"/>
      </w:pPr>
      <w:r>
        <w:rPr>
          <w:sz w:val="20"/>
        </w:rPr>
        <w:t xml:space="preserve">персональных   данных",   в   целях   участия   в   конкурсных  процедурах,</w:t>
      </w:r>
    </w:p>
    <w:p>
      <w:pPr>
        <w:pStyle w:val="1"/>
        <w:jc w:val="both"/>
      </w:pPr>
      <w:r>
        <w:rPr>
          <w:sz w:val="20"/>
        </w:rPr>
        <w:t xml:space="preserve">предусмотренных     постановлением    Правительства    Тюменской    области</w:t>
      </w:r>
    </w:p>
    <w:p>
      <w:pPr>
        <w:pStyle w:val="1"/>
        <w:jc w:val="both"/>
      </w:pPr>
      <w:r>
        <w:rPr>
          <w:sz w:val="20"/>
        </w:rPr>
        <w:t xml:space="preserve">от  22.04.2021  N  213-п "Об утверждении Положения о предоставлении грантов</w:t>
      </w:r>
    </w:p>
    <w:p>
      <w:pPr>
        <w:pStyle w:val="1"/>
        <w:jc w:val="both"/>
      </w:pPr>
      <w:r>
        <w:rPr>
          <w:sz w:val="20"/>
        </w:rPr>
        <w:t xml:space="preserve">Губернатора  Тюменской области на развитие гражданского общества", даю свое</w:t>
      </w:r>
    </w:p>
    <w:p>
      <w:pPr>
        <w:pStyle w:val="1"/>
        <w:jc w:val="both"/>
      </w:pPr>
      <w:r>
        <w:rPr>
          <w:sz w:val="20"/>
        </w:rPr>
        <w:t xml:space="preserve">согласие   на   обработку,  в  том  числе  в  форме  распространения,  моих</w:t>
      </w:r>
    </w:p>
    <w:p>
      <w:pPr>
        <w:pStyle w:val="1"/>
        <w:jc w:val="both"/>
      </w:pPr>
      <w:r>
        <w:rPr>
          <w:sz w:val="20"/>
        </w:rPr>
        <w:t xml:space="preserve">персональных  данных, заполненных мной самостоятельно, на официальном сайте</w:t>
      </w:r>
    </w:p>
    <w:p>
      <w:pPr>
        <w:pStyle w:val="1"/>
        <w:jc w:val="both"/>
      </w:pPr>
      <w:r>
        <w:rPr>
          <w:sz w:val="20"/>
        </w:rPr>
        <w:t xml:space="preserve">конкурса     в     информационно-телекоммуникационной    сети    "Интернет"</w:t>
      </w:r>
    </w:p>
    <w:p>
      <w:pPr>
        <w:pStyle w:val="1"/>
        <w:jc w:val="both"/>
      </w:pPr>
      <w:r>
        <w:rPr>
          <w:sz w:val="20"/>
        </w:rPr>
        <w:t xml:space="preserve">https://тюмень.гранты.рф/</w:t>
      </w:r>
      <w:r>
        <w:rPr>
          <w:sz w:val="20"/>
        </w:rPr>
        <w:t xml:space="preserve">   Департаменту   социального  развития  Тюменской</w:t>
      </w:r>
    </w:p>
    <w:p>
      <w:pPr>
        <w:pStyle w:val="1"/>
        <w:jc w:val="both"/>
      </w:pPr>
      <w:r>
        <w:rPr>
          <w:sz w:val="20"/>
        </w:rPr>
        <w:t xml:space="preserve">области,  расположенному  по  адресу: 625048, г. Тюмень, ул. Республики, д.</w:t>
      </w:r>
    </w:p>
    <w:p>
      <w:pPr>
        <w:pStyle w:val="1"/>
        <w:jc w:val="both"/>
      </w:pPr>
      <w:r>
        <w:rPr>
          <w:sz w:val="20"/>
        </w:rPr>
        <w:t xml:space="preserve">83А, ИНН 7202137875, ОГРН 1057200725152 (далее - Департамент).</w:t>
      </w:r>
    </w:p>
    <w:p>
      <w:pPr>
        <w:pStyle w:val="1"/>
        <w:jc w:val="both"/>
      </w:pPr>
      <w:r>
        <w:rPr>
          <w:sz w:val="20"/>
        </w:rPr>
      </w:r>
    </w:p>
    <w:p>
      <w:pPr>
        <w:pStyle w:val="1"/>
        <w:jc w:val="both"/>
      </w:pPr>
      <w:r>
        <w:rPr>
          <w:sz w:val="20"/>
        </w:rPr>
        <w:t xml:space="preserve">    Категории  и  перечень  моих  персональных данных, на обработку в форме</w:t>
      </w:r>
    </w:p>
    <w:p>
      <w:pPr>
        <w:pStyle w:val="1"/>
        <w:jc w:val="both"/>
      </w:pPr>
      <w:r>
        <w:rPr>
          <w:sz w:val="20"/>
        </w:rPr>
        <w:t xml:space="preserve">распространения  которых я даю согласие (напротив каждого пункта необходимо</w:t>
      </w:r>
    </w:p>
    <w:p>
      <w:pPr>
        <w:pStyle w:val="1"/>
        <w:jc w:val="both"/>
      </w:pPr>
      <w:r>
        <w:rPr>
          <w:sz w:val="20"/>
        </w:rPr>
        <w:t xml:space="preserve">указать да/нет):</w:t>
      </w:r>
    </w:p>
    <w:p>
      <w:pPr>
        <w:pStyle w:val="1"/>
        <w:jc w:val="both"/>
      </w:pPr>
      <w:r>
        <w:rPr>
          <w:sz w:val="20"/>
        </w:rPr>
        <w:t xml:space="preserve">- фамилия, имя, отчество, дата и место рождения - /_______/;</w:t>
      </w:r>
    </w:p>
    <w:p>
      <w:pPr>
        <w:pStyle w:val="1"/>
        <w:jc w:val="both"/>
      </w:pPr>
      <w:r>
        <w:rPr>
          <w:sz w:val="20"/>
        </w:rPr>
        <w:t xml:space="preserve">- фотография - /________/;</w:t>
      </w:r>
    </w:p>
    <w:p>
      <w:pPr>
        <w:pStyle w:val="1"/>
        <w:jc w:val="both"/>
      </w:pPr>
      <w:r>
        <w:rPr>
          <w:sz w:val="20"/>
        </w:rPr>
        <w:t xml:space="preserve">- номер телефона - /________/;</w:t>
      </w:r>
    </w:p>
    <w:p>
      <w:pPr>
        <w:pStyle w:val="1"/>
        <w:jc w:val="both"/>
      </w:pPr>
      <w:r>
        <w:rPr>
          <w:sz w:val="20"/>
        </w:rPr>
        <w:t xml:space="preserve">- электронная почта - /_______/;</w:t>
      </w:r>
    </w:p>
    <w:p>
      <w:pPr>
        <w:pStyle w:val="1"/>
        <w:jc w:val="both"/>
      </w:pPr>
      <w:r>
        <w:rPr>
          <w:sz w:val="20"/>
        </w:rPr>
        <w:t xml:space="preserve">- образование - /____________/;</w:t>
      </w:r>
    </w:p>
    <w:p>
      <w:pPr>
        <w:pStyle w:val="1"/>
        <w:jc w:val="both"/>
      </w:pPr>
      <w:r>
        <w:rPr>
          <w:sz w:val="20"/>
        </w:rPr>
        <w:t xml:space="preserve">- место работы - /__________/;</w:t>
      </w:r>
    </w:p>
    <w:p>
      <w:pPr>
        <w:pStyle w:val="1"/>
        <w:jc w:val="both"/>
      </w:pPr>
      <w:r>
        <w:rPr>
          <w:sz w:val="20"/>
        </w:rPr>
        <w:t xml:space="preserve">- опыт работы - /_________/;</w:t>
      </w:r>
    </w:p>
    <w:p>
      <w:pPr>
        <w:pStyle w:val="1"/>
        <w:jc w:val="both"/>
      </w:pPr>
      <w:r>
        <w:rPr>
          <w:sz w:val="20"/>
        </w:rPr>
        <w:t xml:space="preserve">- ссылки на профили в социальных сетях - /_________/.</w:t>
      </w:r>
    </w:p>
    <w:p>
      <w:pPr>
        <w:pStyle w:val="1"/>
        <w:jc w:val="both"/>
      </w:pPr>
      <w:r>
        <w:rPr>
          <w:sz w:val="20"/>
        </w:rPr>
      </w:r>
    </w:p>
    <w:p>
      <w:pPr>
        <w:pStyle w:val="1"/>
        <w:jc w:val="both"/>
      </w:pPr>
      <w:r>
        <w:rPr>
          <w:sz w:val="20"/>
        </w:rPr>
        <w:t xml:space="preserve">    Условия  и запреты на обработку вышеуказанных персональных данных (</w:t>
      </w:r>
      <w:hyperlink w:history="0" r:id="rId49" w:tooltip="Федеральный закон от 27.07.2006 N 152-ФЗ (ред. от 06.02.2023) &quot;О персональных данных&quot; {КонсультантПлюс}">
        <w:r>
          <w:rPr>
            <w:sz w:val="20"/>
            <w:color w:val="0000ff"/>
          </w:rPr>
          <w:t xml:space="preserve">ч. 9</w:t>
        </w:r>
      </w:hyperlink>
    </w:p>
    <w:p>
      <w:pPr>
        <w:pStyle w:val="1"/>
        <w:jc w:val="both"/>
      </w:pPr>
      <w:r>
        <w:rPr>
          <w:sz w:val="20"/>
        </w:rPr>
        <w:t xml:space="preserve">ст. 10.1 Федерального закона от 27.07.2006 N 152-ФЗ "О персональных данных"</w:t>
      </w:r>
    </w:p>
    <w:p>
      <w:pPr>
        <w:pStyle w:val="1"/>
        <w:jc w:val="both"/>
      </w:pPr>
      <w:r>
        <w:rPr>
          <w:sz w:val="20"/>
        </w:rPr>
        <w:t xml:space="preserve">(нужное подчеркнуть):</w:t>
      </w:r>
    </w:p>
    <w:p>
      <w:pPr>
        <w:pStyle w:val="1"/>
        <w:jc w:val="both"/>
      </w:pPr>
      <w:r>
        <w:rPr>
          <w:sz w:val="20"/>
        </w:rPr>
        <w:t xml:space="preserve">- не устанавливаю;</w:t>
      </w:r>
    </w:p>
    <w:p>
      <w:pPr>
        <w:pStyle w:val="1"/>
        <w:jc w:val="both"/>
      </w:pPr>
      <w:r>
        <w:rPr>
          <w:sz w:val="20"/>
        </w:rPr>
        <w:t xml:space="preserve">-   устанавливаю  запрет  на  передачу  (кроме  предоставления  доступа  на</w:t>
      </w:r>
    </w:p>
    <w:p>
      <w:pPr>
        <w:pStyle w:val="1"/>
        <w:jc w:val="both"/>
      </w:pPr>
      <w:r>
        <w:rPr>
          <w:sz w:val="20"/>
        </w:rPr>
        <w:t xml:space="preserve">официальном  сайте  в  информационно-телекоммуникационной  сети  "Интернет"</w:t>
      </w:r>
    </w:p>
    <w:p>
      <w:pPr>
        <w:pStyle w:val="1"/>
        <w:jc w:val="both"/>
      </w:pPr>
      <w:r>
        <w:rPr>
          <w:sz w:val="20"/>
        </w:rPr>
        <w:t xml:space="preserve">https://тюмень.гранты.рф/</w:t>
      </w:r>
      <w:r>
        <w:rPr>
          <w:sz w:val="20"/>
        </w:rPr>
        <w:t xml:space="preserve">)  этих  данных  оператором  неограниченному кругу</w:t>
      </w:r>
    </w:p>
    <w:p>
      <w:pPr>
        <w:pStyle w:val="1"/>
        <w:jc w:val="both"/>
      </w:pPr>
      <w:r>
        <w:rPr>
          <w:sz w:val="20"/>
        </w:rPr>
        <w:t xml:space="preserve">лиц;</w:t>
      </w:r>
    </w:p>
    <w:p>
      <w:pPr>
        <w:pStyle w:val="1"/>
        <w:jc w:val="both"/>
      </w:pPr>
      <w:r>
        <w:rPr>
          <w:sz w:val="20"/>
        </w:rPr>
        <w:t xml:space="preserve">-  устанавливаю  запрет  на обработку (кроме получения доступа) этих данных</w:t>
      </w:r>
    </w:p>
    <w:p>
      <w:pPr>
        <w:pStyle w:val="1"/>
        <w:jc w:val="both"/>
      </w:pPr>
      <w:r>
        <w:rPr>
          <w:sz w:val="20"/>
        </w:rPr>
        <w:t xml:space="preserve">оператором неограниченному кругу лиц;</w:t>
      </w:r>
    </w:p>
    <w:p>
      <w:pPr>
        <w:pStyle w:val="1"/>
        <w:jc w:val="both"/>
      </w:pPr>
      <w:r>
        <w:rPr>
          <w:sz w:val="20"/>
        </w:rPr>
        <w:t xml:space="preserve">    -  устанавливаю условия обработки (кроме получения доступа) этих данных</w:t>
      </w:r>
    </w:p>
    <w:p>
      <w:pPr>
        <w:pStyle w:val="1"/>
        <w:jc w:val="both"/>
      </w:pPr>
      <w:r>
        <w:rPr>
          <w:sz w:val="20"/>
        </w:rPr>
        <w:t xml:space="preserve">неограниченным                          кругом                         лиц:</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Условия,  при которых полученные персональные данные могут передаваться</w:t>
      </w:r>
    </w:p>
    <w:p>
      <w:pPr>
        <w:pStyle w:val="1"/>
        <w:jc w:val="both"/>
      </w:pPr>
      <w:r>
        <w:rPr>
          <w:sz w:val="20"/>
        </w:rPr>
        <w:t xml:space="preserve">оператором   только   по  его  внутренней  сети,  обеспечивающей  доступ  к</w:t>
      </w:r>
    </w:p>
    <w:p>
      <w:pPr>
        <w:pStyle w:val="1"/>
        <w:jc w:val="both"/>
      </w:pPr>
      <w:r>
        <w:rPr>
          <w:sz w:val="20"/>
        </w:rPr>
        <w:t xml:space="preserve">информации  лишь для строго определенных сотрудников, либо с использованием</w:t>
      </w:r>
    </w:p>
    <w:p>
      <w:pPr>
        <w:pStyle w:val="1"/>
        <w:jc w:val="both"/>
      </w:pPr>
      <w:r>
        <w:rPr>
          <w:sz w:val="20"/>
        </w:rPr>
        <w:t xml:space="preserve">информационно-телекоммуникационных  сетей,  либо  без  передачи  полученных</w:t>
      </w:r>
    </w:p>
    <w:p>
      <w:pPr>
        <w:pStyle w:val="1"/>
        <w:jc w:val="both"/>
      </w:pPr>
      <w:r>
        <w:rPr>
          <w:sz w:val="20"/>
        </w:rPr>
        <w:t xml:space="preserve">персональных данных (нужное подчеркнуть):</w:t>
      </w:r>
    </w:p>
    <w:p>
      <w:pPr>
        <w:pStyle w:val="1"/>
        <w:jc w:val="both"/>
      </w:pPr>
      <w:r>
        <w:rPr>
          <w:sz w:val="20"/>
        </w:rPr>
        <w:t xml:space="preserve">- устанавливаю: __________________________________________________________;</w:t>
      </w:r>
    </w:p>
    <w:p>
      <w:pPr>
        <w:pStyle w:val="1"/>
        <w:jc w:val="both"/>
      </w:pPr>
      <w:r>
        <w:rPr>
          <w:sz w:val="20"/>
        </w:rPr>
        <w:t xml:space="preserve">- не устанавливаю.</w:t>
      </w:r>
    </w:p>
    <w:p>
      <w:pPr>
        <w:pStyle w:val="1"/>
        <w:jc w:val="both"/>
      </w:pPr>
      <w:r>
        <w:rPr>
          <w:sz w:val="20"/>
        </w:rPr>
      </w:r>
    </w:p>
    <w:p>
      <w:pPr>
        <w:pStyle w:val="1"/>
        <w:jc w:val="both"/>
      </w:pPr>
      <w:r>
        <w:rPr>
          <w:sz w:val="20"/>
        </w:rPr>
        <w:t xml:space="preserve">    Департамент   гарантирует,   что  обработка  моих  персональных  данных</w:t>
      </w:r>
    </w:p>
    <w:p>
      <w:pPr>
        <w:pStyle w:val="1"/>
        <w:jc w:val="both"/>
      </w:pPr>
      <w:r>
        <w:rPr>
          <w:sz w:val="20"/>
        </w:rPr>
        <w:t xml:space="preserve">осуществляется  в  соответствии  с действующим законодательством Российской</w:t>
      </w:r>
    </w:p>
    <w:p>
      <w:pPr>
        <w:pStyle w:val="1"/>
        <w:jc w:val="both"/>
      </w:pPr>
      <w:r>
        <w:rPr>
          <w:sz w:val="20"/>
        </w:rPr>
        <w:t xml:space="preserve">Федерации.</w:t>
      </w:r>
    </w:p>
    <w:p>
      <w:pPr>
        <w:pStyle w:val="1"/>
        <w:jc w:val="both"/>
      </w:pPr>
      <w:r>
        <w:rPr>
          <w:sz w:val="20"/>
        </w:rPr>
        <w:t xml:space="preserve">    Я   проинформирован   о   том,   что  Департамент  будет  обрабатывать,</w:t>
      </w:r>
    </w:p>
    <w:p>
      <w:pPr>
        <w:pStyle w:val="1"/>
        <w:jc w:val="both"/>
      </w:pPr>
      <w:r>
        <w:rPr>
          <w:sz w:val="20"/>
        </w:rPr>
        <w:t xml:space="preserve">распространять  мои  персональные  данные  как  неавтоматизированным, так и</w:t>
      </w:r>
    </w:p>
    <w:p>
      <w:pPr>
        <w:pStyle w:val="1"/>
        <w:jc w:val="both"/>
      </w:pPr>
      <w:r>
        <w:rPr>
          <w:sz w:val="20"/>
        </w:rPr>
        <w:t xml:space="preserve">автоматизированным способом обработки.</w:t>
      </w:r>
    </w:p>
    <w:p>
      <w:pPr>
        <w:pStyle w:val="1"/>
        <w:jc w:val="both"/>
      </w:pPr>
      <w:r>
        <w:rPr>
          <w:sz w:val="20"/>
        </w:rPr>
        <w:t xml:space="preserve">    Данное  согласие  действительно с даты заполнения настоящего согласия в</w:t>
      </w:r>
    </w:p>
    <w:p>
      <w:pPr>
        <w:pStyle w:val="1"/>
        <w:jc w:val="both"/>
      </w:pPr>
      <w:r>
        <w:rPr>
          <w:sz w:val="20"/>
        </w:rPr>
        <w:t xml:space="preserve">течение  срока  хранения  информации согласно действующему законодательству</w:t>
      </w:r>
    </w:p>
    <w:p>
      <w:pPr>
        <w:pStyle w:val="1"/>
        <w:jc w:val="both"/>
      </w:pPr>
      <w:r>
        <w:rPr>
          <w:sz w:val="20"/>
        </w:rPr>
        <w:t xml:space="preserve">Российской Федерации.</w:t>
      </w:r>
    </w:p>
    <w:p>
      <w:pPr>
        <w:pStyle w:val="1"/>
        <w:jc w:val="both"/>
      </w:pPr>
      <w:r>
        <w:rPr>
          <w:sz w:val="20"/>
        </w:rPr>
        <w:t xml:space="preserve">    Данное согласие может быть отозвано в любой момент по моему письменному</w:t>
      </w:r>
    </w:p>
    <w:p>
      <w:pPr>
        <w:pStyle w:val="1"/>
        <w:jc w:val="both"/>
      </w:pPr>
      <w:r>
        <w:rPr>
          <w:sz w:val="20"/>
        </w:rPr>
        <w:t xml:space="preserve">заявлению.</w:t>
      </w:r>
    </w:p>
    <w:p>
      <w:pPr>
        <w:pStyle w:val="1"/>
        <w:jc w:val="both"/>
      </w:pPr>
      <w:r>
        <w:rPr>
          <w:sz w:val="20"/>
        </w:rPr>
        <w:t xml:space="preserve">    Я  подтверждаю,  что,  давая  такое согласие, я действую по собственной</w:t>
      </w:r>
    </w:p>
    <w:p>
      <w:pPr>
        <w:pStyle w:val="1"/>
        <w:jc w:val="both"/>
      </w:pPr>
      <w:r>
        <w:rPr>
          <w:sz w:val="20"/>
        </w:rPr>
        <w:t xml:space="preserve">воле и в своих интересах.</w:t>
      </w:r>
    </w:p>
    <w:p>
      <w:pPr>
        <w:pStyle w:val="1"/>
        <w:jc w:val="both"/>
      </w:pPr>
      <w:r>
        <w:rPr>
          <w:sz w:val="20"/>
        </w:rPr>
      </w:r>
    </w:p>
    <w:p>
      <w:pPr>
        <w:pStyle w:val="1"/>
        <w:jc w:val="both"/>
      </w:pPr>
      <w:r>
        <w:rPr>
          <w:sz w:val="20"/>
        </w:rPr>
        <w:t xml:space="preserve">    Дата _______________ Подпись ______________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предоставлении</w:t>
      </w:r>
    </w:p>
    <w:p>
      <w:pPr>
        <w:pStyle w:val="0"/>
        <w:jc w:val="right"/>
      </w:pPr>
      <w:r>
        <w:rPr>
          <w:sz w:val="20"/>
        </w:rPr>
        <w:t xml:space="preserve">грантов Губернатора Тюменской области</w:t>
      </w:r>
    </w:p>
    <w:p>
      <w:pPr>
        <w:pStyle w:val="0"/>
        <w:jc w:val="right"/>
      </w:pPr>
      <w:r>
        <w:rPr>
          <w:sz w:val="20"/>
        </w:rPr>
        <w:t xml:space="preserve">на развитие гражданского общества</w:t>
      </w:r>
    </w:p>
    <w:p>
      <w:pPr>
        <w:pStyle w:val="0"/>
        <w:jc w:val="both"/>
      </w:pPr>
      <w:r>
        <w:rPr>
          <w:sz w:val="20"/>
        </w:rPr>
      </w:r>
    </w:p>
    <w:bookmarkStart w:id="577" w:name="P577"/>
    <w:bookmarkEnd w:id="577"/>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ГРАНТОВ ГУБЕРНАТОРА ТЮМЕНСКОЙ ОБЛАСТИ НА РАЗВИТИЕ</w:t>
      </w:r>
    </w:p>
    <w:p>
      <w:pPr>
        <w:pStyle w:val="2"/>
        <w:jc w:val="center"/>
      </w:pPr>
      <w:r>
        <w:rPr>
          <w:sz w:val="20"/>
        </w:rPr>
        <w:t xml:space="preserve">ГРАЖДАНСКОГО ОБЩЕСТВА</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оценки заявок на участие в конкурсе на предоставление грантов Губернатора Тюменской области на развитие гражданского общества определяет порядок проведения независимой экспертизы конкурсных заявок, допущенных к участию в конкурсе (далее соответственно - Методика, независимая экспертиза).</w:t>
      </w:r>
    </w:p>
    <w:p>
      <w:pPr>
        <w:pStyle w:val="0"/>
        <w:spacing w:before="200" w:line-rule="auto"/>
        <w:ind w:firstLine="540"/>
        <w:jc w:val="both"/>
      </w:pPr>
      <w:r>
        <w:rPr>
          <w:sz w:val="20"/>
        </w:rPr>
        <w:t xml:space="preserve">2. Независимая экспертиза включает оценку заявок на участие в конкурсе экспертами конкурса.</w:t>
      </w:r>
    </w:p>
    <w:p>
      <w:pPr>
        <w:pStyle w:val="0"/>
        <w:spacing w:before="200" w:line-rule="auto"/>
        <w:ind w:firstLine="540"/>
        <w:jc w:val="both"/>
      </w:pPr>
      <w:r>
        <w:rPr>
          <w:sz w:val="20"/>
        </w:rPr>
        <w:t xml:space="preserve">3. Заявка на участие в конкурсе, допущенная до независимой экспертизы, оценивается тремя экспертами из состава экспертов конкурса, сформированного Советом.</w:t>
      </w:r>
    </w:p>
    <w:p>
      <w:pPr>
        <w:pStyle w:val="0"/>
        <w:spacing w:before="200" w:line-rule="auto"/>
        <w:ind w:firstLine="540"/>
        <w:jc w:val="both"/>
      </w:pPr>
      <w:r>
        <w:rPr>
          <w:sz w:val="20"/>
        </w:rPr>
        <w:t xml:space="preserve">4. Распределение заявок на оценку экспертам конкурса осуществляет Организатор конкурса.</w:t>
      </w:r>
    </w:p>
    <w:p>
      <w:pPr>
        <w:pStyle w:val="0"/>
        <w:jc w:val="both"/>
      </w:pPr>
      <w:r>
        <w:rPr>
          <w:sz w:val="20"/>
        </w:rPr>
      </w:r>
    </w:p>
    <w:p>
      <w:pPr>
        <w:pStyle w:val="2"/>
        <w:outlineLvl w:val="2"/>
        <w:jc w:val="center"/>
      </w:pPr>
      <w:r>
        <w:rPr>
          <w:sz w:val="20"/>
        </w:rPr>
        <w:t xml:space="preserve">II. Оценка заявки экспертами конкурса</w:t>
      </w:r>
    </w:p>
    <w:p>
      <w:pPr>
        <w:pStyle w:val="0"/>
        <w:jc w:val="both"/>
      </w:pPr>
      <w:r>
        <w:rPr>
          <w:sz w:val="20"/>
        </w:rPr>
      </w:r>
    </w:p>
    <w:p>
      <w:pPr>
        <w:pStyle w:val="0"/>
        <w:ind w:firstLine="540"/>
        <w:jc w:val="both"/>
      </w:pPr>
      <w:r>
        <w:rPr>
          <w:sz w:val="20"/>
        </w:rPr>
        <w:t xml:space="preserve">5.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6. Эксперт конкурса оценивает заявку по 10 критериям, присваивая по каждому из них от 0 до 10 баллов (целым числом), оставляет комментарий под каждым критерием.</w:t>
      </w:r>
    </w:p>
    <w:p>
      <w:pPr>
        <w:pStyle w:val="0"/>
        <w:spacing w:before="200" w:line-rule="auto"/>
        <w:ind w:firstLine="540"/>
        <w:jc w:val="both"/>
      </w:pPr>
      <w:r>
        <w:rPr>
          <w:sz w:val="20"/>
        </w:rPr>
        <w:t xml:space="preserve">7.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594" w:name="P594"/>
    <w:bookmarkEnd w:id="594"/>
    <w:p>
      <w:pPr>
        <w:pStyle w:val="0"/>
        <w:spacing w:before="200" w:line-rule="auto"/>
        <w:ind w:firstLine="540"/>
        <w:jc w:val="both"/>
      </w:pPr>
      <w:r>
        <w:rPr>
          <w:sz w:val="20"/>
        </w:rPr>
        <w:t xml:space="preserve">8.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690"/>
        <w:gridCol w:w="1871"/>
      </w:tblGrid>
      <w:tr>
        <w:tc>
          <w:tcPr>
            <w:tcW w:w="510" w:type="dxa"/>
          </w:tcPr>
          <w:p>
            <w:pPr>
              <w:pStyle w:val="0"/>
              <w:jc w:val="center"/>
            </w:pPr>
            <w:r>
              <w:rPr>
                <w:sz w:val="20"/>
              </w:rPr>
              <w:t xml:space="preserve">N</w:t>
            </w:r>
          </w:p>
        </w:tc>
        <w:tc>
          <w:tcPr>
            <w:tcW w:w="6690" w:type="dxa"/>
          </w:tcPr>
          <w:p>
            <w:pPr>
              <w:pStyle w:val="0"/>
              <w:jc w:val="center"/>
            </w:pPr>
            <w:r>
              <w:rPr>
                <w:sz w:val="20"/>
              </w:rPr>
              <w:t xml:space="preserve">Критерии оценки заявок</w:t>
            </w:r>
          </w:p>
        </w:tc>
        <w:tc>
          <w:tcPr>
            <w:tcW w:w="1871" w:type="dxa"/>
          </w:tcPr>
          <w:p>
            <w:pPr>
              <w:pStyle w:val="0"/>
              <w:jc w:val="center"/>
            </w:pPr>
            <w:r>
              <w:rPr>
                <w:sz w:val="20"/>
              </w:rPr>
              <w:t xml:space="preserve">Коэффициенты значимости</w:t>
            </w:r>
          </w:p>
        </w:tc>
      </w:tr>
      <w:tr>
        <w:tc>
          <w:tcPr>
            <w:tcW w:w="510" w:type="dxa"/>
          </w:tcPr>
          <w:p>
            <w:pPr>
              <w:pStyle w:val="0"/>
              <w:jc w:val="center"/>
            </w:pPr>
            <w:r>
              <w:rPr>
                <w:sz w:val="20"/>
              </w:rPr>
              <w:t xml:space="preserve">1</w:t>
            </w:r>
          </w:p>
        </w:tc>
        <w:tc>
          <w:tcPr>
            <w:tcW w:w="6690" w:type="dxa"/>
          </w:tcPr>
          <w:p>
            <w:pPr>
              <w:pStyle w:val="0"/>
              <w:jc w:val="both"/>
            </w:pPr>
            <w:r>
              <w:rPr>
                <w:sz w:val="20"/>
              </w:rPr>
              <w:t xml:space="preserve">Актуальность и социальная значимость проекта</w:t>
            </w:r>
          </w:p>
        </w:tc>
        <w:tc>
          <w:tcPr>
            <w:tcW w:w="1871" w:type="dxa"/>
          </w:tcPr>
          <w:p>
            <w:pPr>
              <w:pStyle w:val="0"/>
              <w:jc w:val="center"/>
            </w:pPr>
            <w:r>
              <w:rPr>
                <w:sz w:val="20"/>
              </w:rPr>
              <w:t xml:space="preserve">2</w:t>
            </w:r>
          </w:p>
        </w:tc>
      </w:tr>
      <w:tr>
        <w:tc>
          <w:tcPr>
            <w:tcW w:w="510" w:type="dxa"/>
          </w:tcPr>
          <w:p>
            <w:pPr>
              <w:pStyle w:val="0"/>
              <w:jc w:val="center"/>
            </w:pPr>
            <w:r>
              <w:rPr>
                <w:sz w:val="20"/>
              </w:rPr>
              <w:t xml:space="preserve">2</w:t>
            </w:r>
          </w:p>
        </w:tc>
        <w:tc>
          <w:tcPr>
            <w:tcW w:w="6690"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871" w:type="dxa"/>
          </w:tcPr>
          <w:p>
            <w:pPr>
              <w:pStyle w:val="0"/>
              <w:jc w:val="center"/>
            </w:pPr>
            <w:r>
              <w:rPr>
                <w:sz w:val="20"/>
              </w:rPr>
              <w:t xml:space="preserve">2</w:t>
            </w:r>
          </w:p>
        </w:tc>
      </w:tr>
      <w:tr>
        <w:tc>
          <w:tcPr>
            <w:tcW w:w="510" w:type="dxa"/>
          </w:tcPr>
          <w:p>
            <w:pPr>
              <w:pStyle w:val="0"/>
              <w:jc w:val="center"/>
            </w:pPr>
            <w:r>
              <w:rPr>
                <w:sz w:val="20"/>
              </w:rPr>
              <w:t xml:space="preserve">3</w:t>
            </w:r>
          </w:p>
        </w:tc>
        <w:tc>
          <w:tcPr>
            <w:tcW w:w="6690" w:type="dxa"/>
          </w:tcPr>
          <w:p>
            <w:pPr>
              <w:pStyle w:val="0"/>
              <w:jc w:val="both"/>
            </w:pPr>
            <w:r>
              <w:rPr>
                <w:sz w:val="20"/>
              </w:rPr>
              <w:t xml:space="preserve">Инновационность, уникальность проекта</w:t>
            </w:r>
          </w:p>
        </w:tc>
        <w:tc>
          <w:tcPr>
            <w:tcW w:w="1871" w:type="dxa"/>
          </w:tcPr>
          <w:p>
            <w:pPr>
              <w:pStyle w:val="0"/>
              <w:jc w:val="center"/>
            </w:pPr>
            <w:r>
              <w:rPr>
                <w:sz w:val="20"/>
              </w:rPr>
              <w:t xml:space="preserve">0,5</w:t>
            </w:r>
          </w:p>
        </w:tc>
      </w:tr>
      <w:tr>
        <w:tc>
          <w:tcPr>
            <w:tcW w:w="510" w:type="dxa"/>
          </w:tcPr>
          <w:p>
            <w:pPr>
              <w:pStyle w:val="0"/>
              <w:jc w:val="center"/>
            </w:pPr>
            <w:r>
              <w:rPr>
                <w:sz w:val="20"/>
              </w:rPr>
              <w:t xml:space="preserve">4</w:t>
            </w:r>
          </w:p>
        </w:tc>
        <w:tc>
          <w:tcPr>
            <w:tcW w:w="6690"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871" w:type="dxa"/>
          </w:tcPr>
          <w:p>
            <w:pPr>
              <w:pStyle w:val="0"/>
              <w:jc w:val="center"/>
            </w:pPr>
            <w:r>
              <w:rPr>
                <w:sz w:val="20"/>
              </w:rPr>
              <w:t xml:space="preserve">2</w:t>
            </w:r>
          </w:p>
        </w:tc>
      </w:tr>
      <w:tr>
        <w:tc>
          <w:tcPr>
            <w:tcW w:w="510" w:type="dxa"/>
          </w:tcPr>
          <w:p>
            <w:pPr>
              <w:pStyle w:val="0"/>
              <w:jc w:val="center"/>
            </w:pPr>
            <w:r>
              <w:rPr>
                <w:sz w:val="20"/>
              </w:rPr>
              <w:t xml:space="preserve">5</w:t>
            </w:r>
          </w:p>
        </w:tc>
        <w:tc>
          <w:tcPr>
            <w:tcW w:w="6690"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871" w:type="dxa"/>
          </w:tcPr>
          <w:p>
            <w:pPr>
              <w:pStyle w:val="0"/>
              <w:jc w:val="center"/>
            </w:pPr>
            <w:r>
              <w:rPr>
                <w:sz w:val="20"/>
              </w:rPr>
              <w:t xml:space="preserve">1</w:t>
            </w:r>
          </w:p>
        </w:tc>
      </w:tr>
      <w:tr>
        <w:tc>
          <w:tcPr>
            <w:tcW w:w="510" w:type="dxa"/>
          </w:tcPr>
          <w:p>
            <w:pPr>
              <w:pStyle w:val="0"/>
              <w:jc w:val="center"/>
            </w:pPr>
            <w:r>
              <w:rPr>
                <w:sz w:val="20"/>
              </w:rPr>
              <w:t xml:space="preserve">6</w:t>
            </w:r>
          </w:p>
        </w:tc>
        <w:tc>
          <w:tcPr>
            <w:tcW w:w="6690" w:type="dxa"/>
          </w:tcPr>
          <w:p>
            <w:pPr>
              <w:pStyle w:val="0"/>
              <w:jc w:val="both"/>
            </w:pPr>
            <w:r>
              <w:rPr>
                <w:sz w:val="20"/>
              </w:rPr>
              <w:t xml:space="preserve">Масштабность реализации проекта</w:t>
            </w:r>
          </w:p>
        </w:tc>
        <w:tc>
          <w:tcPr>
            <w:tcW w:w="1871" w:type="dxa"/>
          </w:tcPr>
          <w:p>
            <w:pPr>
              <w:pStyle w:val="0"/>
              <w:jc w:val="center"/>
            </w:pPr>
            <w:r>
              <w:rPr>
                <w:sz w:val="20"/>
              </w:rPr>
              <w:t xml:space="preserve">0,5</w:t>
            </w:r>
          </w:p>
        </w:tc>
      </w:tr>
      <w:tr>
        <w:tc>
          <w:tcPr>
            <w:tcW w:w="510" w:type="dxa"/>
          </w:tcPr>
          <w:p>
            <w:pPr>
              <w:pStyle w:val="0"/>
              <w:jc w:val="center"/>
            </w:pPr>
            <w:r>
              <w:rPr>
                <w:sz w:val="20"/>
              </w:rPr>
              <w:t xml:space="preserve">7</w:t>
            </w:r>
          </w:p>
        </w:tc>
        <w:tc>
          <w:tcPr>
            <w:tcW w:w="6690"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871" w:type="dxa"/>
          </w:tcPr>
          <w:p>
            <w:pPr>
              <w:pStyle w:val="0"/>
              <w:jc w:val="center"/>
            </w:pPr>
            <w:r>
              <w:rPr>
                <w:sz w:val="20"/>
              </w:rPr>
              <w:t xml:space="preserve">0,5</w:t>
            </w:r>
          </w:p>
        </w:tc>
      </w:tr>
      <w:tr>
        <w:tc>
          <w:tcPr>
            <w:tcW w:w="510" w:type="dxa"/>
          </w:tcPr>
          <w:p>
            <w:pPr>
              <w:pStyle w:val="0"/>
              <w:jc w:val="center"/>
            </w:pPr>
            <w:r>
              <w:rPr>
                <w:sz w:val="20"/>
              </w:rPr>
              <w:t xml:space="preserve">8</w:t>
            </w:r>
          </w:p>
        </w:tc>
        <w:tc>
          <w:tcPr>
            <w:tcW w:w="6690"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871" w:type="dxa"/>
          </w:tcPr>
          <w:p>
            <w:pPr>
              <w:pStyle w:val="0"/>
              <w:jc w:val="center"/>
            </w:pPr>
            <w:r>
              <w:rPr>
                <w:sz w:val="20"/>
              </w:rPr>
              <w:t xml:space="preserve">0,5</w:t>
            </w:r>
          </w:p>
        </w:tc>
      </w:tr>
      <w:tr>
        <w:tc>
          <w:tcPr>
            <w:tcW w:w="510" w:type="dxa"/>
          </w:tcPr>
          <w:p>
            <w:pPr>
              <w:pStyle w:val="0"/>
              <w:jc w:val="center"/>
            </w:pPr>
            <w:r>
              <w:rPr>
                <w:sz w:val="20"/>
              </w:rPr>
              <w:t xml:space="preserve">9</w:t>
            </w:r>
          </w:p>
        </w:tc>
        <w:tc>
          <w:tcPr>
            <w:tcW w:w="6690" w:type="dxa"/>
          </w:tcPr>
          <w:p>
            <w:pPr>
              <w:pStyle w:val="0"/>
              <w:jc w:val="both"/>
            </w:pPr>
            <w:r>
              <w:rPr>
                <w:sz w:val="20"/>
              </w:rPr>
              <w:t xml:space="preserve">Соответствие опыта и компетенций команды проекта планируемой деятельности</w:t>
            </w:r>
          </w:p>
        </w:tc>
        <w:tc>
          <w:tcPr>
            <w:tcW w:w="1871" w:type="dxa"/>
          </w:tcPr>
          <w:p>
            <w:pPr>
              <w:pStyle w:val="0"/>
              <w:jc w:val="center"/>
            </w:pPr>
            <w:r>
              <w:rPr>
                <w:sz w:val="20"/>
              </w:rPr>
              <w:t xml:space="preserve">1</w:t>
            </w:r>
          </w:p>
        </w:tc>
      </w:tr>
      <w:tr>
        <w:tc>
          <w:tcPr>
            <w:tcW w:w="510" w:type="dxa"/>
          </w:tcPr>
          <w:p>
            <w:pPr>
              <w:pStyle w:val="0"/>
              <w:jc w:val="center"/>
            </w:pPr>
            <w:r>
              <w:rPr>
                <w:sz w:val="20"/>
              </w:rPr>
              <w:t xml:space="preserve">10</w:t>
            </w:r>
          </w:p>
        </w:tc>
        <w:tc>
          <w:tcPr>
            <w:tcW w:w="6690" w:type="dxa"/>
          </w:tcPr>
          <w:p>
            <w:pPr>
              <w:pStyle w:val="0"/>
              <w:jc w:val="both"/>
            </w:pPr>
            <w:r>
              <w:rPr>
                <w:sz w:val="20"/>
              </w:rPr>
              <w:t xml:space="preserve">Информационная открытость Заявителя</w:t>
            </w:r>
          </w:p>
        </w:tc>
        <w:tc>
          <w:tcPr>
            <w:tcW w:w="1871"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9. Определение оценки (от 0 до 10 баллов) по критериям оценки заявок, установленным </w:t>
      </w:r>
      <w:hyperlink w:history="0" w:anchor="P594" w:tooltip="8. Критерии оценки заявок и коэффициенты их значимости:">
        <w:r>
          <w:rPr>
            <w:sz w:val="20"/>
            <w:color w:val="0000ff"/>
          </w:rPr>
          <w:t xml:space="preserve">пунктом 8</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характеристиками;</w:t>
            </w:r>
          </w:p>
          <w:p>
            <w:pPr>
              <w:pStyle w:val="0"/>
              <w:jc w:val="both"/>
            </w:pPr>
            <w:r>
              <w:rPr>
                <w:sz w:val="20"/>
              </w:rPr>
              <w:t xml:space="preserve">- проект направлен в полной мере на решение именно тех проблем, которые обозначены как значимые;</w:t>
            </w:r>
          </w:p>
          <w:p>
            <w:pPr>
              <w:pStyle w:val="0"/>
              <w:jc w:val="both"/>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 мероприятия проекта полностью соответствуют выбранному грантовому направлению</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jc w:val="both"/>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 проблемы, на решение которых направлен проект, описаны общими фразами, без ссылок на конкретные факты, либо этих фактов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 проблема не имеет острой значимости для целевой группы или территории реализации проекта;</w:t>
            </w:r>
          </w:p>
          <w:p>
            <w:pPr>
              <w:pStyle w:val="0"/>
              <w:jc w:val="both"/>
            </w:pPr>
            <w:r>
              <w:rPr>
                <w:sz w:val="20"/>
              </w:rPr>
              <w:t xml:space="preserve">- в проекте недостаточно аргументированно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 большая часть мероприятий проекта не связана с выбранным грантовым направлением;</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 календарный план хорошо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 указаны конкретные и разумные сроки, позволяющие в полной мере решить задачи проекта</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По данному критерию проект в целом проработан, однако имеются несущественные замечания эксперта:</w:t>
            </w:r>
          </w:p>
          <w:p>
            <w:pPr>
              <w:pStyle w:val="0"/>
              <w:jc w:val="both"/>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Проект не соответствует данному критерию:</w:t>
            </w:r>
          </w:p>
          <w:p>
            <w:pPr>
              <w:pStyle w:val="0"/>
              <w:jc w:val="both"/>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Проект является инновационным, уникальным:</w:t>
            </w:r>
          </w:p>
          <w:p>
            <w:pPr>
              <w:pStyle w:val="0"/>
              <w:jc w:val="both"/>
            </w:pPr>
            <w:r>
              <w:rPr>
                <w:sz w:val="20"/>
              </w:rPr>
              <w:t xml:space="preserve">-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 у организации есть ресурсы и опыт, чтобы успешно внедрить описанные инновации;</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 практики и методики, указанные в заявке, не являются инновационными;</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Проект не является инновационным, уникальным:</w:t>
            </w:r>
          </w:p>
          <w:p>
            <w:pPr>
              <w:pStyle w:val="0"/>
              <w:jc w:val="both"/>
            </w:pPr>
            <w:r>
              <w:rPr>
                <w:sz w:val="20"/>
              </w:rPr>
              <w:t xml:space="preserve">-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Данный критерий отлично выражен в заявке:</w:t>
            </w:r>
          </w:p>
          <w:p>
            <w:pPr>
              <w:pStyle w:val="0"/>
              <w:jc w:val="both"/>
            </w:pPr>
            <w:r>
              <w:rPr>
                <w:sz w:val="20"/>
              </w:rPr>
              <w:t xml:space="preserve">-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Данный критерий хорошо выражен в заявке:</w:t>
            </w:r>
          </w:p>
          <w:p>
            <w:pPr>
              <w:pStyle w:val="0"/>
              <w:jc w:val="both"/>
            </w:pPr>
            <w:r>
              <w:rPr>
                <w:sz w:val="20"/>
              </w:rPr>
              <w:t xml:space="preserve">-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 запланированные результаты могут быть достигнуты при меньших затратах;</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Данный критерий плохо выражен в заявке:</w:t>
            </w:r>
          </w:p>
          <w:p>
            <w:pPr>
              <w:pStyle w:val="0"/>
              <w:jc w:val="both"/>
            </w:pPr>
            <w:r>
              <w:rPr>
                <w:sz w:val="20"/>
              </w:rPr>
              <w:t xml:space="preserve">- ожидаемые результаты проекта изложены неконкретно;</w:t>
            </w:r>
          </w:p>
          <w:p>
            <w:pPr>
              <w:pStyle w:val="0"/>
              <w:jc w:val="both"/>
            </w:pPr>
            <w:r>
              <w:rPr>
                <w:sz w:val="20"/>
              </w:rPr>
              <w:t xml:space="preserve">- предполагаемые затраты на достижение результатов проекта явно завышены;</w:t>
            </w:r>
          </w:p>
          <w:p>
            <w:pPr>
              <w:pStyle w:val="0"/>
              <w:jc w:val="both"/>
            </w:pPr>
            <w:r>
              <w:rPr>
                <w:sz w:val="20"/>
              </w:rPr>
              <w:t xml:space="preserve">- описанная в заявке деятельность является, по сути, предпринимательской;</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 все планируемые расходы реалистичны и обоснованы;</w:t>
            </w:r>
          </w:p>
          <w:p>
            <w:pPr>
              <w:pStyle w:val="0"/>
              <w:jc w:val="both"/>
            </w:pPr>
            <w:r>
              <w:rPr>
                <w:sz w:val="20"/>
              </w:rPr>
              <w:t xml:space="preserve">- к смете прилагаются коммерческие предложения либо ссылки на них в сети Интернет на приобретение товаров, оказание работ/услуг;</w:t>
            </w:r>
          </w:p>
          <w:p>
            <w:pPr>
              <w:pStyle w:val="0"/>
              <w:jc w:val="both"/>
            </w:pPr>
            <w:r>
              <w:rPr>
                <w:sz w:val="20"/>
              </w:rPr>
              <w:t xml:space="preserve">- даны корректные комментарии по всем предполагаемым расходам за счет гранта, позволяющие четко определить состав (детализацию) расходов;</w:t>
            </w:r>
          </w:p>
          <w:p>
            <w:pPr>
              <w:pStyle w:val="0"/>
              <w:jc w:val="both"/>
            </w:pPr>
            <w:r>
              <w:rPr>
                <w:sz w:val="20"/>
              </w:rPr>
              <w:t xml:space="preserve">- в проекте предусмотрено активное использование имеющихся у организации ресурсов</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 имеются другие замечания эксперта (с комментарием).</w:t>
            </w:r>
          </w:p>
          <w:p>
            <w:pPr>
              <w:pStyle w:val="0"/>
              <w:jc w:val="both"/>
            </w:pPr>
            <w:r>
              <w:rPr>
                <w:sz w:val="20"/>
              </w:rPr>
              <w:t xml:space="preserve">- к смете прилагаются коммерческие предложения либо ссылки на них в сети Интернет на приобретение товаров, оказание работ/услуг.</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 в смете проекта предусмотрены побочные, не имеющие прямого отношения к реализации проекта, расходы;</w:t>
            </w:r>
          </w:p>
          <w:p>
            <w:pPr>
              <w:pStyle w:val="0"/>
              <w:jc w:val="both"/>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 отсутствуют коммерческие предложения или ссылки на них в сети Интернет к смете на приобретение товаров, оказание работ/услуг;</w:t>
            </w:r>
          </w:p>
          <w:p>
            <w:pPr>
              <w:pStyle w:val="0"/>
              <w:jc w:val="both"/>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Проект не соответствует данному критерию:</w:t>
            </w:r>
          </w:p>
          <w:p>
            <w:pPr>
              <w:pStyle w:val="0"/>
              <w:jc w:val="both"/>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 отсутствуют коммерческие предложения к смете или ссылки на них в сети Интернет на приобретение товаров, оказание работ/услуг;</w:t>
            </w:r>
          </w:p>
          <w:p>
            <w:pPr>
              <w:pStyle w:val="0"/>
              <w:jc w:val="both"/>
            </w:pPr>
            <w:r>
              <w:rPr>
                <w:sz w:val="20"/>
              </w:rPr>
              <w:t xml:space="preserve">- в смете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0"/>
              <w:jc w:val="both"/>
            </w:pPr>
            <w:r>
              <w:rPr>
                <w:sz w:val="20"/>
              </w:rPr>
              <w:t xml:space="preserve">- смета проекта нереалистична, не соответствует тексту заявки;</w:t>
            </w:r>
          </w:p>
          <w:p>
            <w:pPr>
              <w:pStyle w:val="0"/>
              <w:jc w:val="both"/>
            </w:pPr>
            <w:r>
              <w:rPr>
                <w:sz w:val="20"/>
              </w:rPr>
              <w:t xml:space="preserve">-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 имеются несоответствия между суммами в описании проекта и в его смете;</w:t>
            </w:r>
          </w:p>
          <w:p>
            <w:pPr>
              <w:pStyle w:val="0"/>
              <w:jc w:val="both"/>
            </w:pPr>
            <w:r>
              <w:rPr>
                <w:sz w:val="20"/>
              </w:rPr>
              <w:t xml:space="preserve">- комментарии к запланированным расходам неполные, некорректные, нелогичные;</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6)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Проект по данному критерию проработан отлично:</w:t>
            </w:r>
          </w:p>
          <w:p>
            <w:pPr>
              <w:pStyle w:val="0"/>
              <w:jc w:val="both"/>
            </w:pPr>
            <w:r>
              <w:rPr>
                <w:sz w:val="20"/>
              </w:rPr>
              <w:t xml:space="preserve">- заявленный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Проект по данному критерию проработан хорошо:</w:t>
            </w:r>
          </w:p>
          <w:p>
            <w:pPr>
              <w:pStyle w:val="0"/>
              <w:jc w:val="both"/>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 заявленный охват проекта оправдан частично, реальные возможности организации переоценены или завышены проблемы, на решение которых направлен проект;</w:t>
            </w:r>
          </w:p>
          <w:p>
            <w:pPr>
              <w:pStyle w:val="0"/>
              <w:jc w:val="both"/>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Проект по данному критерию проработан плохо:</w:t>
            </w:r>
          </w:p>
          <w:p>
            <w:pPr>
              <w:pStyle w:val="0"/>
              <w:jc w:val="both"/>
            </w:pPr>
            <w:r>
              <w:rPr>
                <w:sz w:val="20"/>
              </w:rPr>
              <w:t xml:space="preserve">- заявленная территория реализации проекта не подтверждается содержанием заявки;</w:t>
            </w:r>
          </w:p>
          <w:p>
            <w:pPr>
              <w:pStyle w:val="0"/>
              <w:jc w:val="both"/>
            </w:pPr>
            <w:r>
              <w:rPr>
                <w:sz w:val="20"/>
              </w:rPr>
              <w:t xml:space="preserve">- не доказано взаимодействие с территориями, обозначенными в заявке;</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jc w:val="both"/>
            </w:pPr>
            <w:r>
              <w:rPr>
                <w:sz w:val="20"/>
              </w:rPr>
              <w:t xml:space="preserve">-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 Заявителем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jc w:val="both"/>
            </w:pPr>
            <w:r>
              <w:rPr>
                <w:sz w:val="20"/>
              </w:rPr>
              <w:t xml:space="preserve">-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составляет от 20 до 30% бюджета проекта, при этом он в целом корректно рассчитан;</w:t>
            </w:r>
          </w:p>
          <w:p>
            <w:pPr>
              <w:pStyle w:val="0"/>
              <w:jc w:val="both"/>
            </w:pPr>
            <w:r>
              <w:rPr>
                <w:sz w:val="20"/>
              </w:rPr>
              <w:t xml:space="preserve">- 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jc w:val="both"/>
            </w:pPr>
            <w:r>
              <w:rPr>
                <w:sz w:val="20"/>
              </w:rPr>
              <w:t xml:space="preserve">-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 продолжение реализации проекта после окончания финансирования описано общими фразами;</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Реализация проекта предполагается практически только за счет гранта:</w:t>
            </w:r>
          </w:p>
          <w:p>
            <w:pPr>
              <w:pStyle w:val="0"/>
              <w:jc w:val="both"/>
            </w:pPr>
            <w:r>
              <w:rPr>
                <w:sz w:val="20"/>
              </w:rPr>
              <w:t xml:space="preserve">-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 отсутствует описание работы по выбранному направлению после завершения грантовой поддержки;</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У Заявителя отличный опыт проектной работы по выбранному грантовому направлению:</w:t>
            </w:r>
          </w:p>
          <w:p>
            <w:pPr>
              <w:pStyle w:val="0"/>
              <w:jc w:val="both"/>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jc w:val="both"/>
            </w:pPr>
            <w:r>
              <w:rPr>
                <w:sz w:val="20"/>
              </w:rPr>
              <w:t xml:space="preserve">-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 у Заявителя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 у Заявителя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846" w:type="dxa"/>
          </w:tcPr>
          <w:p>
            <w:pPr>
              <w:pStyle w:val="0"/>
              <w:jc w:val="center"/>
            </w:pPr>
            <w:r>
              <w:rPr>
                <w:sz w:val="20"/>
              </w:rPr>
              <w:t xml:space="preserve">6 - 8</w:t>
            </w:r>
          </w:p>
        </w:tc>
        <w:tc>
          <w:tcPr>
            <w:tcW w:w="8221" w:type="dxa"/>
          </w:tcPr>
          <w:p>
            <w:pPr>
              <w:pStyle w:val="0"/>
              <w:jc w:val="both"/>
            </w:pPr>
            <w:r>
              <w:rPr>
                <w:sz w:val="20"/>
              </w:rPr>
              <w:t xml:space="preserve">У Заявителя хороший опыт проектной работы по выбранному грантовому направлению:</w:t>
            </w:r>
          </w:p>
          <w:p>
            <w:pPr>
              <w:pStyle w:val="0"/>
              <w:jc w:val="both"/>
            </w:pPr>
            <w:r>
              <w:rPr>
                <w:sz w:val="20"/>
              </w:rPr>
              <w:t xml:space="preserve">- у Заявителя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jc w:val="both"/>
            </w:pPr>
            <w:r>
              <w:rPr>
                <w:sz w:val="20"/>
              </w:rPr>
              <w:t xml:space="preserve">-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tc>
      </w:tr>
      <w:tr>
        <w:tc>
          <w:tcPr>
            <w:tcW w:w="846" w:type="dxa"/>
          </w:tcPr>
          <w:p>
            <w:pPr>
              <w:pStyle w:val="0"/>
              <w:jc w:val="center"/>
            </w:pPr>
            <w:r>
              <w:rPr>
                <w:sz w:val="20"/>
              </w:rPr>
              <w:t xml:space="preserve">3 - 5</w:t>
            </w:r>
          </w:p>
        </w:tc>
        <w:tc>
          <w:tcPr>
            <w:tcW w:w="8221" w:type="dxa"/>
          </w:tcPr>
          <w:p>
            <w:pPr>
              <w:pStyle w:val="0"/>
              <w:jc w:val="both"/>
            </w:pPr>
            <w:r>
              <w:rPr>
                <w:sz w:val="20"/>
              </w:rPr>
              <w:t xml:space="preserve">У Заявителя удовлетворительный опыт проектной работы по выбранному грантовому направлению:</w:t>
            </w:r>
          </w:p>
          <w:p>
            <w:pPr>
              <w:pStyle w:val="0"/>
              <w:jc w:val="both"/>
            </w:pPr>
            <w:r>
              <w:rPr>
                <w:sz w:val="20"/>
              </w:rPr>
              <w:t xml:space="preserve">- 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и наличии положительных результатов;</w:t>
            </w:r>
          </w:p>
          <w:p>
            <w:pPr>
              <w:pStyle w:val="0"/>
              <w:jc w:val="both"/>
            </w:pPr>
            <w:r>
              <w:rPr>
                <w:sz w:val="20"/>
              </w:rPr>
              <w:t xml:space="preserve">- Заявитель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0"/>
              <w:jc w:val="both"/>
            </w:pPr>
            <w:r>
              <w:rPr>
                <w:sz w:val="20"/>
              </w:rPr>
              <w:t xml:space="preserve">- Заявитель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или на страницах (группах) в социальных сетях Заявителя, заявленные достигнутые результаты не представлены;</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У Заявителя практически отсутствует опыт работы по выбранному грантовому направлению:</w:t>
            </w:r>
          </w:p>
          <w:p>
            <w:pPr>
              <w:pStyle w:val="0"/>
              <w:jc w:val="both"/>
            </w:pPr>
            <w:r>
              <w:rPr>
                <w:sz w:val="20"/>
              </w:rPr>
              <w:t xml:space="preserve">- Заявитель не имеет опыта активной деятельности либо подтвержденной деятельности за последний год;</w:t>
            </w:r>
          </w:p>
          <w:p>
            <w:pPr>
              <w:pStyle w:val="0"/>
              <w:jc w:val="both"/>
            </w:pPr>
            <w:r>
              <w:rPr>
                <w:sz w:val="20"/>
              </w:rPr>
              <w:t xml:space="preserve">- опыт проектной работы Заявителя в заявке практически не описан;</w:t>
            </w:r>
          </w:p>
          <w:p>
            <w:pPr>
              <w:pStyle w:val="0"/>
              <w:jc w:val="both"/>
            </w:pPr>
            <w:r>
              <w:rPr>
                <w:sz w:val="20"/>
              </w:rPr>
              <w:t xml:space="preserve">-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 основной профиль деятельности Заявителя не соответствует выбранному грантовому направлению;</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Данный критерий отлично выражен в заявке:</w:t>
            </w:r>
          </w:p>
          <w:p>
            <w:pPr>
              <w:pStyle w:val="0"/>
              <w:jc w:val="both"/>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Данный критерий хорошо выражен в заявке:</w:t>
            </w:r>
          </w:p>
          <w:p>
            <w:pPr>
              <w:pStyle w:val="0"/>
              <w:jc w:val="both"/>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 сведения об их знаниях и опыте или о выполняемых функциях в рамках реализации проекта;</w:t>
            </w:r>
          </w:p>
          <w:p>
            <w:pPr>
              <w:pStyle w:val="0"/>
              <w:jc w:val="both"/>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Данный критерий плохо выражен в заявке:</w:t>
            </w:r>
          </w:p>
          <w:p>
            <w:pPr>
              <w:pStyle w:val="0"/>
              <w:jc w:val="both"/>
            </w:pPr>
            <w:r>
              <w:rPr>
                <w:sz w:val="20"/>
              </w:rPr>
              <w:t xml:space="preserve">- описание команды проекта, ее квалификации, опыта работы в заявке практически отсутствует;</w:t>
            </w:r>
          </w:p>
          <w:p>
            <w:pPr>
              <w:pStyle w:val="0"/>
              <w:jc w:val="both"/>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8221"/>
      </w:tblGrid>
      <w:tr>
        <w:tc>
          <w:tcPr>
            <w:tcW w:w="846" w:type="dxa"/>
          </w:tcPr>
          <w:p>
            <w:pPr>
              <w:pStyle w:val="0"/>
              <w:jc w:val="center"/>
            </w:pPr>
            <w:r>
              <w:rPr>
                <w:sz w:val="20"/>
              </w:rPr>
              <w:t xml:space="preserve">9 - 10</w:t>
            </w:r>
          </w:p>
        </w:tc>
        <w:tc>
          <w:tcPr>
            <w:tcW w:w="8221" w:type="dxa"/>
          </w:tcPr>
          <w:p>
            <w:pPr>
              <w:pStyle w:val="0"/>
              <w:jc w:val="both"/>
            </w:pPr>
            <w:r>
              <w:rPr>
                <w:sz w:val="20"/>
              </w:rPr>
              <w:t xml:space="preserve">Данный критерий отлично выражен в заявке:</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Заявителя систематически освещается в средствах массовой информации;</w:t>
            </w:r>
          </w:p>
          <w:p>
            <w:pPr>
              <w:pStyle w:val="0"/>
              <w:jc w:val="both"/>
            </w:pPr>
            <w:r>
              <w:rPr>
                <w:sz w:val="20"/>
              </w:rPr>
              <w:t xml:space="preserve">- Заявитель имеет действующий, постоянно обновляемый сайт или страницу (группу) в социальных сетях,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 Заявитель имеет страницы (группы) в социальных сетях, на которых регулярно обновляется информация;</w:t>
            </w:r>
          </w:p>
          <w:p>
            <w:pPr>
              <w:pStyle w:val="0"/>
              <w:jc w:val="both"/>
            </w:pPr>
            <w:r>
              <w:rPr>
                <w:sz w:val="20"/>
              </w:rPr>
              <w:t xml:space="preserve">- Заявитель регулярно публикует годовую отчетность о своей деятельности</w:t>
            </w:r>
          </w:p>
        </w:tc>
      </w:tr>
      <w:tr>
        <w:tc>
          <w:tcPr>
            <w:tcW w:w="846" w:type="dxa"/>
          </w:tcPr>
          <w:p>
            <w:pPr>
              <w:pStyle w:val="0"/>
              <w:jc w:val="center"/>
            </w:pPr>
            <w:r>
              <w:rPr>
                <w:sz w:val="20"/>
              </w:rPr>
              <w:t xml:space="preserve">6 - 8</w:t>
            </w:r>
          </w:p>
        </w:tc>
        <w:tc>
          <w:tcPr>
            <w:tcW w:w="8221" w:type="dxa"/>
          </w:tcPr>
          <w:p>
            <w:pPr>
              <w:pStyle w:val="0"/>
              <w:jc w:val="both"/>
            </w:pPr>
            <w:r>
              <w:rPr>
                <w:sz w:val="20"/>
              </w:rPr>
              <w:t xml:space="preserve">Данный критерий хорошо выражен в заявке:</w:t>
            </w:r>
          </w:p>
          <w:p>
            <w:pPr>
              <w:pStyle w:val="0"/>
              <w:jc w:val="both"/>
            </w:pPr>
            <w:r>
              <w:rPr>
                <w:sz w:val="20"/>
              </w:rPr>
              <w:t xml:space="preserve">-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Заявителя периодически освещается в средствах массовой информации;</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3 - 5</w:t>
            </w:r>
          </w:p>
        </w:tc>
        <w:tc>
          <w:tcPr>
            <w:tcW w:w="8221"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деятельность Заявителя мало освещается в средствах массовой информации и в интернете;</w:t>
            </w:r>
          </w:p>
          <w:p>
            <w:pPr>
              <w:pStyle w:val="0"/>
              <w:jc w:val="both"/>
            </w:pPr>
            <w:r>
              <w:rPr>
                <w:sz w:val="20"/>
              </w:rPr>
              <w:t xml:space="preserve">-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 отчеты о деятельности Заявителя отсутствуют в открытом доступе;</w:t>
            </w:r>
          </w:p>
          <w:p>
            <w:pPr>
              <w:pStyle w:val="0"/>
              <w:jc w:val="both"/>
            </w:pPr>
            <w:r>
              <w:rPr>
                <w:sz w:val="20"/>
              </w:rPr>
              <w:t xml:space="preserve">- имеются другие замечания эксперта (с комментарием)</w:t>
            </w:r>
          </w:p>
        </w:tc>
      </w:tr>
      <w:tr>
        <w:tc>
          <w:tcPr>
            <w:tcW w:w="846" w:type="dxa"/>
          </w:tcPr>
          <w:p>
            <w:pPr>
              <w:pStyle w:val="0"/>
              <w:jc w:val="center"/>
            </w:pPr>
            <w:r>
              <w:rPr>
                <w:sz w:val="20"/>
              </w:rPr>
              <w:t xml:space="preserve">0 - 2</w:t>
            </w:r>
          </w:p>
        </w:tc>
        <w:tc>
          <w:tcPr>
            <w:tcW w:w="8221" w:type="dxa"/>
          </w:tcPr>
          <w:p>
            <w:pPr>
              <w:pStyle w:val="0"/>
              <w:jc w:val="both"/>
            </w:pPr>
            <w:r>
              <w:rPr>
                <w:sz w:val="20"/>
              </w:rPr>
              <w:t xml:space="preserve">Данный критерий плохо выражен в заявке:</w:t>
            </w:r>
          </w:p>
          <w:p>
            <w:pPr>
              <w:pStyle w:val="0"/>
              <w:jc w:val="both"/>
            </w:pPr>
            <w:r>
              <w:rPr>
                <w:sz w:val="20"/>
              </w:rPr>
              <w:t xml:space="preserve">- информация о деятельности Заявителя практически отсутствует в интернете;</w:t>
            </w:r>
          </w:p>
          <w:p>
            <w:pPr>
              <w:pStyle w:val="0"/>
              <w:jc w:val="both"/>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По результатам оценки заявки эксперт выбирает один из следующих выводов:</w:t>
      </w:r>
    </w:p>
    <w:p>
      <w:pPr>
        <w:pStyle w:val="0"/>
        <w:spacing w:before="200" w:line-rule="auto"/>
        <w:ind w:firstLine="540"/>
        <w:jc w:val="both"/>
      </w:pPr>
      <w:r>
        <w:rPr>
          <w:sz w:val="20"/>
        </w:rPr>
        <w:t xml:space="preserve">а) проект соответствует критериям, рекомендован к поддержке (от 60 баллов и выше);</w:t>
      </w:r>
    </w:p>
    <w:p>
      <w:pPr>
        <w:pStyle w:val="0"/>
        <w:spacing w:before="200" w:line-rule="auto"/>
        <w:ind w:firstLine="540"/>
        <w:jc w:val="both"/>
      </w:pPr>
      <w:r>
        <w:rPr>
          <w:sz w:val="20"/>
        </w:rPr>
        <w:t xml:space="preserve">б) проект неплохой, но в нем есть недочеты, не позволяющие сделать однозначный вывод о целесообразности его поддержки (от 50 баллов и выше);</w:t>
      </w:r>
    </w:p>
    <w:p>
      <w:pPr>
        <w:pStyle w:val="0"/>
        <w:spacing w:before="200" w:line-rule="auto"/>
        <w:ind w:firstLine="540"/>
        <w:jc w:val="both"/>
      </w:pPr>
      <w:r>
        <w:rPr>
          <w:sz w:val="20"/>
        </w:rPr>
        <w:t xml:space="preserve">в) проект не соответствует критериям, не рекомендован к поддержке (от 0 до 50 баллов).</w:t>
      </w:r>
    </w:p>
    <w:p>
      <w:pPr>
        <w:pStyle w:val="0"/>
        <w:spacing w:before="200" w:line-rule="auto"/>
        <w:ind w:firstLine="540"/>
        <w:jc w:val="both"/>
      </w:pPr>
      <w:r>
        <w:rPr>
          <w:sz w:val="20"/>
        </w:rPr>
        <w:t xml:space="preserve">Эксперт конкурса также дает по заявке обобщенный комментарий, в том числе выбирает один из следующих комментариев:</w:t>
      </w:r>
    </w:p>
    <w:p>
      <w:pPr>
        <w:pStyle w:val="0"/>
        <w:spacing w:before="200" w:line-rule="auto"/>
        <w:ind w:firstLine="540"/>
        <w:jc w:val="both"/>
      </w:pPr>
      <w:r>
        <w:rPr>
          <w:sz w:val="20"/>
        </w:rPr>
        <w:t xml:space="preserve">"Проект хороший и безусловно рекомендуется к поддержке",</w:t>
      </w:r>
    </w:p>
    <w:p>
      <w:pPr>
        <w:pStyle w:val="0"/>
        <w:spacing w:before="200" w:line-rule="auto"/>
        <w:ind w:firstLine="540"/>
        <w:jc w:val="both"/>
      </w:pPr>
      <w:r>
        <w:rPr>
          <w:sz w:val="20"/>
        </w:rPr>
        <w:t xml:space="preserve">"Проект неплохой, но в нем есть недочеты, не позволяющие сделать однозначный вывод о целесообразности его поддержки",</w:t>
      </w:r>
    </w:p>
    <w:p>
      <w:pPr>
        <w:pStyle w:val="0"/>
        <w:spacing w:before="200" w:line-rule="auto"/>
        <w:ind w:firstLine="540"/>
        <w:jc w:val="both"/>
      </w:pPr>
      <w:r>
        <w:rPr>
          <w:sz w:val="20"/>
        </w:rPr>
        <w:t xml:space="preserve">"Проект не рекомендуется к поддержке".</w:t>
      </w:r>
    </w:p>
    <w:p>
      <w:pPr>
        <w:pStyle w:val="0"/>
        <w:spacing w:before="200" w:line-rule="auto"/>
        <w:ind w:firstLine="540"/>
        <w:jc w:val="both"/>
      </w:pPr>
      <w:r>
        <w:rPr>
          <w:sz w:val="20"/>
        </w:rPr>
        <w:t xml:space="preserve">Обобщенный комментарий должен содержать обоснование вывода эксперта по данной заявке.</w:t>
      </w:r>
    </w:p>
    <w:p>
      <w:pPr>
        <w:pStyle w:val="0"/>
        <w:spacing w:before="200" w:line-rule="auto"/>
        <w:ind w:firstLine="540"/>
        <w:jc w:val="both"/>
      </w:pPr>
      <w:r>
        <w:rPr>
          <w:sz w:val="20"/>
        </w:rPr>
        <w:t xml:space="preserve">11. Оценочный лист, заполняемый экспертом, формируется в электронном виде на официальном сайте конкурса или на едином портале (в случае проведения отбора в системе "Электронный бюджет"). После завершения независимой экспертизы сформированный в региональной конкурсной системе оценочный лист не подлежит изменению.</w:t>
      </w:r>
    </w:p>
    <w:p>
      <w:pPr>
        <w:pStyle w:val="0"/>
        <w:spacing w:before="200" w:line-rule="auto"/>
        <w:ind w:firstLine="540"/>
        <w:jc w:val="both"/>
      </w:pPr>
      <w:r>
        <w:rPr>
          <w:sz w:val="20"/>
        </w:rPr>
        <w:t xml:space="preserve">12. Организатор конкурса по результатам оценки заявки экспертами формирует по каждому грантовому направлению рейтинг заявок (проектов) с учетом итоговых баллов от наибольшего к наименьшему, осуществляет предварительный расчет сумм гранта с учетом рейтинга по каждому грантовому направлению.</w:t>
      </w:r>
    </w:p>
    <w:p>
      <w:pPr>
        <w:pStyle w:val="0"/>
        <w:spacing w:before="200" w:line-rule="auto"/>
        <w:ind w:firstLine="540"/>
        <w:jc w:val="both"/>
      </w:pPr>
      <w:r>
        <w:rPr>
          <w:sz w:val="20"/>
        </w:rPr>
        <w:t xml:space="preserve">13.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14. При расчете итогового балла заявки при условии реализации проекта Заявителем - исполнителем общественно полезных услуг Организатором конкурса применяется повышающий коэффициент: 1,05.</w:t>
      </w:r>
    </w:p>
    <w:p>
      <w:pPr>
        <w:pStyle w:val="0"/>
        <w:spacing w:before="200" w:line-rule="auto"/>
        <w:ind w:firstLine="540"/>
        <w:jc w:val="both"/>
      </w:pPr>
      <w:r>
        <w:rPr>
          <w:sz w:val="20"/>
        </w:rPr>
        <w:t xml:space="preserve">Повышающий коэффициент применяется только в отношении тех проектов организации, которые соответствуют услуге, на основании которой организации присвоен статус "Исполнитель общественно полезных услуг".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22.04.2021 N 213-п</w:t>
            <w:br/>
            <w:t>(ред. от 03.02.2023)</w:t>
            <w:br/>
            <w:t>"Об утверждении Положения о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DD57E218EB8632300E30A5027A9E5175FAA0CC24A3D01A61AE3A957D2C3E7191626678704E137F05E1275B16BCF9902112828951974D96EFCA4BC7xFUAE" TargetMode = "External"/>
	<Relationship Id="rId8" Type="http://schemas.openxmlformats.org/officeDocument/2006/relationships/hyperlink" Target="consultantplus://offline/ref=13DD57E218EB8632300E30A5027A9E5175FAA0CC24ACDE1260A93A957D2C3E7191626678704E137F05E1275B16BCF9902112828951974D96EFCA4BC7xFUAE" TargetMode = "External"/>
	<Relationship Id="rId9" Type="http://schemas.openxmlformats.org/officeDocument/2006/relationships/hyperlink" Target="consultantplus://offline/ref=13DD57E218EB8632300E30A5027A9E5175FAA0CC24ADDA1466AB3A957D2C3E7191626678704E137F05E1275B16BCF9902112828951974D96EFCA4BC7xFUAE" TargetMode = "External"/>
	<Relationship Id="rId10" Type="http://schemas.openxmlformats.org/officeDocument/2006/relationships/hyperlink" Target="consultantplus://offline/ref=13DD57E218EB8632300E30A5027A9E5175FAA0CC24ADDE1561AF3A957D2C3E7191626678704E137F05E1275B16BCF9902112828951974D96EFCA4BC7xFUAE" TargetMode = "External"/>
	<Relationship Id="rId11" Type="http://schemas.openxmlformats.org/officeDocument/2006/relationships/hyperlink" Target="consultantplus://offline/ref=13DD57E218EB8632300E2EA81416C05E77F2FCC326A4D3453EFD3CC2227C3824D1226028340D197551B0630E1FB4ADDF65419188518Bx4UEE" TargetMode = "External"/>
	<Relationship Id="rId12" Type="http://schemas.openxmlformats.org/officeDocument/2006/relationships/hyperlink" Target="consultantplus://offline/ref=13DD57E218EB8632300E2EA81416C05E77F2FBC22DA5D3453EFD3CC2227C3824D122602D330A1E7F0DEA730A56E2A0C265598F8C4F8B4D92xFU2E" TargetMode = "External"/>
	<Relationship Id="rId13" Type="http://schemas.openxmlformats.org/officeDocument/2006/relationships/hyperlink" Target="consultantplus://offline/ref=13DD57E218EB8632300E2EA81416C05E77F3F9C321A0D3453EFD3CC2227C3824C3223821300A007E03FF255B10xBU4E" TargetMode = "External"/>
	<Relationship Id="rId14" Type="http://schemas.openxmlformats.org/officeDocument/2006/relationships/hyperlink" Target="consultantplus://offline/ref=13DD57E218EB8632300E30A5027A9E5175FAA0CC24ADD91B6AAB3A957D2C3E7191626678704E137F0EB5761F47BAAEC17B47899453894Fx9U3E" TargetMode = "External"/>
	<Relationship Id="rId15" Type="http://schemas.openxmlformats.org/officeDocument/2006/relationships/hyperlink" Target="consultantplus://offline/ref=13DD57E218EB8632300E30A5027A9E5175FAA0CC24A3D01A61AE3A957D2C3E7191626678704E137F05E1275B17BCF9902112828951974D96EFCA4BC7xFUAE" TargetMode = "External"/>
	<Relationship Id="rId16" Type="http://schemas.openxmlformats.org/officeDocument/2006/relationships/hyperlink" Target="consultantplus://offline/ref=13DD57E218EB8632300E30A5027A9E5175FAA0CC24ACDE1260A93A957D2C3E7191626678704E137F05E1275B17BCF9902112828951974D96EFCA4BC7xFUAE" TargetMode = "External"/>
	<Relationship Id="rId17" Type="http://schemas.openxmlformats.org/officeDocument/2006/relationships/hyperlink" Target="consultantplus://offline/ref=13DD57E218EB8632300E30A5027A9E5175FAA0CC24ACDE1260A93A957D2C3E7191626678704E137F05E1275B14BCF9902112828951974D96EFCA4BC7xFUAE" TargetMode = "External"/>
	<Relationship Id="rId18" Type="http://schemas.openxmlformats.org/officeDocument/2006/relationships/hyperlink" Target="consultantplus://offline/ref=13DD57E218EB8632300E30A5027A9E5175FAA0CC24ACDE1260A93A957D2C3E7191626678704E137F05E1275B1ABCF9902112828951974D96EFCA4BC7xFUAE" TargetMode = "External"/>
	<Relationship Id="rId19" Type="http://schemas.openxmlformats.org/officeDocument/2006/relationships/hyperlink" Target="consultantplus://offline/ref=13DD57E218EB8632300E30A5027A9E5175FAA0CC24ADDA1466AB3A957D2C3E7191626678704E137F05E1275B17BCF9902112828951974D96EFCA4BC7xFUAE" TargetMode = "External"/>
	<Relationship Id="rId20" Type="http://schemas.openxmlformats.org/officeDocument/2006/relationships/hyperlink" Target="consultantplus://offline/ref=13DD57E218EB8632300E30A5027A9E5175FAA0CC24ADDE1561AF3A957D2C3E7191626678704E137F05E1275B16BCF9902112828951974D96EFCA4BC7xFUAE" TargetMode = "External"/>
	<Relationship Id="rId21" Type="http://schemas.openxmlformats.org/officeDocument/2006/relationships/hyperlink" Target="consultantplus://offline/ref=13DD57E218EB8632300E30A5027A9E5175FAA0CC24ADDE1561AF3A957D2C3E7191626678704E137F05E1275B17BCF9902112828951974D96EFCA4BC7xFUAE" TargetMode = "External"/>
	<Relationship Id="rId22" Type="http://schemas.openxmlformats.org/officeDocument/2006/relationships/hyperlink" Target="consultantplus://offline/ref=13DD57E218EB8632300E2EA81416C05E77F2FAC924ACD3453EFD3CC2227C3824C3223821300A007E03FF255B10xBU4E" TargetMode = "External"/>
	<Relationship Id="rId23" Type="http://schemas.openxmlformats.org/officeDocument/2006/relationships/hyperlink" Target="consultantplus://offline/ref=13DD57E218EB8632300E30A5027A9E5175FAA0CC24ADDD1A66AA3A957D2C3E7191626678704E137605E42C0F43F3F8CC6647918A57974F90F3xCUBE" TargetMode = "External"/>
	<Relationship Id="rId24" Type="http://schemas.openxmlformats.org/officeDocument/2006/relationships/hyperlink" Target="consultantplus://offline/ref=13DD57E218EB8632300E30A5027A9E5175FAA0CC24ADDD1266AD3A957D2C3E7191626678704E137F05E3275A1ABCF9902112828951974D96EFCA4BC7xFUAE" TargetMode = "External"/>
	<Relationship Id="rId25" Type="http://schemas.openxmlformats.org/officeDocument/2006/relationships/hyperlink" Target="consultantplus://offline/ref=13DD57E218EB8632300E30A5027A9E5175FAA0CC27A4DA1367A83A957D2C3E7191626678704E137603E22C0F43F3F8CC6647918A57974F90F3xCUBE" TargetMode = "External"/>
	<Relationship Id="rId26" Type="http://schemas.openxmlformats.org/officeDocument/2006/relationships/hyperlink" Target="consultantplus://offline/ref=13DD57E218EB8632300E30A5027A9E5175FAA0CC24ADDE1763AA3A957D2C3E7191626678704E137B07E2215046E6E99468448F94518F5392F1CAx4U8E" TargetMode = "External"/>
	<Relationship Id="rId27" Type="http://schemas.openxmlformats.org/officeDocument/2006/relationships/hyperlink" Target="consultantplus://offline/ref=13DD57E218EB8632300E30A5027A9E5175FAA0CC24ADDC1663A13A957D2C3E7191626678704E137F04E1235F15BCF9902112828951974D96EFCA4BC7xFUAE" TargetMode = "External"/>
	<Relationship Id="rId28" Type="http://schemas.openxmlformats.org/officeDocument/2006/relationships/hyperlink" Target="consultantplus://offline/ref=13DD57E218EB8632300E30A5027A9E5175FAA0CC24ADDD1163AF3A957D2C3E7191626678704E137F03E9245046E6E99468448F94518F5392F1CAx4U8E" TargetMode = "External"/>
	<Relationship Id="rId29" Type="http://schemas.openxmlformats.org/officeDocument/2006/relationships/hyperlink" Target="consultantplus://offline/ref=13DD57E218EB8632300E30A5027A9E5175FAA0CC27A4D91362A13A957D2C3E7191626678704E137F05E7265914BCF9902112828951974D96EFCA4BC7xFUAE" TargetMode = "External"/>
	<Relationship Id="rId30" Type="http://schemas.openxmlformats.org/officeDocument/2006/relationships/hyperlink" Target="consultantplus://offline/ref=13DD57E218EB8632300E30A5027A9E5175FAA0CC24ADDF1761AE3A957D2C3E7191626678704E137F05E2265A15BCF9902112828951974D96EFCA4BC7xFUAE" TargetMode = "External"/>
	<Relationship Id="rId31" Type="http://schemas.openxmlformats.org/officeDocument/2006/relationships/hyperlink" Target="consultantplus://offline/ref=13DD57E218EB8632300E2EA81416C05E77F2FAC924ACD3453EFD3CC2227C3824D12260293B09152A54A5725611B7B3C163598D8A53x8UAE" TargetMode = "External"/>
	<Relationship Id="rId32" Type="http://schemas.openxmlformats.org/officeDocument/2006/relationships/hyperlink" Target="consultantplus://offline/ref=13DD57E218EB8632300E30A5027A9E5175FAA0CC24ADD91B6AAB3A957D2C3E7191626678704E137F05E1275F11BCF9902112828951974D96EFCA4BC7xFUAE" TargetMode = "External"/>
	<Relationship Id="rId33" Type="http://schemas.openxmlformats.org/officeDocument/2006/relationships/hyperlink" Target="consultantplus://offline/ref=13DD57E218EB8632300E30A5027A9E5175FAA0CC24ADDE1561AF3A957D2C3E7191626678704E137F05E1275B14BCF9902112828951974D96EFCA4BC7xFUAE" TargetMode = "External"/>
	<Relationship Id="rId34" Type="http://schemas.openxmlformats.org/officeDocument/2006/relationships/hyperlink" Target="consultantplus://offline/ref=13DD57E218EB8632300E30A5027A9E5175FAA0CC24ADDE1561AF3A957D2C3E7191626678704E137F05E1275B1ABCF9902112828951974D96EFCA4BC7xFUAE" TargetMode = "External"/>
	<Relationship Id="rId35" Type="http://schemas.openxmlformats.org/officeDocument/2006/relationships/hyperlink" Target="consultantplus://offline/ref=13DD57E218EB8632300E30A5027A9E5175FAA0CC24ADDE1561AF3A957D2C3E7191626678704E137F05E1275A12BCF9902112828951974D96EFCA4BC7xFUAE" TargetMode = "External"/>
	<Relationship Id="rId36" Type="http://schemas.openxmlformats.org/officeDocument/2006/relationships/hyperlink" Target="consultantplus://offline/ref=13DD57E218EB8632300E30A5027A9E5175FAA0CC24ADDE1561AF3A957D2C3E7191626678704E137F05E1275A10BCF9902112828951974D96EFCA4BC7xFUAE" TargetMode = "External"/>
	<Relationship Id="rId37" Type="http://schemas.openxmlformats.org/officeDocument/2006/relationships/hyperlink" Target="consultantplus://offline/ref=13DD57E218EB8632300E30A5027A9E5175FAA0CC24ADDE1561AF3A957D2C3E7191626678704E137F05E1275A10BCF9902112828951974D96EFCA4BC7xFUAE" TargetMode = "External"/>
	<Relationship Id="rId38" Type="http://schemas.openxmlformats.org/officeDocument/2006/relationships/hyperlink" Target="consultantplus://offline/ref=13DD57E218EB8632300E2EA81416C05E77F2FAC924ACD3453EFD3CC2227C3824D12260293B09152A54A5725611B7B3C163598D8A53x8UAE" TargetMode = "External"/>
	<Relationship Id="rId39" Type="http://schemas.openxmlformats.org/officeDocument/2006/relationships/hyperlink" Target="consultantplus://offline/ref=13DD57E218EB8632300E30A5027A9E5175FAA0CC24ADD91B6AAB3A957D2C3E7191626678704E137F05E1275F11BCF9902112828951974D96EFCA4BC7xFUAE" TargetMode = "External"/>
	<Relationship Id="rId40" Type="http://schemas.openxmlformats.org/officeDocument/2006/relationships/hyperlink" Target="consultantplus://offline/ref=13DD57E218EB8632300E2EA81416C05E77F2FCC326A4D3453EFD3CC2227C3824D122602F340A1A7551B0630E1FB4ADDF65419188518Bx4UEE" TargetMode = "External"/>
	<Relationship Id="rId41" Type="http://schemas.openxmlformats.org/officeDocument/2006/relationships/hyperlink" Target="consultantplus://offline/ref=13DD57E218EB8632300E2EA81416C05E77F2FCC326A4D3453EFD3CC2227C3824D122602F34081C7551B0630E1FB4ADDF65419188518Bx4UEE" TargetMode = "External"/>
	<Relationship Id="rId42" Type="http://schemas.openxmlformats.org/officeDocument/2006/relationships/hyperlink" Target="consultantplus://offline/ref=13DD57E218EB8632300E2EA81416C05E77F2FCC326A4D3453EFD3CC2227C3824D122602F340A1A7551B0630E1FB4ADDF65419188518Bx4UEE" TargetMode = "External"/>
	<Relationship Id="rId43" Type="http://schemas.openxmlformats.org/officeDocument/2006/relationships/hyperlink" Target="consultantplus://offline/ref=13DD57E218EB8632300E2EA81416C05E77F2FCC326A4D3453EFD3CC2227C3824D122602F34081C7551B0630E1FB4ADDF65419188518Bx4UEE" TargetMode = "External"/>
	<Relationship Id="rId44" Type="http://schemas.openxmlformats.org/officeDocument/2006/relationships/hyperlink" Target="consultantplus://offline/ref=13DD57E218EB8632300E2EA81416C05E77F2FCC326A4D3453EFD3CC2227C3824D122602F340A1A7551B0630E1FB4ADDF65419188518Bx4UEE" TargetMode = "External"/>
	<Relationship Id="rId45" Type="http://schemas.openxmlformats.org/officeDocument/2006/relationships/hyperlink" Target="consultantplus://offline/ref=13DD57E218EB8632300E2EA81416C05E77F2FCC326A4D3453EFD3CC2227C3824D122602F34081C7551B0630E1FB4ADDF65419188518Bx4UEE" TargetMode = "External"/>
	<Relationship Id="rId46" Type="http://schemas.openxmlformats.org/officeDocument/2006/relationships/image" Target="media/image2.wmf"/>
	<Relationship Id="rId47" Type="http://schemas.openxmlformats.org/officeDocument/2006/relationships/hyperlink" Target="consultantplus://offline/ref=13DD57E218EB8632300E30A5027A9E5175FAA0CC24ADDE1561AF3A957D2C3E7191626678704E137F05E1275A11BCF9902112828951974D96EFCA4BC7xFUAE" TargetMode = "External"/>
	<Relationship Id="rId48" Type="http://schemas.openxmlformats.org/officeDocument/2006/relationships/hyperlink" Target="consultantplus://offline/ref=13DD57E218EB8632300E2EA81416C05E77F2F7C325A5D3453EFD3CC2227C3824D122602F37014A2F41B42A5812A9ADC77B458F88x5U2E" TargetMode = "External"/>
	<Relationship Id="rId49" Type="http://schemas.openxmlformats.org/officeDocument/2006/relationships/hyperlink" Target="consultantplus://offline/ref=13DD57E218EB8632300E2EA81416C05E77F2F7C325A5D3453EFD3CC2227C3824D122602836014A2F41B42A5812A9ADC77B458F88x5U2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22.04.2021 N 213-п
(ред. от 03.02.2023)
"Об утверждении Положения о предоставлении грантов Губернатора Тюменской области на развитие гражданского общества"</dc:title>
  <dcterms:created xsi:type="dcterms:W3CDTF">2023-06-30T04:20:49Z</dcterms:created>
</cp:coreProperties>
</file>