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социального развития Тюменской области от 15.11.2023 N 497-п</w:t>
              <w:br/>
              <w:t xml:space="preserve">"О проведении второго этапа Специального (дополнительного) конкурса на предоставление грантов Губернатора Тюменской области в форме субсидии для социально ориентированных некоммерческих организаций"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СОЦИАЛЬНОГО РАЗВИТИЯ ТЮМЕНСКОЙ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15 ноября 2023 г. N 497-п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ПРОВЕДЕНИИ ВТОРОГО ЭТАПА СПЕЦИАЛЬНОГО (ДОПОЛНИТЕЛЬНОГО)</w:t>
      </w:r>
    </w:p>
    <w:p>
      <w:pPr>
        <w:pStyle w:val="2"/>
        <w:jc w:val="center"/>
      </w:pPr>
      <w:r>
        <w:rPr>
          <w:sz w:val="20"/>
        </w:rPr>
        <w:t xml:space="preserve">КОНКУРСА НА ПРЕДОСТАВЛЕНИЕ ГРАНТОВ ГУБЕРНАТОРА ТЮМЕНСКОЙ</w:t>
      </w:r>
    </w:p>
    <w:p>
      <w:pPr>
        <w:pStyle w:val="2"/>
        <w:jc w:val="center"/>
      </w:pPr>
      <w:r>
        <w:rPr>
          <w:sz w:val="20"/>
        </w:rPr>
        <w:t xml:space="preserve">ОБЛАСТИ В ФОРМЕ СУБСИДИИ ДЛЯ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12.01.1996 N 7-ФЗ "О некоммерческих организациях", </w:t>
      </w:r>
      <w:hyperlink w:history="0" r:id="rId8" w:tooltip="Постановление Правительства Тюменской области от 10.09.2021 N 547-п (ред. от 16.01.2023) &quot;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Тюменской области от 10.09.2021 N 547-п "Об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актов" (далее - Порядок), распоряжением Правительства Тюменской области от 11.08.2023 N 719-рп "О выделении средств", руководствуясь </w:t>
      </w:r>
      <w:hyperlink w:history="0" r:id="rId9" w:tooltip="Постановление Правительства Тюменской области от 28.12.2010 N 385-п (ред. от 10.11.2023) &quot;Об утверждении Положения о Департаменте социального развития Тюменской области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Департаменте социального развития Тюменской области, утвержденным постановлением Правительства Тюменской области от 28.12.2010 N 385-п, приказываю:</w:t>
      </w:r>
    </w:p>
    <w:bookmarkStart w:id="12" w:name="P12"/>
    <w:bookmarkEnd w:id="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Организовать проведение второго этапа Специального (дополнительного) конкурса на предоставление грантов Губернатора Тюменской области в форме субсидии для социально ориентированных некоммерческих организаций, осуществляющих деятельность по социальному обслуживанию, социальной поддержке и защите граждан Российской Федерации (далее - Спецконкурс) по направлению: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"Социальное обслуживание, социальная поддержка участников специальной военной операции (СВО) и членов их семей" (приоритетное направление "Деятельность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техническое </w:t>
      </w:r>
      <w:hyperlink w:history="0" w:anchor="P33" w:tooltip="ТЕХНИЧЕСКОЕ ЗАДАНИЕ">
        <w:r>
          <w:rPr>
            <w:sz w:val="20"/>
            <w:color w:val="0000ff"/>
          </w:rPr>
          <w:t xml:space="preserve">задание</w:t>
        </w:r>
      </w:hyperlink>
      <w:r>
        <w:rPr>
          <w:sz w:val="20"/>
        </w:rPr>
        <w:t xml:space="preserve"> по направлению, указанному в </w:t>
      </w:r>
      <w:hyperlink w:history="0" w:anchor="P12" w:tooltip="1. Организовать проведение второго этапа Специального (дополнительного) конкурса на предоставление грантов Губернатора Тюменской области в форме субсидии для социально ориентированных некоммерческих организаций, осуществляющих деятельность по социальному обслуживанию, социальной поддержке и защите граждан Российской Федерации (далее - Спецконкурс) по направлению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приказа,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Отделу поддержки и развития негосударственных организаций и общественных связей (Мясникова Ю.Г.):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обеспечить консультации по вопросам подготовки заявок на участие во втором этапе Спецконкурса и организовать прием заявок на участие в Конкурсе в установленные Порядком сроки;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организовать размещение в информационно-телекоммуникационной сети "Интернет" на Официальном портале органов государственной власти Тюменской области </w:t>
      </w:r>
      <w:r>
        <w:rPr>
          <w:sz w:val="20"/>
        </w:rPr>
        <w:t xml:space="preserve">https://admtyumen.ru/</w:t>
      </w:r>
      <w:r>
        <w:rPr>
          <w:sz w:val="20"/>
        </w:rPr>
        <w:t xml:space="preserve">, на официальном сайте в информационно-телекоммуникационной сети "Интернет" </w:t>
      </w:r>
      <w:r>
        <w:rPr>
          <w:sz w:val="20"/>
        </w:rPr>
        <w:t xml:space="preserve">https://тюменьгранты.72to.ru/</w:t>
      </w:r>
      <w:r>
        <w:rPr>
          <w:sz w:val="20"/>
        </w:rPr>
        <w:t xml:space="preserve"> объявления о проведении Спецконкурса по приоритетному направлению, указанному в </w:t>
      </w:r>
      <w:hyperlink w:history="0" w:anchor="P12" w:tooltip="1. Организовать проведение второго этапа Специального (дополнительного) конкурса на предоставление грантов Губернатора Тюменской области в форме субсидии для социально ориентированных некоммерческих организаций, осуществляющих деятельность по социальному обслуживанию, социальной поддержке и защите граждан Российской Федерации (далее - Спецконкурс) по направлению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приказа, в течение двух рабочих дней со дня подписания настоящего приказа.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Директор</w:t>
      </w:r>
    </w:p>
    <w:p>
      <w:pPr>
        <w:pStyle w:val="0"/>
        <w:jc w:val="right"/>
      </w:pPr>
      <w:r>
        <w:rPr>
          <w:sz w:val="20"/>
        </w:rPr>
        <w:t xml:space="preserve">Д.В.ГРАМОТИН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Департамента социального развития</w:t>
      </w:r>
    </w:p>
    <w:p>
      <w:pPr>
        <w:pStyle w:val="0"/>
        <w:jc w:val="right"/>
      </w:pPr>
      <w:r>
        <w:rPr>
          <w:sz w:val="20"/>
        </w:rPr>
        <w:t xml:space="preserve">Тюменской области</w:t>
      </w:r>
    </w:p>
    <w:p>
      <w:pPr>
        <w:pStyle w:val="0"/>
        <w:jc w:val="right"/>
      </w:pPr>
      <w:r>
        <w:rPr>
          <w:sz w:val="20"/>
        </w:rPr>
        <w:t xml:space="preserve">от 15.11.2023 N 497-п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ТЕХНИЧЕСКОЕ ЗАДАНИЕ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Заказчик: Департамент социального развития Тюменской области</w:t>
      </w:r>
    </w:p>
    <w:p>
      <w:pPr>
        <w:pStyle w:val="0"/>
        <w:jc w:val="center"/>
      </w:pPr>
      <w:r>
        <w:rPr>
          <w:sz w:val="20"/>
        </w:rPr>
        <w:t xml:space="preserve">Источник финансирования: областной бюджет (региональная</w:t>
      </w:r>
    </w:p>
    <w:p>
      <w:pPr>
        <w:pStyle w:val="0"/>
        <w:jc w:val="center"/>
      </w:pPr>
      <w:r>
        <w:rPr>
          <w:sz w:val="20"/>
        </w:rPr>
        <w:t xml:space="preserve">программа "Поддержка социально ориентированных</w:t>
      </w:r>
    </w:p>
    <w:p>
      <w:pPr>
        <w:pStyle w:val="0"/>
        <w:jc w:val="center"/>
      </w:pPr>
      <w:r>
        <w:rPr>
          <w:sz w:val="20"/>
        </w:rPr>
        <w:t xml:space="preserve">некоммерческих организаций в Тюменской области" до 2020 года</w:t>
      </w:r>
    </w:p>
    <w:p>
      <w:pPr>
        <w:pStyle w:val="0"/>
        <w:jc w:val="center"/>
      </w:pPr>
      <w:r>
        <w:rPr>
          <w:sz w:val="20"/>
        </w:rPr>
        <w:t xml:space="preserve">и на плановый период до 2023 года)</w:t>
      </w:r>
    </w:p>
    <w:p>
      <w:pPr>
        <w:pStyle w:val="0"/>
        <w:jc w:val="center"/>
      </w:pPr>
      <w:r>
        <w:rPr>
          <w:sz w:val="20"/>
        </w:rPr>
        <w:t xml:space="preserve">Государственная программа Тюменской области "Развитие</w:t>
      </w:r>
    </w:p>
    <w:p>
      <w:pPr>
        <w:pStyle w:val="0"/>
        <w:jc w:val="center"/>
      </w:pPr>
      <w:r>
        <w:rPr>
          <w:sz w:val="20"/>
        </w:rPr>
        <w:t xml:space="preserve">отрасли "Социальная политика"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Приоритетное направление: деятельность в области</w:t>
      </w:r>
    </w:p>
    <w:p>
      <w:pPr>
        <w:pStyle w:val="0"/>
        <w:jc w:val="center"/>
      </w:pPr>
      <w:r>
        <w:rPr>
          <w:sz w:val="20"/>
        </w:rPr>
        <w:t xml:space="preserve">образования, просвещения, науки, культуры, искусства,</w:t>
      </w:r>
    </w:p>
    <w:p>
      <w:pPr>
        <w:pStyle w:val="0"/>
        <w:jc w:val="center"/>
      </w:pPr>
      <w:r>
        <w:rPr>
          <w:sz w:val="20"/>
        </w:rPr>
        <w:t xml:space="preserve">здравоохранения, профилактики и охраны здоровья граждан,</w:t>
      </w:r>
    </w:p>
    <w:p>
      <w:pPr>
        <w:pStyle w:val="0"/>
        <w:jc w:val="center"/>
      </w:pPr>
      <w:r>
        <w:rPr>
          <w:sz w:val="20"/>
        </w:rPr>
        <w:t xml:space="preserve">пропаганды здорового образа жизни, улучшения</w:t>
      </w:r>
    </w:p>
    <w:p>
      <w:pPr>
        <w:pStyle w:val="0"/>
        <w:jc w:val="center"/>
      </w:pPr>
      <w:r>
        <w:rPr>
          <w:sz w:val="20"/>
        </w:rPr>
        <w:t xml:space="preserve">морально-психологического состояния граждан, физической</w:t>
      </w:r>
    </w:p>
    <w:p>
      <w:pPr>
        <w:pStyle w:val="0"/>
        <w:jc w:val="center"/>
      </w:pPr>
      <w:r>
        <w:rPr>
          <w:sz w:val="20"/>
        </w:rPr>
        <w:t xml:space="preserve">культуры и спорта и содействие указанной деятельности,</w:t>
      </w:r>
    </w:p>
    <w:p>
      <w:pPr>
        <w:pStyle w:val="0"/>
        <w:jc w:val="center"/>
      </w:pPr>
      <w:r>
        <w:rPr>
          <w:sz w:val="20"/>
        </w:rPr>
        <w:t xml:space="preserve">а также содействие духовному развитию личности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Задача 1. Развитие институтов гражданского общества Тюменской области, формирование благоприятных условий для социально ориентированных некоммерческих организаций, осуществляющих деятельность в социальной сфере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628"/>
        <w:gridCol w:w="1928"/>
        <w:gridCol w:w="1531"/>
        <w:gridCol w:w="4025"/>
      </w:tblGrid>
      <w:tr>
        <w:tc>
          <w:tcPr>
            <w:tcW w:w="31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 программы (проекта)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результатов реализации программных мероприятий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Максимальный размер субсидии на финансовое обеспечение цели программы (проекта), руб.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реализации программы (проекта)</w:t>
            </w:r>
          </w:p>
        </w:tc>
        <w:tc>
          <w:tcPr>
            <w:tcW w:w="402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Требования к реализации программы (проекта)</w:t>
            </w:r>
          </w:p>
        </w:tc>
      </w:tr>
      <w:tr>
        <w:tc>
          <w:tcPr>
            <w:gridSpan w:val="5"/>
            <w:tcW w:w="142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Направление: Социальное обслуживание, социальная поддержка участников специальной военной операции (СВО)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 членов их семей.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Обучение социальных координаторов, представителей общественных организаций, психологов навыкам общения, поддержки, снятия стрессовой ситуации с членами семей участников СВО, погибших в ходе боевых действий.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- Охват мероприятиями не менее 50 социальных координаторов, представителей общественных организаций, психологов.</w:t>
            </w:r>
          </w:p>
          <w:p>
            <w:pPr>
              <w:pStyle w:val="0"/>
            </w:pPr>
            <w:r>
              <w:rPr>
                <w:sz w:val="20"/>
              </w:rPr>
              <w:t xml:space="preserve">- Охват не менее 26 семей участников СВО, погибших в ходе боевых действий.</w:t>
            </w:r>
          </w:p>
          <w:p>
            <w:pPr>
              <w:pStyle w:val="0"/>
            </w:pPr>
            <w:r>
              <w:rPr>
                <w:sz w:val="20"/>
              </w:rPr>
              <w:t xml:space="preserve">- Публикация в СМИ и сети "Интернет" не менее 3 информационных материалов по проекту.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512 482,96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ноября 2024</w:t>
            </w:r>
          </w:p>
        </w:tc>
        <w:tc>
          <w:tcPr>
            <w:tcW w:w="402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1) Целевая аудитория: члены семей участников СВО, погибших в ходе боевых действий, социальные координаторы, психологи, общественные организации; организаций</w:t>
            </w:r>
          </w:p>
          <w:p>
            <w:pPr>
              <w:pStyle w:val="0"/>
            </w:pPr>
            <w:r>
              <w:rPr>
                <w:sz w:val="20"/>
              </w:rPr>
              <w:t xml:space="preserve">2) Проект должен включать этап обучения и этап сопровождения после обучения социальными координаторами, представителями общественных организаций, психологами семей участников СВО, погибших в ходе боевых действий.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0"/>
      <w:headerReference w:type="first" r:id="rId10"/>
      <w:footerReference w:type="default" r:id="rId11"/>
      <w:footerReference w:type="first" r:id="rId11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социального развития Тюменской области от 15.11.2023 N 497-п</w:t>
            <w:br/>
            <w:t>"О проведении второго этапа Специальног...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социального развития Тюменской области от 15.11.2023 N 497-п</w:t>
            <w:br/>
            <w:t>"О проведении второго этапа Специальног...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3A890EF4B5777489662422B978BB036987B7C35B29D50F22737BBA88104669436D2C9B0BA534F007BAE836F4EMA13L" TargetMode = "External"/>
	<Relationship Id="rId8" Type="http://schemas.openxmlformats.org/officeDocument/2006/relationships/hyperlink" Target="consultantplus://offline/ref=63A890EF4B57774896625C2681E7EE399A75213BB2925EAC7A60BDFFDE5460C1649297E9E911040C78B69F6E4DBEB30B6DM415L" TargetMode = "External"/>
	<Relationship Id="rId9" Type="http://schemas.openxmlformats.org/officeDocument/2006/relationships/hyperlink" Target="consultantplus://offline/ref=63A890EF4B57774896625C2681E7EE399A75213BB19B5DAD7F63BDFFDE5460C1649297E9FB115C007AB0846F48ABE55A2B133076F90A89E492326821MA1EL" TargetMode = "Externa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социального развития Тюменской области от 15.11.2023 N 497-п
"О проведении второго этапа Специального (дополнительного) конкурса на предоставление грантов Губернатора Тюменской области в форме субсидии для социально ориентированных некоммерческих организаций"</dc:title>
  <dcterms:created xsi:type="dcterms:W3CDTF">2023-11-26T11:53:12Z</dcterms:created>
</cp:coreProperties>
</file>