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Волгоградской обл. от 29.05.2023 N 359-п</w:t>
              <w:br/>
              <w:t xml:space="preserve">"О некоторых вопросах предоставления в 2023 году из областного бюджета иных межбюджетных трансфертов бюджетам муниципальных образований Волгоградской области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ВОЛГОГРАДСКОЙ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29 мая 2023 г. N 359-п</w:t>
      </w:r>
    </w:p>
    <w:p>
      <w:pPr>
        <w:pStyle w:val="2"/>
        <w:jc w:val="both"/>
      </w:pPr>
      <w:r>
        <w:rPr>
          <w:sz w:val="20"/>
        </w:rPr>
      </w:r>
    </w:p>
    <w:p>
      <w:pPr>
        <w:pStyle w:val="2"/>
        <w:jc w:val="center"/>
      </w:pPr>
      <w:r>
        <w:rPr>
          <w:sz w:val="20"/>
        </w:rPr>
        <w:t xml:space="preserve">О НЕКОТОРЫХ ВОПРОСАХ ПРЕДОСТАВЛЕНИЯ В 2023 ГОДУ</w:t>
      </w:r>
    </w:p>
    <w:p>
      <w:pPr>
        <w:pStyle w:val="2"/>
        <w:jc w:val="center"/>
      </w:pPr>
      <w:r>
        <w:rPr>
          <w:sz w:val="20"/>
        </w:rPr>
        <w:t xml:space="preserve">ИЗ ОБЛАСТНОГО БЮДЖЕТА ИНЫХ МЕЖБЮДЖЕТНЫХ ТРАНСФЕРТОВ БЮДЖЕТАМ</w:t>
      </w:r>
    </w:p>
    <w:p>
      <w:pPr>
        <w:pStyle w:val="2"/>
        <w:jc w:val="center"/>
      </w:pPr>
      <w:r>
        <w:rPr>
          <w:sz w:val="20"/>
        </w:rPr>
        <w:t xml:space="preserve">МУНИЦИПАЛЬНЫХ ОБРАЗОВАНИЙ ВОЛГОГРАДСКОЙ ОБЛАСТИ</w:t>
      </w:r>
    </w:p>
    <w:p>
      <w:pPr>
        <w:pStyle w:val="2"/>
        <w:jc w:val="center"/>
      </w:pPr>
      <w:r>
        <w:rPr>
          <w:sz w:val="20"/>
        </w:rPr>
        <w:t xml:space="preserve">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 "РЕГИОН</w:t>
      </w:r>
    </w:p>
    <w:p>
      <w:pPr>
        <w:pStyle w:val="2"/>
        <w:jc w:val="center"/>
      </w:pPr>
      <w:r>
        <w:rPr>
          <w:sz w:val="20"/>
        </w:rPr>
        <w:t xml:space="preserve">ДОБРЫХ ДЕЛ"</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частями 18</w:t>
        </w:r>
      </w:hyperlink>
      <w:r>
        <w:rPr>
          <w:sz w:val="20"/>
        </w:rPr>
        <w:t xml:space="preserve"> и </w:t>
      </w:r>
      <w:hyperlink w:history="0" r:id="rId8" w:tooltip="Федеральный закон от 21.11.2022 N 448-ФЗ (ред. от 18.03.2023) &quo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quot; {КонсультантПлюс}">
        <w:r>
          <w:rPr>
            <w:sz w:val="20"/>
            <w:color w:val="0000ff"/>
          </w:rPr>
          <w:t xml:space="preserve">21 статьи 10</w:t>
        </w:r>
      </w:hyperlink>
      <w:r>
        <w:rPr>
          <w:sz w:val="20"/>
        </w:rPr>
        <w:t xml:space="preserve"> Федерального закона от 21 ноября 2022 г. N 448-ФЗ "О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 Администрация Волгоградской области постановляет:</w:t>
      </w:r>
    </w:p>
    <w:p>
      <w:pPr>
        <w:pStyle w:val="0"/>
        <w:spacing w:before="200" w:line-rule="auto"/>
        <w:ind w:firstLine="540"/>
        <w:jc w:val="both"/>
      </w:pPr>
      <w:r>
        <w:rPr>
          <w:sz w:val="20"/>
        </w:rPr>
        <w:t xml:space="preserve">1. Установить, что в ходе исполнения областного бюджета в 2023 году дополнительно к основаниям для внесения изменений в сводную бюджетную роспись областного бюджета без внесения изменений в </w:t>
      </w:r>
      <w:hyperlink w:history="0" r:id="rId9" w:tooltip="Закон Волгоградской области от 05.12.2022 N 122-ОД (ред. от 20.02.2023) &quot;Об областном бюджете на 2023 год и на плановый период 2024 и 2025 годов&quot; (принят Волгоградской областной Думой 01.12.2022) {КонсультантПлюс}">
        <w:r>
          <w:rPr>
            <w:sz w:val="20"/>
            <w:color w:val="0000ff"/>
          </w:rPr>
          <w:t xml:space="preserve">Закон</w:t>
        </w:r>
      </w:hyperlink>
      <w:r>
        <w:rPr>
          <w:sz w:val="20"/>
        </w:rPr>
        <w:t xml:space="preserve"> Волгоградской области от 05 декабря 2022 г. N 122-ОД "Об областном бюджете на 2023 год и на плановый период 2024 и 2025 годов" (далее именуется - Закон об областном бюджете) в сводную бюджетную роспись областного бюджета могут быть внесены изменения в случае перераспределения бюджетных ассигнований, предусмотренных по подразделу 0707 "Молодежная политика" классификации расходов бюджетов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2. В целях реализации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 внести изменения в сводную бюджетную роспись областного бюджета на 2023 год и на плановый период 2024 и 2025 годов без внесения изменений в Закон об областном бюджете, перераспределив бюджетные ассигнования в пределах общего объема бюджетных ассигнований, предусмотренных комитету образования, науки и молодежной политики Волгоградской области:</w:t>
      </w:r>
    </w:p>
    <w:p>
      <w:pPr>
        <w:pStyle w:val="0"/>
        <w:spacing w:before="200" w:line-rule="auto"/>
        <w:ind w:firstLine="540"/>
        <w:jc w:val="both"/>
      </w:pPr>
      <w:r>
        <w:rPr>
          <w:sz w:val="20"/>
        </w:rPr>
        <w:t xml:space="preserve">уменьшить на 1404,90 тыс. рублей бюджетные ассигнования на 2023 год по подразделу 0707 "Молодежная политика" классификации расходов бюджетов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увеличить на 675,24 тыс. рублей бюджетные ассигнования на 2023 год на предоставление иных межбюджетных трансфертов бюджетам муниципальных образований Волгоградской области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увеличить на 729,66 тыс. рублей бюджетные ассигнования на 2023 год комитету социальной защиты населения Волгоградской области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3. Утвердить прилагаемое </w:t>
      </w:r>
      <w:hyperlink w:history="0" w:anchor="P38" w:tooltip="РАСПРЕДЕЛЕНИЕ В 2023 ГОДУ ИНЫХ МЕЖБЮДЖЕТНЫХ ТРАНСФЕРТОВ">
        <w:r>
          <w:rPr>
            <w:sz w:val="20"/>
            <w:color w:val="0000ff"/>
          </w:rPr>
          <w:t xml:space="preserve">распределение</w:t>
        </w:r>
      </w:hyperlink>
      <w:r>
        <w:rPr>
          <w:sz w:val="20"/>
        </w:rPr>
        <w:t xml:space="preserve"> в 2023 году иных межбюджетных трансфертов бюджетам муниципальных образований Волгоградской области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p>
      <w:pPr>
        <w:pStyle w:val="0"/>
        <w:spacing w:before="200" w:line-rule="auto"/>
        <w:ind w:firstLine="540"/>
        <w:jc w:val="both"/>
      </w:pPr>
      <w:r>
        <w:rPr>
          <w:sz w:val="20"/>
        </w:rPr>
        <w:t xml:space="preserve">4. Настоящее постановление вступает в силу со дня его подписания и подлежит официальному опубликованию.</w:t>
      </w:r>
    </w:p>
    <w:p>
      <w:pPr>
        <w:pStyle w:val="0"/>
        <w:jc w:val="both"/>
      </w:pPr>
      <w:r>
        <w:rPr>
          <w:sz w:val="20"/>
        </w:rPr>
      </w:r>
    </w:p>
    <w:p>
      <w:pPr>
        <w:pStyle w:val="0"/>
        <w:jc w:val="right"/>
      </w:pPr>
      <w:r>
        <w:rPr>
          <w:sz w:val="20"/>
        </w:rPr>
        <w:t xml:space="preserve">Губернатор</w:t>
      </w:r>
    </w:p>
    <w:p>
      <w:pPr>
        <w:pStyle w:val="0"/>
        <w:jc w:val="right"/>
      </w:pPr>
      <w:r>
        <w:rPr>
          <w:sz w:val="20"/>
        </w:rPr>
        <w:t xml:space="preserve">Волгоградской области</w:t>
      </w:r>
    </w:p>
    <w:p>
      <w:pPr>
        <w:pStyle w:val="0"/>
        <w:jc w:val="right"/>
      </w:pPr>
      <w:r>
        <w:rPr>
          <w:sz w:val="20"/>
        </w:rPr>
        <w:t xml:space="preserve">А.И.БОЧАРОВ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Волгоградской области</w:t>
      </w:r>
    </w:p>
    <w:p>
      <w:pPr>
        <w:pStyle w:val="0"/>
        <w:jc w:val="right"/>
      </w:pPr>
      <w:r>
        <w:rPr>
          <w:sz w:val="20"/>
        </w:rPr>
        <w:t xml:space="preserve">от 29 мая 2023 г. N 359-п</w:t>
      </w:r>
    </w:p>
    <w:p>
      <w:pPr>
        <w:pStyle w:val="0"/>
        <w:jc w:val="both"/>
      </w:pPr>
      <w:r>
        <w:rPr>
          <w:sz w:val="20"/>
        </w:rPr>
      </w:r>
    </w:p>
    <w:bookmarkStart w:id="38" w:name="P38"/>
    <w:bookmarkEnd w:id="38"/>
    <w:p>
      <w:pPr>
        <w:pStyle w:val="2"/>
        <w:jc w:val="center"/>
      </w:pPr>
      <w:r>
        <w:rPr>
          <w:sz w:val="20"/>
        </w:rPr>
        <w:t xml:space="preserve">РАСПРЕДЕЛЕНИЕ В 2023 ГОДУ ИНЫХ МЕЖБЮДЖЕТНЫХ ТРАНСФЕРТОВ</w:t>
      </w:r>
    </w:p>
    <w:p>
      <w:pPr>
        <w:pStyle w:val="2"/>
        <w:jc w:val="center"/>
      </w:pPr>
      <w:r>
        <w:rPr>
          <w:sz w:val="20"/>
        </w:rPr>
        <w:t xml:space="preserve">БЮДЖЕТАМ МУНИЦИПАЛЬНЫХ ОБРАЗОВАНИЙ ВОЛГОГРАДСКОЙ ОБЛАСТИ</w:t>
      </w:r>
    </w:p>
    <w:p>
      <w:pPr>
        <w:pStyle w:val="2"/>
        <w:jc w:val="center"/>
      </w:pPr>
      <w:r>
        <w:rPr>
          <w:sz w:val="20"/>
        </w:rPr>
        <w:t xml:space="preserve">НА РЕАЛИЗАЦИЮ ПРАКТИК ПОДДЕРЖКИ ДОБРОВОЛЬЧЕСТВА</w:t>
      </w:r>
    </w:p>
    <w:p>
      <w:pPr>
        <w:pStyle w:val="2"/>
        <w:jc w:val="center"/>
      </w:pPr>
      <w:r>
        <w:rPr>
          <w:sz w:val="20"/>
        </w:rPr>
        <w:t xml:space="preserve">(ВОЛОНТЕРСТВА) ПО ИТОГАМ ПРОВЕДЕНИЯ ЕЖЕГОДНОГО</w:t>
      </w:r>
    </w:p>
    <w:p>
      <w:pPr>
        <w:pStyle w:val="2"/>
        <w:jc w:val="center"/>
      </w:pPr>
      <w:r>
        <w:rPr>
          <w:sz w:val="20"/>
        </w:rPr>
        <w:t xml:space="preserve">ВСЕРОССИЙСКОГО КОНКУРСА ЛУЧШИХ РЕГИОНАЛЬНЫХ ПРАКТИК</w:t>
      </w:r>
    </w:p>
    <w:p>
      <w:pPr>
        <w:pStyle w:val="2"/>
        <w:jc w:val="center"/>
      </w:pPr>
      <w:r>
        <w:rPr>
          <w:sz w:val="20"/>
        </w:rPr>
        <w:t xml:space="preserve">ПОДДЕРЖКИ И РАЗВИТИЯ ДОБРОВОЛЬЧЕСТВА (ВОЛОНТЕРСТВА) "РЕГИОН</w:t>
      </w:r>
    </w:p>
    <w:p>
      <w:pPr>
        <w:pStyle w:val="2"/>
        <w:jc w:val="center"/>
      </w:pPr>
      <w:r>
        <w:rPr>
          <w:sz w:val="20"/>
        </w:rPr>
        <w:t xml:space="preserve">ДОБРЫХ ДЕЛ"</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510"/>
        <w:gridCol w:w="5613"/>
        <w:gridCol w:w="2948"/>
      </w:tblGrid>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N п/п</w:t>
            </w:r>
          </w:p>
        </w:tc>
        <w:tc>
          <w:tcPr>
            <w:tcW w:w="5613" w:type="dxa"/>
            <w:tcBorders>
              <w:top w:val="single" w:sz="4"/>
              <w:bottom w:val="single" w:sz="4"/>
            </w:tcBorders>
          </w:tcPr>
          <w:p>
            <w:pPr>
              <w:pStyle w:val="0"/>
              <w:jc w:val="center"/>
            </w:pPr>
            <w:r>
              <w:rPr>
                <w:sz w:val="20"/>
              </w:rPr>
              <w:t xml:space="preserve">Наименование муниципальных образований</w:t>
            </w:r>
          </w:p>
        </w:tc>
        <w:tc>
          <w:tcPr>
            <w:tcW w:w="2948" w:type="dxa"/>
            <w:tcBorders>
              <w:top w:val="single" w:sz="4"/>
              <w:bottom w:val="single" w:sz="4"/>
              <w:right w:val="nil"/>
            </w:tcBorders>
          </w:tcPr>
          <w:p>
            <w:pPr>
              <w:pStyle w:val="0"/>
              <w:jc w:val="center"/>
            </w:pPr>
            <w:r>
              <w:rPr>
                <w:sz w:val="20"/>
              </w:rPr>
              <w:t xml:space="preserve">Размер иного межбюджетного трансферта (тыс. рублей)</w:t>
            </w:r>
          </w:p>
        </w:tc>
      </w:tr>
      <w:tr>
        <w:tblPrEx>
          <w:tblBorders>
            <w:insideV w:val="single" w:sz="4"/>
            <w:insideH w:val="single" w:sz="4"/>
          </w:tblBorders>
        </w:tblPrEx>
        <w:tc>
          <w:tcPr>
            <w:tcW w:w="510" w:type="dxa"/>
            <w:tcBorders>
              <w:top w:val="single" w:sz="4"/>
              <w:left w:val="nil"/>
              <w:bottom w:val="single" w:sz="4"/>
            </w:tcBorders>
          </w:tcPr>
          <w:p>
            <w:pPr>
              <w:pStyle w:val="0"/>
              <w:jc w:val="center"/>
            </w:pPr>
            <w:r>
              <w:rPr>
                <w:sz w:val="20"/>
              </w:rPr>
              <w:t xml:space="preserve">1</w:t>
            </w:r>
          </w:p>
        </w:tc>
        <w:tc>
          <w:tcPr>
            <w:tcW w:w="5613" w:type="dxa"/>
            <w:tcBorders>
              <w:top w:val="single" w:sz="4"/>
              <w:bottom w:val="single" w:sz="4"/>
            </w:tcBorders>
          </w:tcPr>
          <w:p>
            <w:pPr>
              <w:pStyle w:val="0"/>
              <w:jc w:val="center"/>
            </w:pPr>
            <w:r>
              <w:rPr>
                <w:sz w:val="20"/>
              </w:rPr>
              <w:t xml:space="preserve">2</w:t>
            </w:r>
          </w:p>
        </w:tc>
        <w:tc>
          <w:tcPr>
            <w:tcW w:w="2948" w:type="dxa"/>
            <w:tcBorders>
              <w:top w:val="single" w:sz="4"/>
              <w:bottom w:val="single" w:sz="4"/>
              <w:right w:val="nil"/>
            </w:tcBorders>
          </w:tcPr>
          <w:p>
            <w:pPr>
              <w:pStyle w:val="0"/>
              <w:jc w:val="center"/>
            </w:pPr>
            <w:r>
              <w:rPr>
                <w:sz w:val="20"/>
              </w:rPr>
              <w:t xml:space="preserve">3</w:t>
            </w:r>
          </w:p>
        </w:tc>
      </w:tr>
      <w:tr>
        <w:tc>
          <w:tcPr>
            <w:tcW w:w="510" w:type="dxa"/>
            <w:tcBorders>
              <w:top w:val="single" w:sz="4"/>
              <w:left w:val="nil"/>
              <w:bottom w:val="nil"/>
              <w:right w:val="nil"/>
            </w:tcBorders>
          </w:tcPr>
          <w:p>
            <w:pPr>
              <w:pStyle w:val="0"/>
              <w:jc w:val="center"/>
            </w:pPr>
            <w:r>
              <w:rPr>
                <w:sz w:val="20"/>
              </w:rPr>
              <w:t xml:space="preserve">1.</w:t>
            </w:r>
          </w:p>
        </w:tc>
        <w:tc>
          <w:tcPr>
            <w:tcW w:w="5613" w:type="dxa"/>
            <w:tcBorders>
              <w:top w:val="single" w:sz="4"/>
              <w:left w:val="nil"/>
              <w:bottom w:val="nil"/>
              <w:right w:val="nil"/>
            </w:tcBorders>
          </w:tcPr>
          <w:p>
            <w:pPr>
              <w:pStyle w:val="0"/>
            </w:pPr>
            <w:r>
              <w:rPr>
                <w:sz w:val="20"/>
              </w:rPr>
              <w:t xml:space="preserve">Городской округ город-герой Волгоград</w:t>
            </w:r>
          </w:p>
        </w:tc>
        <w:tc>
          <w:tcPr>
            <w:tcW w:w="2948" w:type="dxa"/>
            <w:tcBorders>
              <w:top w:val="single" w:sz="4"/>
              <w:left w:val="nil"/>
              <w:bottom w:val="nil"/>
              <w:right w:val="nil"/>
            </w:tcBorders>
          </w:tcPr>
          <w:p>
            <w:pPr>
              <w:pStyle w:val="0"/>
              <w:jc w:val="center"/>
            </w:pPr>
            <w:r>
              <w:rPr>
                <w:sz w:val="20"/>
              </w:rPr>
              <w:t xml:space="preserve">538,34</w:t>
            </w:r>
          </w:p>
        </w:tc>
      </w:tr>
      <w:tr>
        <w:tc>
          <w:tcPr>
            <w:tcW w:w="510" w:type="dxa"/>
            <w:tcBorders>
              <w:top w:val="nil"/>
              <w:left w:val="nil"/>
              <w:bottom w:val="nil"/>
              <w:right w:val="nil"/>
            </w:tcBorders>
          </w:tcPr>
          <w:p>
            <w:pPr>
              <w:pStyle w:val="0"/>
              <w:jc w:val="center"/>
            </w:pPr>
            <w:r>
              <w:rPr>
                <w:sz w:val="20"/>
              </w:rPr>
              <w:t xml:space="preserve">2.</w:t>
            </w:r>
          </w:p>
        </w:tc>
        <w:tc>
          <w:tcPr>
            <w:tcW w:w="5613" w:type="dxa"/>
            <w:tcBorders>
              <w:top w:val="nil"/>
              <w:left w:val="nil"/>
              <w:bottom w:val="nil"/>
              <w:right w:val="nil"/>
            </w:tcBorders>
          </w:tcPr>
          <w:p>
            <w:pPr>
              <w:pStyle w:val="0"/>
            </w:pPr>
            <w:r>
              <w:rPr>
                <w:sz w:val="20"/>
              </w:rPr>
              <w:t xml:space="preserve">Городской округ город Фролово</w:t>
            </w:r>
          </w:p>
        </w:tc>
        <w:tc>
          <w:tcPr>
            <w:tcW w:w="2948" w:type="dxa"/>
            <w:tcBorders>
              <w:top w:val="nil"/>
              <w:left w:val="nil"/>
              <w:bottom w:val="nil"/>
              <w:right w:val="nil"/>
            </w:tcBorders>
          </w:tcPr>
          <w:p>
            <w:pPr>
              <w:pStyle w:val="0"/>
              <w:jc w:val="center"/>
            </w:pPr>
            <w:r>
              <w:rPr>
                <w:sz w:val="20"/>
              </w:rPr>
              <w:t xml:space="preserve">136,90</w:t>
            </w:r>
          </w:p>
        </w:tc>
      </w:tr>
      <w:tr>
        <w:tc>
          <w:tcPr>
            <w:tcW w:w="510" w:type="dxa"/>
            <w:tcBorders>
              <w:top w:val="nil"/>
              <w:left w:val="nil"/>
              <w:bottom w:val="nil"/>
              <w:right w:val="nil"/>
            </w:tcBorders>
          </w:tcPr>
          <w:p>
            <w:pPr>
              <w:pStyle w:val="0"/>
            </w:pPr>
            <w:r>
              <w:rPr>
                <w:sz w:val="20"/>
              </w:rPr>
            </w:r>
          </w:p>
        </w:tc>
        <w:tc>
          <w:tcPr>
            <w:tcW w:w="5613" w:type="dxa"/>
            <w:tcBorders>
              <w:top w:val="nil"/>
              <w:left w:val="nil"/>
              <w:bottom w:val="nil"/>
              <w:right w:val="nil"/>
            </w:tcBorders>
          </w:tcPr>
          <w:p>
            <w:pPr>
              <w:pStyle w:val="0"/>
            </w:pPr>
            <w:r>
              <w:rPr>
                <w:sz w:val="20"/>
              </w:rPr>
              <w:t xml:space="preserve">Всего</w:t>
            </w:r>
          </w:p>
        </w:tc>
        <w:tc>
          <w:tcPr>
            <w:tcW w:w="2948" w:type="dxa"/>
            <w:tcBorders>
              <w:top w:val="nil"/>
              <w:left w:val="nil"/>
              <w:bottom w:val="nil"/>
              <w:right w:val="nil"/>
            </w:tcBorders>
          </w:tcPr>
          <w:p>
            <w:pPr>
              <w:pStyle w:val="0"/>
              <w:jc w:val="center"/>
            </w:pPr>
            <w:r>
              <w:rPr>
                <w:sz w:val="20"/>
              </w:rPr>
              <w:t xml:space="preserve">675,24</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Волгоградской обл. от 29.05.2023 N 359-п</w:t>
            <w:br/>
            <w:t>"О некоторых вопросах предоставления в 2023 году из...</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14FD6A59A468EB040915E62EF2F1F6C5979449C45B94B118F61A972F9672ABB79761AAE831E964BA0E5BD6E186F3B01CFC335574C54A28FTEx5N" TargetMode = "External"/>
	<Relationship Id="rId8" Type="http://schemas.openxmlformats.org/officeDocument/2006/relationships/hyperlink" Target="consultantplus://offline/ref=B14FD6A59A468EB040915E62EF2F1F6C5979449C45B94B118F61A972F9672ABB79761AAE831E964DA4E5BD6E186F3B01CFC335574C54A28FTEx5N" TargetMode = "External"/>
	<Relationship Id="rId9" Type="http://schemas.openxmlformats.org/officeDocument/2006/relationships/hyperlink" Target="consultantplus://offline/ref=B14FD6A59A468EB04091406FF94340695D76189241BA4945DA3DAF25A6372CEE39361CFBD25AC141A3EAF73F5A243401C9TDx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Волгоградской обл. от 29.05.2023 N 359-п
"О некоторых вопросах предоставления в 2023 году из областного бюджета иных межбюджетных трансфертов бюджетам муниципальных образований Волгоградской области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dc:title>
  <dcterms:created xsi:type="dcterms:W3CDTF">2023-06-04T13:49:19Z</dcterms:created>
</cp:coreProperties>
</file>