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22.06.2022 N 360-п</w:t>
              <w:br/>
              <w:t xml:space="preserve">(ред. от 27.04.2023)</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гражданам пожилого возраста и инвалидам в условиях дневного пребывания"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июня 2022 г. N 360-п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СОЦИАЛЬНЫЕ УСЛУГИ</w:t>
      </w:r>
    </w:p>
    <w:p>
      <w:pPr>
        <w:pStyle w:val="2"/>
        <w:jc w:val="center"/>
      </w:pPr>
      <w:r>
        <w:rPr>
          <w:sz w:val="20"/>
        </w:rPr>
        <w:t xml:space="preserve">В ПОЛУСТАЦИОНАРНОЙ ФОРМЕ СОЦИАЛЬНОГО ОБСЛУЖИВАНИЯ ГРАЖДАНАМ</w:t>
      </w:r>
    </w:p>
    <w:p>
      <w:pPr>
        <w:pStyle w:val="2"/>
        <w:jc w:val="center"/>
      </w:pPr>
      <w:r>
        <w:rPr>
          <w:sz w:val="20"/>
        </w:rPr>
        <w:t xml:space="preserve">ПОЖИЛОГО ВОЗРАСТА И ИНВАЛИДАМ В УСЛОВИЯХ ДНЕВНОГО ПРЕБЫВАНИЯ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27.04.2023 N 295-п)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Федеральным </w:t>
      </w:r>
      <w:hyperlink w:history="0" r:id="rId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гражданам пожилого возраста и инвалидам в условиях дневного пребывания.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22 июня 2022 г. N 360-п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СОЦИАЛЬНЫЕ УСЛУГИ В ПОЛУСТАЦИОНАРНОЙ ФОРМЕ СОЦИАЛЬНОГО</w:t>
      </w:r>
    </w:p>
    <w:p>
      <w:pPr>
        <w:pStyle w:val="2"/>
        <w:jc w:val="center"/>
      </w:pPr>
      <w:r>
        <w:rPr>
          <w:sz w:val="20"/>
        </w:rPr>
        <w:t xml:space="preserve">ОБСЛУЖИВАНИЯ ГРАЖДАНАМ ПОЖИЛОГО ВОЗРАСТА И ИНВАЛИДАМ</w:t>
      </w:r>
    </w:p>
    <w:p>
      <w:pPr>
        <w:pStyle w:val="2"/>
        <w:jc w:val="center"/>
      </w:pPr>
      <w:r>
        <w:rPr>
          <w:sz w:val="20"/>
        </w:rPr>
        <w:t xml:space="preserve">В УСЛОВИЯХ ДНЕВНОГО ПРЕБЫВАНИЯ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27.04.2023 N 295-п)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гражданам пожилого возраста и инвалидам в условиях дневного пребывания (далее именуются - субсидии), в том числе результаты их предоставления, требования к отчетности и осуществлению контроля за соблюдением условий, порядка предоставления субсидий и ответственность за их нарушение.</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1) исполнитель общественно полезных услуг -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иностранным агентом и не имеет задолженностей по налогам и сборам, иным предусмотренным законодательством Российской Федерации обязательным платежам. Исполнитель общественно полезных услуг должен быть включен в реестр некоммерческих организаций - исполнителей общественно полезных услуг в соответствии со </w:t>
      </w:r>
      <w:hyperlink w:history="0" r:id="rId12"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w:t>
      </w:r>
    </w:p>
    <w:p>
      <w:pPr>
        <w:pStyle w:val="0"/>
        <w:jc w:val="both"/>
      </w:pPr>
      <w:r>
        <w:rPr>
          <w:sz w:val="20"/>
        </w:rPr>
        <w:t xml:space="preserve">(в ред. </w:t>
      </w:r>
      <w:hyperlink w:history="0" r:id="rId1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В соответствии с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предоставление социального обслуживания в полустационарной форме является общественно полезной услугой;</w:t>
      </w:r>
    </w:p>
    <w:p>
      <w:pPr>
        <w:pStyle w:val="0"/>
        <w:spacing w:before="200" w:line-rule="auto"/>
        <w:ind w:firstLine="540"/>
        <w:jc w:val="both"/>
      </w:pPr>
      <w:r>
        <w:rPr>
          <w:sz w:val="20"/>
        </w:rPr>
        <w:t xml:space="preserve">2) получатели социальных услуг - граждане пожилого возраста (мужчины старше 60 лет, женщины старше 55 лет) и инвалиды, страдающие когнитивными расстройствами, признанные нуждающимися в предоставлении социальных услуг в полустационарной форме социального обслуживания в условиях дневного пребывания;</w:t>
      </w:r>
    </w:p>
    <w:p>
      <w:pPr>
        <w:pStyle w:val="0"/>
        <w:spacing w:before="200" w:line-rule="auto"/>
        <w:ind w:firstLine="540"/>
        <w:jc w:val="both"/>
      </w:pPr>
      <w:r>
        <w:rPr>
          <w:sz w:val="20"/>
        </w:rPr>
        <w:t xml:space="preserve">3) социальные услуги в полустационарной форме социального обслуживания в условиях дневного пребывания (далее именуются - социальные услуги) - услуги, оказываемые в соответствии с </w:t>
      </w:r>
      <w:hyperlink w:history="0" r:id="rId15" w:tooltip="Приказ комитета социальной защиты населения Волгоградской обл. от 19.02.2015 N 348 (ред. от 11.04.2023) &quot;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утвержденным приказом комитета социальной защиты населения Волгоградской области от 19 февраля 2015 г. N 348 "Об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(далее именуется - Порядок предоставления социальных услуг в полустационарной форме), в отделении дневного пребывания граждан пожилого возраста и инвалидов (далее именуется - отделение дневного пребывания);</w:t>
      </w:r>
    </w:p>
    <w:p>
      <w:pPr>
        <w:pStyle w:val="0"/>
        <w:spacing w:before="200" w:line-rule="auto"/>
        <w:ind w:firstLine="540"/>
        <w:jc w:val="both"/>
      </w:pPr>
      <w:r>
        <w:rPr>
          <w:sz w:val="20"/>
        </w:rPr>
        <w:t xml:space="preserve">4) иные понятия, применяемые в значениях, определенных Федеральным </w:t>
      </w:r>
      <w:hyperlink w:history="0" r:id="rId1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53" w:name="P53"/>
    <w:bookmarkEnd w:id="53"/>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w:t>
      </w:r>
    </w:p>
    <w:p>
      <w:pPr>
        <w:pStyle w:val="0"/>
        <w:spacing w:before="200" w:line-rule="auto"/>
        <w:ind w:firstLine="540"/>
        <w:jc w:val="both"/>
      </w:pPr>
      <w:r>
        <w:rPr>
          <w:sz w:val="20"/>
        </w:rPr>
        <w:t xml:space="preserve">Субсидия расходуется на оплату труда персонала, начисления на выплаты по оплате труда, общехозяйственные расходы, непосредственно связанные с предоставлением социальной услуги (услуги связи, транспортные услуги, арендная плата, коммунальные услуги, услуги по организации питания, затраты на мягкий инвентарь, средства индивидуальной защиты, организацию мероприятий с целью предупреждения распространения вирусных инфекций, в том числе тестирования работников отделения дневного пребывания).</w:t>
      </w:r>
    </w:p>
    <w:p>
      <w:pPr>
        <w:pStyle w:val="0"/>
        <w:spacing w:before="200" w:line-rule="auto"/>
        <w:ind w:firstLine="540"/>
        <w:jc w:val="both"/>
      </w:pPr>
      <w:r>
        <w:rPr>
          <w:sz w:val="20"/>
        </w:rPr>
        <w:t xml:space="preserve">1.4. Субсидии предоставляются в рамках государственной </w:t>
      </w:r>
      <w:hyperlink w:history="0" r:id="rId17"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и регионального проекта "Разработка и реализация программы системной поддержки и повышения качества жизни граждан старшего поколения (Волгоградская область)" федерального </w:t>
      </w:r>
      <w:hyperlink w:history="0" r:id="rId18" w:tooltip="&quot;Паспорт федерального проекта &quot;Разработка и реализация программы системной поддержки и повышения качества жизни граждан старшего поколения&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Паспорта национального </w:t>
      </w:r>
      <w:hyperlink w:history="0" r:id="rId1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spacing w:before="200" w:line-rule="auto"/>
        <w:ind w:firstLine="540"/>
        <w:jc w:val="both"/>
      </w:pPr>
      <w:r>
        <w:rPr>
          <w:sz w:val="20"/>
        </w:rPr>
        <w:t xml:space="preserve">1.5. Главным распорядителем и получателем средств областного бюджета, предусмотренных на предоставление субсидий, является комитет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1.6. Субсидии предоставляются за счет собственных средств областного бюджета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53"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1.7. Субсидии предоставляются по результатам конкурса на предоставление субсидий (далее именуется - конкурс).</w:t>
      </w:r>
    </w:p>
    <w:p>
      <w:pPr>
        <w:pStyle w:val="0"/>
        <w:spacing w:before="200" w:line-rule="auto"/>
        <w:ind w:firstLine="540"/>
        <w:jc w:val="both"/>
      </w:pPr>
      <w:r>
        <w:rPr>
          <w:sz w:val="20"/>
        </w:rPr>
        <w:t xml:space="preserve">Конкурс проводится по муниципальному району, городскому округу Волгоградской области, району (районам) Волгограда (далее именуется - территория предоставления социальных услуг).</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1.8 в ред. </w:t>
      </w:r>
      <w:hyperlink w:history="0" r:id="rId2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Комитет выступает организатором конкурса, формирует комиссию для рассмотрения и оценки заявок на участие в конкурсе (далее именуется - конкурсная комиссия) и утверждает ее состав. В состав конкурсной комиссии включаются в том числе члены общественного совета при Комитете.</w:t>
      </w:r>
    </w:p>
    <w:p>
      <w:pPr>
        <w:pStyle w:val="0"/>
        <w:spacing w:before="200" w:line-rule="auto"/>
        <w:ind w:firstLine="540"/>
        <w:jc w:val="both"/>
      </w:pPr>
      <w:r>
        <w:rPr>
          <w:sz w:val="20"/>
        </w:rPr>
        <w:t xml:space="preserve">2.2. Комитет не позднее одного рабочего дня до даты начала приема заявок на участие в конкурсе (далее именуется - заявка) обеспечивает в установленном порядке размещение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t>
      </w:r>
      <w:r>
        <w:rPr>
          <w:sz w:val="20"/>
        </w:rPr>
        <w:t xml:space="preserve">https://uszn.volgograd.ru</w:t>
      </w:r>
      <w:r>
        <w:rPr>
          <w:sz w:val="20"/>
        </w:rPr>
        <w:t xml:space="preserve"> (далее именуется - официальный сайт) объявления о проведении конкурса, которое должно содержать:</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 (в 2022 году срок окончания приема заявок может быть сокращен до 10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 (или) сайт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наименование территории предоставления социальных услуг;</w:t>
      </w:r>
    </w:p>
    <w:p>
      <w:pPr>
        <w:pStyle w:val="0"/>
        <w:spacing w:before="200" w:line-rule="auto"/>
        <w:ind w:firstLine="540"/>
        <w:jc w:val="both"/>
      </w:pPr>
      <w:r>
        <w:rPr>
          <w:sz w:val="20"/>
        </w:rPr>
        <w:t xml:space="preserve">количество и категория получателей социальных услуг на территории предоставления социальных услуг;</w:t>
      </w:r>
    </w:p>
    <w:p>
      <w:pPr>
        <w:pStyle w:val="0"/>
        <w:spacing w:before="200" w:line-rule="auto"/>
        <w:ind w:firstLine="540"/>
        <w:jc w:val="both"/>
      </w:pPr>
      <w:r>
        <w:rPr>
          <w:sz w:val="20"/>
        </w:rPr>
        <w:t xml:space="preserve">период предоставления социальных услуг;</w:t>
      </w:r>
    </w:p>
    <w:p>
      <w:pPr>
        <w:pStyle w:val="0"/>
        <w:spacing w:before="200" w:line-rule="auto"/>
        <w:ind w:firstLine="540"/>
        <w:jc w:val="both"/>
      </w:pPr>
      <w:r>
        <w:rPr>
          <w:sz w:val="20"/>
        </w:rPr>
        <w:t xml:space="preserve">требования по исполнению Порядка предоставления социальных услуг в полустационарной форме;</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и возврата заявок, основания для возврата заявок, порядок внесения в заявки изменений;</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(окончания) срока предоставления таких разъяснений;</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срок, в течение которого победитель конкурса или единственный участник конкурса должен подписать соглашение о предоставлении субсидии (далее именуется - Соглашение);</w:t>
      </w:r>
    </w:p>
    <w:p>
      <w:pPr>
        <w:pStyle w:val="0"/>
        <w:spacing w:before="200" w:line-rule="auto"/>
        <w:ind w:firstLine="540"/>
        <w:jc w:val="both"/>
      </w:pPr>
      <w:r>
        <w:rPr>
          <w:sz w:val="20"/>
        </w:rPr>
        <w:t xml:space="preserve">условия признания победителя конкурса или единственного участника конкурса уклонившимся от заключения Соглашения;</w:t>
      </w:r>
    </w:p>
    <w:p>
      <w:pPr>
        <w:pStyle w:val="0"/>
        <w:spacing w:before="200" w:line-rule="auto"/>
        <w:ind w:firstLine="540"/>
        <w:jc w:val="both"/>
      </w:pPr>
      <w:r>
        <w:rPr>
          <w:sz w:val="20"/>
        </w:rPr>
        <w:t xml:space="preserve">дату размещения на официальном сайте результатов конкурса,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Комитет вправе изменить условия конкурса или отменить конкурс только в течение первой половины срока, установленного для представления заявок. Информация об изменении условий конкурса или отмене конкурса размещается на официальном сайте.</w:t>
      </w:r>
    </w:p>
    <w:bookmarkStart w:id="85" w:name="P85"/>
    <w:bookmarkEnd w:id="85"/>
    <w:p>
      <w:pPr>
        <w:pStyle w:val="0"/>
        <w:spacing w:before="200" w:line-rule="auto"/>
        <w:ind w:firstLine="540"/>
        <w:jc w:val="both"/>
      </w:pPr>
      <w:r>
        <w:rPr>
          <w:sz w:val="20"/>
        </w:rPr>
        <w:t xml:space="preserve">2.3. Требования, которым должен соответствовать участник конкурса:</w:t>
      </w:r>
    </w:p>
    <w:p>
      <w:pPr>
        <w:pStyle w:val="0"/>
        <w:spacing w:before="200" w:line-rule="auto"/>
        <w:ind w:firstLine="540"/>
        <w:jc w:val="both"/>
      </w:pPr>
      <w:r>
        <w:rPr>
          <w:sz w:val="20"/>
        </w:rPr>
        <w:t xml:space="preserve">1) на первое число месяца представления в Комитет заявки:</w:t>
      </w:r>
    </w:p>
    <w:p>
      <w:pPr>
        <w:pStyle w:val="0"/>
        <w:jc w:val="both"/>
      </w:pPr>
      <w:r>
        <w:rPr>
          <w:sz w:val="20"/>
        </w:rPr>
        <w:t xml:space="preserve">(в ред. </w:t>
      </w:r>
      <w:hyperlink w:history="0" r:id="rId2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bookmarkStart w:id="90" w:name="P90"/>
    <w:bookmarkEnd w:id="90"/>
    <w:p>
      <w:pPr>
        <w:pStyle w:val="0"/>
        <w:spacing w:before="200" w:line-rule="auto"/>
        <w:ind w:firstLine="540"/>
        <w:jc w:val="both"/>
      </w:pPr>
      <w:r>
        <w:rPr>
          <w:sz w:val="20"/>
        </w:rPr>
        <w:t xml:space="preserve">участник конкурса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53"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участник конкурса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в 2022 году);</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(пп. 2 введен </w:t>
      </w:r>
      <w:hyperlink w:history="0" r:id="rId2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hyperlink w:history="0" r:id="rId2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3</w:t>
        </w:r>
      </w:hyperlink>
      <w:r>
        <w:rPr>
          <w:sz w:val="20"/>
        </w:rPr>
        <w:t xml:space="preserve">) осуществление участником конкурса на территории Волгоградской области деятельности по предоставлению социальных услуг, входящих в перечень социальных услуг, предоставляемых в полустационарной форме социального обслуживания, установленный </w:t>
      </w:r>
      <w:hyperlink w:history="0" r:id="rId25" w:tooltip="Закон Волгоградской области от 06.11.2014 N 140-ОД (ред. от 14.03.2023) &quot;О социальном обслуживании граждан в Волгоградской области&quot; (принят Волгоградской областной Думой 23.10.2014) (с изм. и доп., вступающими в силу с 20.03.2023) {КонсультантПлюс}">
        <w:r>
          <w:rPr>
            <w:sz w:val="20"/>
            <w:color w:val="0000ff"/>
          </w:rPr>
          <w:t xml:space="preserve">статьей 10</w:t>
        </w:r>
      </w:hyperlink>
      <w:r>
        <w:rPr>
          <w:sz w:val="20"/>
        </w:rPr>
        <w:t xml:space="preserve"> Закона Волгоградской области от 06 ноября 2014 г. N 140-ОД "О социальном обслуживании граждан в Волгоградской области";</w:t>
      </w:r>
    </w:p>
    <w:p>
      <w:pPr>
        <w:pStyle w:val="0"/>
        <w:spacing w:before="200" w:line-rule="auto"/>
        <w:ind w:firstLine="540"/>
        <w:jc w:val="both"/>
      </w:pPr>
      <w:hyperlink w:history="0" r:id="rId2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4</w:t>
        </w:r>
      </w:hyperlink>
      <w:r>
        <w:rPr>
          <w:sz w:val="20"/>
        </w:rPr>
        <w:t xml:space="preserve">) наличие материально-технической базы, необходимой для достижения результатов предоставления субсидии, в том числе:</w:t>
      </w:r>
    </w:p>
    <w:p>
      <w:pPr>
        <w:pStyle w:val="0"/>
        <w:spacing w:before="200" w:line-rule="auto"/>
        <w:ind w:firstLine="540"/>
        <w:jc w:val="both"/>
      </w:pPr>
      <w:r>
        <w:rPr>
          <w:sz w:val="20"/>
        </w:rPr>
        <w:t xml:space="preserve">не менее трех помещений для предоставления социальных услуг, которые соответствуют установленным санитарно-гигиеническим нормам и требованиям безопасности, в том числе пожарной;</w:t>
      </w:r>
    </w:p>
    <w:p>
      <w:pPr>
        <w:pStyle w:val="0"/>
        <w:spacing w:before="200" w:line-rule="auto"/>
        <w:ind w:firstLine="540"/>
        <w:jc w:val="both"/>
      </w:pPr>
      <w:r>
        <w:rPr>
          <w:sz w:val="20"/>
        </w:rPr>
        <w:t xml:space="preserve">автотранспорта либо договора (соглашения) с транспортной организацией для доставки получателей социальных услуг от места проживания к месту социального обслуживания и обратно, а также при необходимости доставки получателей социальных услуг к месту организации приема пищи два раза в день и обратно к месту социального обслуживания;</w:t>
      </w:r>
    </w:p>
    <w:p>
      <w:pPr>
        <w:pStyle w:val="0"/>
        <w:spacing w:before="200" w:line-rule="auto"/>
        <w:ind w:firstLine="540"/>
        <w:jc w:val="both"/>
      </w:pPr>
      <w:hyperlink w:history="0" r:id="rId2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5</w:t>
        </w:r>
      </w:hyperlink>
      <w:r>
        <w:rPr>
          <w:sz w:val="20"/>
        </w:rPr>
        <w:t xml:space="preserve">) наличие расчетного или корреспондентского счета, открытого участником конкурса в учреждениях Центрального банка Российской Федерации или кредитных организациях (далее именуется - расчетный или корреспондентский счет).</w:t>
      </w:r>
    </w:p>
    <w:p>
      <w:pPr>
        <w:pStyle w:val="0"/>
        <w:spacing w:before="200" w:line-rule="auto"/>
        <w:ind w:firstLine="540"/>
        <w:jc w:val="both"/>
      </w:pPr>
      <w:r>
        <w:rPr>
          <w:sz w:val="20"/>
        </w:rPr>
        <w:t xml:space="preserve">2.4. Для участия в конкурсе руководитель СО НКО либо представитель СО НКО по доверенности в течение срока подачи (приема) заявок представляет в Комитет заявку, которая должна содержать:</w:t>
      </w:r>
    </w:p>
    <w:p>
      <w:pPr>
        <w:pStyle w:val="0"/>
        <w:spacing w:before="200" w:line-rule="auto"/>
        <w:ind w:firstLine="540"/>
        <w:jc w:val="both"/>
      </w:pPr>
      <w:r>
        <w:rPr>
          <w:sz w:val="20"/>
        </w:rPr>
        <w:t xml:space="preserve">1) заявление на участие в конкурсе и получение субсидии по форме, утверждаемой Комитетом, включающее в том числе сведения о соответствии СО НКО требованиям </w:t>
      </w:r>
      <w:hyperlink w:history="0" w:anchor="P90" w:tooltip="участник конкурса не является получателем средств из областного бюджета в соответствии с иными нормативными правовыми актами Волгоградской области на цели, указанные в пункте 1.3 настоящего Порядка;">
        <w:r>
          <w:rPr>
            <w:sz w:val="20"/>
            <w:color w:val="0000ff"/>
          </w:rPr>
          <w:t xml:space="preserve">абзаца четвертого подпункта 1 пункта 2.3</w:t>
        </w:r>
      </w:hyperlink>
      <w:r>
        <w:rPr>
          <w:sz w:val="20"/>
        </w:rPr>
        <w:t xml:space="preserve"> настоящего Порядка;</w:t>
      </w:r>
    </w:p>
    <w:p>
      <w:pPr>
        <w:pStyle w:val="0"/>
        <w:spacing w:before="200" w:line-rule="auto"/>
        <w:ind w:firstLine="540"/>
        <w:jc w:val="both"/>
      </w:pPr>
      <w:r>
        <w:rPr>
          <w:sz w:val="20"/>
        </w:rPr>
        <w:t xml:space="preserve">2) пояснительную записку, включающую в себя следующую информацию:</w:t>
      </w:r>
    </w:p>
    <w:p>
      <w:pPr>
        <w:pStyle w:val="0"/>
        <w:spacing w:before="200" w:line-rule="auto"/>
        <w:ind w:firstLine="540"/>
        <w:jc w:val="both"/>
      </w:pPr>
      <w:r>
        <w:rPr>
          <w:sz w:val="20"/>
        </w:rPr>
        <w:t xml:space="preserve">перечень социальных услуг, предоставляемых СО НКО;</w:t>
      </w:r>
    </w:p>
    <w:p>
      <w:pPr>
        <w:pStyle w:val="0"/>
        <w:spacing w:before="200" w:line-rule="auto"/>
        <w:ind w:firstLine="540"/>
        <w:jc w:val="both"/>
      </w:pPr>
      <w:r>
        <w:rPr>
          <w:sz w:val="20"/>
        </w:rPr>
        <w:t xml:space="preserve">наличие общедоступных информационных ресурсов с указанием наименования и адреса сайта, веб-страницы, информационных стендов в помещениях СО НКО, брошюр о деятельности СО НКО в текущем году, публикаций о деятельности СО НКО в средствах массовой информации в текущем году;</w:t>
      </w:r>
    </w:p>
    <w:p>
      <w:pPr>
        <w:pStyle w:val="0"/>
        <w:spacing w:before="200" w:line-rule="auto"/>
        <w:ind w:firstLine="540"/>
        <w:jc w:val="both"/>
      </w:pPr>
      <w:r>
        <w:rPr>
          <w:sz w:val="20"/>
        </w:rPr>
        <w:t xml:space="preserve">планируемое распределение субсидии по направлениям расходов в соответствии с формой, утвержденной Комитетом;</w:t>
      </w:r>
    </w:p>
    <w:bookmarkStart w:id="106" w:name="P106"/>
    <w:bookmarkEnd w:id="106"/>
    <w:p>
      <w:pPr>
        <w:pStyle w:val="0"/>
        <w:spacing w:before="200" w:line-rule="auto"/>
        <w:ind w:firstLine="540"/>
        <w:jc w:val="both"/>
      </w:pPr>
      <w:r>
        <w:rPr>
          <w:sz w:val="20"/>
        </w:rPr>
        <w:t xml:space="preserve">3) копию документа о стаже работы руководителя СО НКО;</w:t>
      </w:r>
    </w:p>
    <w:p>
      <w:pPr>
        <w:pStyle w:val="0"/>
        <w:spacing w:before="200" w:line-rule="auto"/>
        <w:ind w:firstLine="540"/>
        <w:jc w:val="both"/>
      </w:pPr>
      <w:r>
        <w:rPr>
          <w:sz w:val="20"/>
        </w:rPr>
        <w:t xml:space="preserve">4) копии документов, подтверждающих численность работников СО НКО, осуществляющих социальное обслуживание в полустационарной форме (копии трудовых договоров);</w:t>
      </w:r>
    </w:p>
    <w:bookmarkStart w:id="108" w:name="P108"/>
    <w:bookmarkEnd w:id="108"/>
    <w:p>
      <w:pPr>
        <w:pStyle w:val="0"/>
        <w:spacing w:before="200" w:line-rule="auto"/>
        <w:ind w:firstLine="540"/>
        <w:jc w:val="both"/>
      </w:pPr>
      <w:r>
        <w:rPr>
          <w:sz w:val="20"/>
        </w:rPr>
        <w:t xml:space="preserve">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СО НКО имеют образование по профилю социального обслуживания или иной осуществляемой СО НКО деятельности);</w:t>
      </w:r>
    </w:p>
    <w:p>
      <w:pPr>
        <w:pStyle w:val="0"/>
        <w:spacing w:before="200" w:line-rule="auto"/>
        <w:ind w:firstLine="540"/>
        <w:jc w:val="both"/>
      </w:pPr>
      <w:r>
        <w:rPr>
          <w:sz w:val="20"/>
        </w:rPr>
        <w:t xml:space="preserve">6) копии учредительных документов СО НКО;</w:t>
      </w:r>
    </w:p>
    <w:p>
      <w:pPr>
        <w:pStyle w:val="0"/>
        <w:spacing w:before="200" w:line-rule="auto"/>
        <w:ind w:firstLine="540"/>
        <w:jc w:val="both"/>
      </w:pPr>
      <w:r>
        <w:rPr>
          <w:sz w:val="20"/>
        </w:rPr>
        <w:t xml:space="preserve">7) информацию о банковских реквизитах расчетного или корреспондентского счета;</w:t>
      </w:r>
    </w:p>
    <w:p>
      <w:pPr>
        <w:pStyle w:val="0"/>
        <w:spacing w:before="200" w:line-rule="auto"/>
        <w:ind w:firstLine="540"/>
        <w:jc w:val="both"/>
      </w:pPr>
      <w:r>
        <w:rPr>
          <w:sz w:val="20"/>
        </w:rPr>
        <w:t xml:space="preserve">8) копию локального нормативного акта СО НКО об утверждении перечня предоставляемых социальных услуг;</w:t>
      </w:r>
    </w:p>
    <w:bookmarkStart w:id="112" w:name="P112"/>
    <w:bookmarkEnd w:id="112"/>
    <w:p>
      <w:pPr>
        <w:pStyle w:val="0"/>
        <w:spacing w:before="200" w:line-rule="auto"/>
        <w:ind w:firstLine="540"/>
        <w:jc w:val="both"/>
      </w:pPr>
      <w:r>
        <w:rPr>
          <w:sz w:val="20"/>
        </w:rPr>
        <w:t xml:space="preserve">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w:t>
      </w:r>
    </w:p>
    <w:bookmarkStart w:id="113" w:name="P113"/>
    <w:bookmarkEnd w:id="113"/>
    <w:p>
      <w:pPr>
        <w:pStyle w:val="0"/>
        <w:spacing w:before="200" w:line-rule="auto"/>
        <w:ind w:firstLine="540"/>
        <w:jc w:val="both"/>
      </w:pPr>
      <w:r>
        <w:rPr>
          <w:sz w:val="20"/>
        </w:rPr>
        <w:t xml:space="preserve">10) копию уведомления о признании СО НКО исполнителем общественно полезной услуги по предоставлению социального обслуживания в полустационарной форме (если СО НКО признано исполнителем общественно полезной услуги по предоставлению социального обслуживания в полустационарной форме);</w:t>
      </w:r>
    </w:p>
    <w:p>
      <w:pPr>
        <w:pStyle w:val="0"/>
        <w:spacing w:before="200" w:line-rule="auto"/>
        <w:ind w:firstLine="540"/>
        <w:jc w:val="both"/>
      </w:pPr>
      <w:r>
        <w:rPr>
          <w:sz w:val="20"/>
        </w:rPr>
        <w:t xml:space="preserve">11) копию правоустанавливающего документа на помещение, если право собственности на данный объект недвижимости не зарегистрировано в Едином государственном реестре недвижимости;</w:t>
      </w:r>
    </w:p>
    <w:p>
      <w:pPr>
        <w:pStyle w:val="0"/>
        <w:spacing w:before="200" w:line-rule="auto"/>
        <w:ind w:firstLine="540"/>
        <w:jc w:val="both"/>
      </w:pPr>
      <w:r>
        <w:rPr>
          <w:sz w:val="20"/>
        </w:rPr>
        <w:t xml:space="preserve">12) копию паспорта транспортного средства либо договора (соглашения) с транспортной организацией;</w:t>
      </w:r>
    </w:p>
    <w:p>
      <w:pPr>
        <w:pStyle w:val="0"/>
        <w:spacing w:before="200" w:line-rule="auto"/>
        <w:ind w:firstLine="540"/>
        <w:jc w:val="both"/>
      </w:pPr>
      <w:r>
        <w:rPr>
          <w:sz w:val="20"/>
        </w:rPr>
        <w:t xml:space="preserve">13)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соответствующим конкурсом, а также согласие физических лиц, персональные данные которых представлены в составе подаваемых документов, на обработку персональных данных в соответствии с требованиями Федерального </w:t>
      </w:r>
      <w:hyperlink w:history="0" r:id="rId2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 по примерной форме, утвержденной приказом Комитета;</w:t>
      </w:r>
    </w:p>
    <w:p>
      <w:pPr>
        <w:pStyle w:val="0"/>
        <w:jc w:val="both"/>
      </w:pPr>
      <w:r>
        <w:rPr>
          <w:sz w:val="20"/>
        </w:rPr>
        <w:t xml:space="preserve">(в ред. </w:t>
      </w:r>
      <w:hyperlink w:history="0" r:id="rId29"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14) документ, подтверждающий полномочия представителя СО НКО (в случае подачи документов представителем СО НКО по доверенности).</w:t>
      </w:r>
    </w:p>
    <w:p>
      <w:pPr>
        <w:pStyle w:val="0"/>
        <w:spacing w:before="200" w:line-rule="auto"/>
        <w:ind w:firstLine="540"/>
        <w:jc w:val="both"/>
      </w:pPr>
      <w:r>
        <w:rPr>
          <w:sz w:val="20"/>
        </w:rPr>
        <w:t xml:space="preserve">2.5. Копии документов, представленные СО НКО, должны быть удостоверены подписью руководителя СО НКО. Документы представляются на бумажном носителе при непосредственном обращении в Комитет или почтовым отправлением.</w:t>
      </w:r>
    </w:p>
    <w:bookmarkStart w:id="120" w:name="P120"/>
    <w:bookmarkEnd w:id="120"/>
    <w:p>
      <w:pPr>
        <w:pStyle w:val="0"/>
        <w:spacing w:before="200" w:line-rule="auto"/>
        <w:ind w:firstLine="540"/>
        <w:jc w:val="both"/>
      </w:pPr>
      <w:r>
        <w:rPr>
          <w:sz w:val="20"/>
        </w:rPr>
        <w:t xml:space="preserve">2.6. Комитет:</w:t>
      </w:r>
    </w:p>
    <w:p>
      <w:pPr>
        <w:pStyle w:val="0"/>
        <w:spacing w:before="200" w:line-rule="auto"/>
        <w:ind w:firstLine="540"/>
        <w:jc w:val="both"/>
      </w:pPr>
      <w:r>
        <w:rPr>
          <w:sz w:val="20"/>
        </w:rPr>
        <w:t xml:space="preserve">1) регистрирует представленные СО НКО заявки в день подачи в порядке поступления в журнале учета заявок с указанием даты и времени их подачи. Датой подачи заявки считается дата ее представления при непосредственном обращении в Комитет или дата поступления почтового отправления;</w:t>
      </w:r>
    </w:p>
    <w:p>
      <w:pPr>
        <w:pStyle w:val="0"/>
        <w:spacing w:before="200" w:line-rule="auto"/>
        <w:ind w:firstLine="540"/>
        <w:jc w:val="both"/>
      </w:pPr>
      <w:r>
        <w:rPr>
          <w:sz w:val="20"/>
        </w:rPr>
        <w:t xml:space="preserve">2) в течение двух рабочих дней со дня окончания срока приема заявок запрашивает в отношении СО НКО в порядке межведомственного информационного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3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2.7. СО НКО вправе представить указанные в </w:t>
      </w:r>
      <w:hyperlink w:history="0" w:anchor="P120" w:tooltip="2.6. Комитет:">
        <w:r>
          <w:rPr>
            <w:sz w:val="20"/>
            <w:color w:val="0000ff"/>
          </w:rPr>
          <w:t xml:space="preserve">пункте 2.6</w:t>
        </w:r>
      </w:hyperlink>
      <w:r>
        <w:rPr>
          <w:sz w:val="20"/>
        </w:rPr>
        <w:t xml:space="preserve"> документы в Комитет самостоятельно одновременно с подачей заявки.</w:t>
      </w:r>
    </w:p>
    <w:p>
      <w:pPr>
        <w:pStyle w:val="0"/>
        <w:spacing w:before="200" w:line-rule="auto"/>
        <w:ind w:firstLine="540"/>
        <w:jc w:val="both"/>
      </w:pPr>
      <w:r>
        <w:rPr>
          <w:sz w:val="20"/>
        </w:rPr>
        <w:t xml:space="preserve">В случае представления СО НКО указанных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многофункциональный центр предоставления государственных и муниципальных услуг, должна быть выдана не ранее первого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20" w:tooltip="2.6. Комитет:">
        <w:r>
          <w:rPr>
            <w:sz w:val="20"/>
            <w:color w:val="0000ff"/>
          </w:rPr>
          <w:t xml:space="preserve">пунктом 2.6</w:t>
        </w:r>
      </w:hyperlink>
      <w:r>
        <w:rPr>
          <w:sz w:val="20"/>
        </w:rPr>
        <w:t xml:space="preserve"> настоящего Порядка.</w:t>
      </w:r>
    </w:p>
    <w:p>
      <w:pPr>
        <w:pStyle w:val="0"/>
        <w:jc w:val="both"/>
      </w:pPr>
      <w:r>
        <w:rPr>
          <w:sz w:val="20"/>
        </w:rPr>
        <w:t xml:space="preserve">(в ред. </w:t>
      </w:r>
      <w:hyperlink w:history="0" r:id="rId3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20" w:tooltip="2.6. Комитет:">
        <w:r>
          <w:rPr>
            <w:sz w:val="20"/>
            <w:color w:val="0000ff"/>
          </w:rPr>
          <w:t xml:space="preserve">пунктом 2.6</w:t>
        </w:r>
      </w:hyperlink>
      <w:r>
        <w:rPr>
          <w:sz w:val="20"/>
        </w:rPr>
        <w:t xml:space="preserve"> настоящего Порядка.</w:t>
      </w:r>
    </w:p>
    <w:p>
      <w:pPr>
        <w:pStyle w:val="0"/>
        <w:jc w:val="both"/>
      </w:pPr>
      <w:r>
        <w:rPr>
          <w:sz w:val="20"/>
        </w:rPr>
        <w:t xml:space="preserve">(абзац введен </w:t>
      </w:r>
      <w:hyperlink w:history="0" r:id="rId3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2.8. При проведении конкурса в 2022 году в случае получения в отношении СО НКО справки о неисполнении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объявления конкурса Комитет в течение двух рабочих дней со дня получения указанной справки запрашивает в порядке межведомственного информационного взаимодействия информацию в отношении СО НКО о размере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объявления конкурса.</w:t>
      </w:r>
    </w:p>
    <w:p>
      <w:pPr>
        <w:pStyle w:val="0"/>
        <w:spacing w:before="200" w:line-rule="auto"/>
        <w:ind w:firstLine="540"/>
        <w:jc w:val="both"/>
      </w:pPr>
      <w:r>
        <w:rPr>
          <w:sz w:val="20"/>
        </w:rPr>
        <w:t xml:space="preserve">При проведении конкурса в 2022 году Комитет в течение двух рабочих дней со дня окончания срока приема заявок проверяет на сайте Единой информационной системы в сфере закупок наличие в реестре недобросовестных поставщиков (подрядчиков, исполнителей) сведений о СО НКО. В случае наличия указанных сведений Комитет запрашивает в порядке межведомственного информационного взаимодействия в Федеральной антимонопольной службе либо Управлении Федеральной антимонопольной службы по Волгоградской области информацию о причинах включения СО НКО в реестр недобросовестных поставщиков (подрядчиков, исполнителей).</w:t>
      </w:r>
    </w:p>
    <w:bookmarkStart w:id="135" w:name="P135"/>
    <w:bookmarkEnd w:id="135"/>
    <w:p>
      <w:pPr>
        <w:pStyle w:val="0"/>
        <w:spacing w:before="200" w:line-rule="auto"/>
        <w:ind w:firstLine="540"/>
        <w:jc w:val="both"/>
      </w:pPr>
      <w:r>
        <w:rPr>
          <w:sz w:val="20"/>
        </w:rPr>
        <w:t xml:space="preserve">2.9. В случае установления в 2022 году в отношении СО НКО - исполнителя общественно полезной услуги по предоставлению социального обслуживания в полустационарной форме факта неисполнения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объявления конкурса такая СО НКО утрачивает право на приоритетное получение мер поддержки, предусмотренное </w:t>
      </w:r>
      <w:hyperlink w:history="0" w:anchor="P192" w:tooltip="При равных итоговых оценках меньший порядковый номер в соответствии с частью 13 статьи 31.1 Федерального закона от 12 января 1996 г. N 7-ФЗ &quot;О некоммерческих организациях&quot; присваивается заявке СО НКО - исполнителя общественно полезной услуги по предоставлению социального обслуживания в полустационарной форме, а в случае равенства итоговых оценок у нескольких таких исполнителей общественно полезной услуги по предоставлению социального обслуживания в полустационарной форме - заявке, которая зарегистрирован...">
        <w:r>
          <w:rPr>
            <w:sz w:val="20"/>
            <w:color w:val="0000ff"/>
          </w:rPr>
          <w:t xml:space="preserve">абзацем вторым подпункта 1 пункта 2.17</w:t>
        </w:r>
      </w:hyperlink>
      <w:r>
        <w:rPr>
          <w:sz w:val="20"/>
        </w:rPr>
        <w:t xml:space="preserve">, </w:t>
      </w:r>
      <w:hyperlink w:history="0" w:anchor="P251" w:tooltip="В случае если победителем конкурса (единственным участником конкурса, прошедшим оценку заявки) является СО НКО - исполнитель общественно полезной услуги по предоставлению социального обслуживания в полустационарной форме, Комитет заключает с ней Соглашение на срок не менее двух лет в пределах лимитов бюджетных обязательств на указанный срок (в разбивке на соответствующий финансовый год).">
        <w:r>
          <w:rPr>
            <w:sz w:val="20"/>
            <w:color w:val="0000ff"/>
          </w:rPr>
          <w:t xml:space="preserve">абзацем девятым пункта 3.5</w:t>
        </w:r>
      </w:hyperlink>
      <w:r>
        <w:rPr>
          <w:sz w:val="20"/>
        </w:rPr>
        <w:t xml:space="preserve"> настоящего Порядка.</w:t>
      </w:r>
    </w:p>
    <w:p>
      <w:pPr>
        <w:pStyle w:val="0"/>
        <w:spacing w:before="200" w:line-rule="auto"/>
        <w:ind w:firstLine="540"/>
        <w:jc w:val="both"/>
      </w:pPr>
      <w:r>
        <w:rPr>
          <w:sz w:val="20"/>
        </w:rPr>
        <w:t xml:space="preserve">2.10. СО НКО имеет право:</w:t>
      </w:r>
    </w:p>
    <w:p>
      <w:pPr>
        <w:pStyle w:val="0"/>
        <w:spacing w:before="200" w:line-rule="auto"/>
        <w:ind w:firstLine="540"/>
        <w:jc w:val="both"/>
      </w:pPr>
      <w:r>
        <w:rPr>
          <w:sz w:val="20"/>
        </w:rPr>
        <w:t xml:space="preserve">представить для участия в конкурсе одну заявку;</w:t>
      </w:r>
    </w:p>
    <w:p>
      <w:pPr>
        <w:pStyle w:val="0"/>
        <w:spacing w:before="200" w:line-rule="auto"/>
        <w:ind w:firstLine="540"/>
        <w:jc w:val="both"/>
      </w:pPr>
      <w:r>
        <w:rPr>
          <w:sz w:val="20"/>
        </w:rPr>
        <w:t xml:space="preserve">в течение всего срока приема заявок изменить поданную заявку путем направления новой заявки, указав при этом на отмену своей предыдущей заявки. В случае отсутствия указания об отмене предыдущей заявки все поданные СО НКО заявки не рассматриваются;</w:t>
      </w:r>
    </w:p>
    <w:p>
      <w:pPr>
        <w:pStyle w:val="0"/>
        <w:spacing w:before="200" w:line-rule="auto"/>
        <w:ind w:firstLine="540"/>
        <w:jc w:val="both"/>
      </w:pPr>
      <w:r>
        <w:rPr>
          <w:sz w:val="20"/>
        </w:rPr>
        <w:t xml:space="preserve">до окончания срока приема заявок отозвать заявку путем направления в Комитет соответствующего обращения. Отозванные заявки не учитываются при определении количества представленных заявок.</w:t>
      </w:r>
    </w:p>
    <w:bookmarkStart w:id="140" w:name="P140"/>
    <w:bookmarkEnd w:id="140"/>
    <w:p>
      <w:pPr>
        <w:pStyle w:val="0"/>
        <w:spacing w:before="200" w:line-rule="auto"/>
        <w:ind w:firstLine="540"/>
        <w:jc w:val="both"/>
      </w:pPr>
      <w:r>
        <w:rPr>
          <w:sz w:val="20"/>
        </w:rPr>
        <w:t xml:space="preserve">2.11. Комитет в течение 10 рабочих дней со дня окончания срока приема заявок рассматривает представленные СО НКО заявки и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w:t>
      </w:r>
    </w:p>
    <w:p>
      <w:pPr>
        <w:pStyle w:val="0"/>
        <w:spacing w:before="200" w:line-rule="auto"/>
        <w:ind w:firstLine="540"/>
        <w:jc w:val="both"/>
      </w:pPr>
      <w:r>
        <w:rPr>
          <w:sz w:val="20"/>
        </w:rPr>
        <w:t xml:space="preserve">о допуске СО НКО к участию в конкурсе и оценке заявок (далее именуется - решение о допуске);</w:t>
      </w:r>
    </w:p>
    <w:p>
      <w:pPr>
        <w:pStyle w:val="0"/>
        <w:spacing w:before="200" w:line-rule="auto"/>
        <w:ind w:firstLine="540"/>
        <w:jc w:val="both"/>
      </w:pPr>
      <w:r>
        <w:rPr>
          <w:sz w:val="20"/>
        </w:rPr>
        <w:t xml:space="preserve">об отклонении заявки и отказе в допуске СО НКО к участию в конкурсе;</w:t>
      </w:r>
    </w:p>
    <w:p>
      <w:pPr>
        <w:pStyle w:val="0"/>
        <w:spacing w:before="200" w:line-rule="auto"/>
        <w:ind w:firstLine="540"/>
        <w:jc w:val="both"/>
      </w:pPr>
      <w:r>
        <w:rPr>
          <w:sz w:val="20"/>
        </w:rPr>
        <w:t xml:space="preserve">о соответствии только одной СО НКО требованиям к участникам конкурса, ее заявки требованиям к заявке, установленным настоящим Порядком, признании такой СО НКО единственным участником конкурса и о допуске ее заявки к оценке заявки без проведения конкурса (далее именуется - решение о допуске без проведения конкурса).</w:t>
      </w:r>
    </w:p>
    <w:p>
      <w:pPr>
        <w:pStyle w:val="0"/>
        <w:spacing w:before="200" w:line-rule="auto"/>
        <w:ind w:firstLine="540"/>
        <w:jc w:val="both"/>
      </w:pPr>
      <w:r>
        <w:rPr>
          <w:sz w:val="20"/>
        </w:rPr>
        <w:t xml:space="preserve">2.12. Основаниями для отклонения заявки и отказа в допуске СО НКО к участию в конкурсе являются:</w:t>
      </w:r>
    </w:p>
    <w:bookmarkStart w:id="145" w:name="P145"/>
    <w:bookmarkEnd w:id="145"/>
    <w:p>
      <w:pPr>
        <w:pStyle w:val="0"/>
        <w:spacing w:before="200" w:line-rule="auto"/>
        <w:ind w:firstLine="540"/>
        <w:jc w:val="both"/>
      </w:pPr>
      <w:r>
        <w:rPr>
          <w:sz w:val="20"/>
        </w:rPr>
        <w:t xml:space="preserve">несоответствие СО НКО требованиям, установленным в </w:t>
      </w:r>
      <w:hyperlink w:history="0" w:anchor="P85" w:tooltip="2.3. Требования, которым должен соответствовать участник конкурса:">
        <w:r>
          <w:rPr>
            <w:sz w:val="20"/>
            <w:color w:val="0000ff"/>
          </w:rPr>
          <w:t xml:space="preserve">пункте 2.3</w:t>
        </w:r>
      </w:hyperlink>
      <w:r>
        <w:rPr>
          <w:sz w:val="20"/>
        </w:rPr>
        <w:t xml:space="preserve"> настоящего Порядка;</w:t>
      </w:r>
    </w:p>
    <w:bookmarkStart w:id="146" w:name="P146"/>
    <w:bookmarkEnd w:id="146"/>
    <w:p>
      <w:pPr>
        <w:pStyle w:val="0"/>
        <w:spacing w:before="200" w:line-rule="auto"/>
        <w:ind w:firstLine="540"/>
        <w:jc w:val="both"/>
      </w:pPr>
      <w:r>
        <w:rPr>
          <w:sz w:val="20"/>
        </w:rPr>
        <w:t xml:space="preserve">несоответствие представленных в составе заявки документов требованиям, установленным настоящим Порядком, или представление документов не в полном объеме (за исключением документов, указанных в </w:t>
      </w:r>
      <w:hyperlink w:history="0" w:anchor="P106" w:tooltip="3) копию документа о стаже работы руководителя СО НКО;">
        <w:r>
          <w:rPr>
            <w:sz w:val="20"/>
            <w:color w:val="0000ff"/>
          </w:rPr>
          <w:t xml:space="preserve">подпунктах 3</w:t>
        </w:r>
      </w:hyperlink>
      <w:r>
        <w:rPr>
          <w:sz w:val="20"/>
        </w:rPr>
        <w:t xml:space="preserve"> - </w:t>
      </w:r>
      <w:hyperlink w:history="0" w:anchor="P108"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СО НКО имеют образование по профилю социального обслуживания или иной осуществляемой СО НКО деятельности);">
        <w:r>
          <w:rPr>
            <w:sz w:val="20"/>
            <w:color w:val="0000ff"/>
          </w:rPr>
          <w:t xml:space="preserve">5</w:t>
        </w:r>
      </w:hyperlink>
      <w:r>
        <w:rPr>
          <w:sz w:val="20"/>
        </w:rPr>
        <w:t xml:space="preserve">, </w:t>
      </w:r>
      <w:hyperlink w:history="0" w:anchor="P112" w:tooltip="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
        <w:r>
          <w:rPr>
            <w:sz w:val="20"/>
            <w:color w:val="0000ff"/>
          </w:rPr>
          <w:t xml:space="preserve">9</w:t>
        </w:r>
      </w:hyperlink>
      <w:r>
        <w:rPr>
          <w:sz w:val="20"/>
        </w:rPr>
        <w:t xml:space="preserve">, </w:t>
      </w:r>
      <w:hyperlink w:history="0" w:anchor="P113" w:tooltip="10) копию уведомления о признании СО НКО исполнителем общественно полезной услуги по предоставлению социального обслуживания в полустационарной форме (если СО НКО признано исполнителем общественно полезной услуги по предоставлению социального обслуживания в полустационарной форме);">
        <w:r>
          <w:rPr>
            <w:sz w:val="20"/>
            <w:color w:val="0000ff"/>
          </w:rPr>
          <w:t xml:space="preserve">10 пункта 2.4</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СО НКО информации, в том числе информации о месте нахождения и адресе юридического лица;</w:t>
      </w:r>
    </w:p>
    <w:bookmarkStart w:id="148" w:name="P148"/>
    <w:bookmarkEnd w:id="148"/>
    <w:p>
      <w:pPr>
        <w:pStyle w:val="0"/>
        <w:spacing w:before="200" w:line-rule="auto"/>
        <w:ind w:firstLine="540"/>
        <w:jc w:val="both"/>
      </w:pPr>
      <w:r>
        <w:rPr>
          <w:sz w:val="20"/>
        </w:rPr>
        <w:t xml:space="preserve">подача заявки после даты и (или) времени, определенных для подачи заявок;</w:t>
      </w:r>
    </w:p>
    <w:p>
      <w:pPr>
        <w:pStyle w:val="0"/>
        <w:spacing w:before="200" w:line-rule="auto"/>
        <w:ind w:firstLine="540"/>
        <w:jc w:val="both"/>
      </w:pPr>
      <w:r>
        <w:rPr>
          <w:sz w:val="20"/>
        </w:rPr>
        <w:t xml:space="preserve">представление одной СО НКО более одной заявки.</w:t>
      </w:r>
    </w:p>
    <w:bookmarkStart w:id="150" w:name="P150"/>
    <w:bookmarkEnd w:id="150"/>
    <w:p>
      <w:pPr>
        <w:pStyle w:val="0"/>
        <w:spacing w:before="200" w:line-rule="auto"/>
        <w:ind w:firstLine="540"/>
        <w:jc w:val="both"/>
      </w:pPr>
      <w:r>
        <w:rPr>
          <w:sz w:val="20"/>
        </w:rPr>
        <w:t xml:space="preserve">2.13. Решение о признании конкурса несостоявшимся принимается Комитетом в срок, указанный в </w:t>
      </w:r>
      <w:hyperlink w:history="0" w:anchor="P140" w:tooltip="2.11. Комитет в течение 10 рабочих дней со дня окончания срока приема заявок рассматривает представленные СО НКО заявки и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
        <w:r>
          <w:rPr>
            <w:sz w:val="20"/>
            <w:color w:val="0000ff"/>
          </w:rPr>
          <w:t xml:space="preserve">пункте 2.11</w:t>
        </w:r>
      </w:hyperlink>
      <w:r>
        <w:rPr>
          <w:sz w:val="20"/>
        </w:rPr>
        <w:t xml:space="preserve"> настоящего Порядка, в следующих случаях:</w:t>
      </w:r>
    </w:p>
    <w:p>
      <w:pPr>
        <w:pStyle w:val="0"/>
        <w:spacing w:before="200" w:line-rule="auto"/>
        <w:ind w:firstLine="540"/>
        <w:jc w:val="both"/>
      </w:pPr>
      <w:r>
        <w:rPr>
          <w:sz w:val="20"/>
        </w:rPr>
        <w:t xml:space="preserve">не подано ни одной заявки;</w:t>
      </w:r>
    </w:p>
    <w:p>
      <w:pPr>
        <w:pStyle w:val="0"/>
        <w:spacing w:before="200" w:line-rule="auto"/>
        <w:ind w:firstLine="540"/>
        <w:jc w:val="both"/>
      </w:pPr>
      <w:r>
        <w:rPr>
          <w:sz w:val="20"/>
        </w:rPr>
        <w:t xml:space="preserve">заявки всех СО НКО отклонены;</w:t>
      </w:r>
    </w:p>
    <w:p>
      <w:pPr>
        <w:pStyle w:val="0"/>
        <w:spacing w:before="200" w:line-rule="auto"/>
        <w:ind w:firstLine="540"/>
        <w:jc w:val="both"/>
      </w:pPr>
      <w:r>
        <w:rPr>
          <w:sz w:val="20"/>
        </w:rPr>
        <w:t xml:space="preserve">принято решение о допуске без проведения конкурса.</w:t>
      </w:r>
    </w:p>
    <w:p>
      <w:pPr>
        <w:pStyle w:val="0"/>
        <w:spacing w:before="200" w:line-rule="auto"/>
        <w:ind w:firstLine="540"/>
        <w:jc w:val="both"/>
      </w:pPr>
      <w:r>
        <w:rPr>
          <w:sz w:val="20"/>
        </w:rPr>
        <w:t xml:space="preserve">Конкурс также признается несостоявшимся в случае, если по результатам оценки заявок конкурсной комиссией заявкам всех СО НКО присвоено менее 12 баллов.</w:t>
      </w:r>
    </w:p>
    <w:p>
      <w:pPr>
        <w:pStyle w:val="0"/>
        <w:spacing w:before="200" w:line-rule="auto"/>
        <w:ind w:firstLine="540"/>
        <w:jc w:val="both"/>
      </w:pPr>
      <w:r>
        <w:rPr>
          <w:sz w:val="20"/>
        </w:rPr>
        <w:t xml:space="preserve">2.14. Комитет в течение одного дня со дня принятия решения о допуске (решения о допуске без проведения конкурса) передает заявки в конкурсную комиссию для их оценки.</w:t>
      </w:r>
    </w:p>
    <w:bookmarkStart w:id="156" w:name="P156"/>
    <w:bookmarkEnd w:id="156"/>
    <w:p>
      <w:pPr>
        <w:pStyle w:val="0"/>
        <w:spacing w:before="200" w:line-rule="auto"/>
        <w:ind w:firstLine="540"/>
        <w:jc w:val="both"/>
      </w:pPr>
      <w:r>
        <w:rPr>
          <w:sz w:val="20"/>
        </w:rPr>
        <w:t xml:space="preserve">2.15. Конкурсная комиссия в течение 10 рабочих дней со дня поступления из Комитета заявок оценивает их по пятибалльной шкале по следующим критериям:</w:t>
      </w:r>
    </w:p>
    <w:p>
      <w:pPr>
        <w:pStyle w:val="0"/>
        <w:spacing w:before="200" w:line-rule="auto"/>
        <w:ind w:firstLine="540"/>
        <w:jc w:val="both"/>
      </w:pPr>
      <w:r>
        <w:rPr>
          <w:sz w:val="20"/>
        </w:rPr>
        <w:t xml:space="preserve">1) опыт работы руководителя СО НКО на руководящих должностях:</w:t>
      </w:r>
    </w:p>
    <w:p>
      <w:pPr>
        <w:pStyle w:val="0"/>
        <w:spacing w:before="200" w:line-rule="auto"/>
        <w:ind w:firstLine="540"/>
        <w:jc w:val="both"/>
      </w:pPr>
      <w:r>
        <w:rPr>
          <w:sz w:val="20"/>
        </w:rPr>
        <w:t xml:space="preserve">от 11 лет - 5 баллов;</w:t>
      </w:r>
    </w:p>
    <w:p>
      <w:pPr>
        <w:pStyle w:val="0"/>
        <w:spacing w:before="200" w:line-rule="auto"/>
        <w:ind w:firstLine="540"/>
        <w:jc w:val="both"/>
      </w:pPr>
      <w:r>
        <w:rPr>
          <w:sz w:val="20"/>
        </w:rPr>
        <w:t xml:space="preserve">от 9 до 10 лет включительно - 4 балла;</w:t>
      </w:r>
    </w:p>
    <w:p>
      <w:pPr>
        <w:pStyle w:val="0"/>
        <w:spacing w:before="200" w:line-rule="auto"/>
        <w:ind w:firstLine="540"/>
        <w:jc w:val="both"/>
      </w:pPr>
      <w:r>
        <w:rPr>
          <w:sz w:val="20"/>
        </w:rPr>
        <w:t xml:space="preserve">от 7 до 8 лет включительно - 3 балла;</w:t>
      </w:r>
    </w:p>
    <w:p>
      <w:pPr>
        <w:pStyle w:val="0"/>
        <w:spacing w:before="200" w:line-rule="auto"/>
        <w:ind w:firstLine="540"/>
        <w:jc w:val="both"/>
      </w:pPr>
      <w:r>
        <w:rPr>
          <w:sz w:val="20"/>
        </w:rPr>
        <w:t xml:space="preserve">от 5 до 6 лет включительно - 2 балла;</w:t>
      </w:r>
    </w:p>
    <w:p>
      <w:pPr>
        <w:pStyle w:val="0"/>
        <w:spacing w:before="200" w:line-rule="auto"/>
        <w:ind w:firstLine="540"/>
        <w:jc w:val="both"/>
      </w:pPr>
      <w:r>
        <w:rPr>
          <w:sz w:val="20"/>
        </w:rPr>
        <w:t xml:space="preserve">от 2 до 4 лет включительно - 1 балл;</w:t>
      </w:r>
    </w:p>
    <w:p>
      <w:pPr>
        <w:pStyle w:val="0"/>
        <w:spacing w:before="200" w:line-rule="auto"/>
        <w:ind w:firstLine="540"/>
        <w:jc w:val="both"/>
      </w:pPr>
      <w:r>
        <w:rPr>
          <w:sz w:val="20"/>
        </w:rPr>
        <w:t xml:space="preserve">до 1 года включительно или если сведения (копии документов), предусмотренные </w:t>
      </w:r>
      <w:hyperlink w:history="0" w:anchor="P106" w:tooltip="3) копию документа о стаже работы руководителя СО НКО;">
        <w:r>
          <w:rPr>
            <w:sz w:val="20"/>
            <w:color w:val="0000ff"/>
          </w:rPr>
          <w:t xml:space="preserve">подпунктом 3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 обеспечение информационной открытости (оценкой является сумма баллов, полученных по каждому подкритерию):</w:t>
      </w:r>
    </w:p>
    <w:p>
      <w:pPr>
        <w:pStyle w:val="0"/>
        <w:spacing w:before="200" w:line-rule="auto"/>
        <w:ind w:firstLine="540"/>
        <w:jc w:val="both"/>
      </w:pPr>
      <w:r>
        <w:rPr>
          <w:sz w:val="20"/>
        </w:rPr>
        <w:t xml:space="preserve">наличие сайта СО НКО в информационно-телекоммуникационной сети Интернет - 1 балл;</w:t>
      </w:r>
    </w:p>
    <w:p>
      <w:pPr>
        <w:pStyle w:val="0"/>
        <w:spacing w:before="200" w:line-rule="auto"/>
        <w:ind w:firstLine="540"/>
        <w:jc w:val="both"/>
      </w:pPr>
      <w:r>
        <w:rPr>
          <w:sz w:val="20"/>
        </w:rPr>
        <w:t xml:space="preserve">наличие информационных стендов в помещениях СО НКО - 1 балл;</w:t>
      </w:r>
    </w:p>
    <w:p>
      <w:pPr>
        <w:pStyle w:val="0"/>
        <w:spacing w:before="200" w:line-rule="auto"/>
        <w:ind w:firstLine="540"/>
        <w:jc w:val="both"/>
      </w:pPr>
      <w:r>
        <w:rPr>
          <w:sz w:val="20"/>
        </w:rPr>
        <w:t xml:space="preserve">наличие в текущем году брошюр о деятельности СО НКО и предоставляемых ею социальных услугах - 1 балл;</w:t>
      </w:r>
    </w:p>
    <w:p>
      <w:pPr>
        <w:pStyle w:val="0"/>
        <w:spacing w:before="200" w:line-rule="auto"/>
        <w:ind w:firstLine="540"/>
        <w:jc w:val="both"/>
      </w:pPr>
      <w:r>
        <w:rPr>
          <w:sz w:val="20"/>
        </w:rPr>
        <w:t xml:space="preserve">наличие в текущем году публикаций в средствах массовой информации о деятельности СО НКО и предоставляемых ею социальных услугах - 1 балл;</w:t>
      </w:r>
    </w:p>
    <w:p>
      <w:pPr>
        <w:pStyle w:val="0"/>
        <w:spacing w:before="200" w:line-rule="auto"/>
        <w:ind w:firstLine="540"/>
        <w:jc w:val="both"/>
      </w:pPr>
      <w:r>
        <w:rPr>
          <w:sz w:val="20"/>
        </w:rPr>
        <w:t xml:space="preserve">наличие информации о деятельности СО НКО на официальных сайтах исполнительных органов Волгоградской области в составе портала Губернатора и Администрации Волгоградской области в информационно-телекоммуникационной сети Интернет - 0,5 балла;</w:t>
      </w:r>
    </w:p>
    <w:p>
      <w:pPr>
        <w:pStyle w:val="0"/>
        <w:spacing w:before="200" w:line-rule="auto"/>
        <w:ind w:firstLine="540"/>
        <w:jc w:val="both"/>
      </w:pPr>
      <w:r>
        <w:rPr>
          <w:sz w:val="20"/>
        </w:rPr>
        <w:t xml:space="preserve">наличие у СО НКО веб-страницы в информационно-телекоммуникационной сети Интернет - 0,5 балла;</w:t>
      </w:r>
    </w:p>
    <w:p>
      <w:pPr>
        <w:pStyle w:val="0"/>
        <w:spacing w:before="200" w:line-rule="auto"/>
        <w:ind w:firstLine="540"/>
        <w:jc w:val="both"/>
      </w:pPr>
      <w:r>
        <w:rPr>
          <w:sz w:val="20"/>
        </w:rPr>
        <w:t xml:space="preserve">3) доля работников СО НКО, осуществляющих социальное обслуживание в полустационарной форме, имеющих образование по основным профессиональным образовательным программам и (или) программам профессиональной подготовки по профессиям рабочих, должностям служащих по профилю социального обслуживания или иной осуществляемой СО НКО деятельности, от общей численности работников СО НКО,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если сведения (копии документов), предусмотренные </w:t>
      </w:r>
      <w:hyperlink w:history="0" w:anchor="P108"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СО НКО имеют образование по профилю социального обслуживания или иной осуществляемой СО НКО деятельности);">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4) доля работников СО НКО, осуществляющих социальное обслуживание в полустационарной форме, прошедших повышение квалификации (профессиональную переподготовку) по профилю социального обслуживания или иной осуществляемой СО НКО деятельности за последние три года, от общей численности работников СО НКО,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если сведения (копии документов), предусмотренные </w:t>
      </w:r>
      <w:hyperlink w:history="0" w:anchor="P108"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СО НКО имеют образование по профилю социального обслуживания или иной осуществляемой СО НКО деятельности);">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5) наличие помещений для предоставления социальных услуг, которые соответствуют установленным санитарно-гигиеническим нормам и требованиям безопасности, в том числе пожарной:</w:t>
      </w:r>
    </w:p>
    <w:p>
      <w:pPr>
        <w:pStyle w:val="0"/>
        <w:spacing w:before="200" w:line-rule="auto"/>
        <w:ind w:firstLine="540"/>
        <w:jc w:val="both"/>
      </w:pPr>
      <w:r>
        <w:rPr>
          <w:sz w:val="20"/>
        </w:rPr>
        <w:t xml:space="preserve">пять и более помещений - 5 баллов;</w:t>
      </w:r>
    </w:p>
    <w:p>
      <w:pPr>
        <w:pStyle w:val="0"/>
        <w:spacing w:before="200" w:line-rule="auto"/>
        <w:ind w:firstLine="540"/>
        <w:jc w:val="both"/>
      </w:pPr>
      <w:r>
        <w:rPr>
          <w:sz w:val="20"/>
        </w:rPr>
        <w:t xml:space="preserve">четыре помещения - 4 балла;</w:t>
      </w:r>
    </w:p>
    <w:p>
      <w:pPr>
        <w:pStyle w:val="0"/>
        <w:spacing w:before="200" w:line-rule="auto"/>
        <w:ind w:firstLine="540"/>
        <w:jc w:val="both"/>
      </w:pPr>
      <w:r>
        <w:rPr>
          <w:sz w:val="20"/>
        </w:rPr>
        <w:t xml:space="preserve">три помещения - 3 балла.</w:t>
      </w:r>
    </w:p>
    <w:p>
      <w:pPr>
        <w:pStyle w:val="0"/>
        <w:spacing w:before="200" w:line-rule="auto"/>
        <w:ind w:firstLine="540"/>
        <w:jc w:val="both"/>
      </w:pPr>
      <w:r>
        <w:rPr>
          <w:sz w:val="20"/>
        </w:rPr>
        <w:t xml:space="preserve">2.16. Итоговая оценка СО НКО по результатам оценки заявок определяется как сумма баллов, полученных по каждому из критериев, указанных в </w:t>
      </w:r>
      <w:hyperlink w:history="0" w:anchor="P156" w:tooltip="2.15. Конкурсная комиссия в течение 10 рабочих дней со дня поступления из Комитета заявок оценивает их по пятибалльной шкале по следующим критериям:">
        <w:r>
          <w:rPr>
            <w:sz w:val="20"/>
            <w:color w:val="0000ff"/>
          </w:rPr>
          <w:t xml:space="preserve">пункте 2.15</w:t>
        </w:r>
      </w:hyperlink>
      <w:r>
        <w:rPr>
          <w:sz w:val="20"/>
        </w:rPr>
        <w:t xml:space="preserve"> настоящего Порядка.</w:t>
      </w:r>
    </w:p>
    <w:p>
      <w:pPr>
        <w:pStyle w:val="0"/>
        <w:spacing w:before="200" w:line-rule="auto"/>
        <w:ind w:firstLine="540"/>
        <w:jc w:val="both"/>
      </w:pPr>
      <w:r>
        <w:rPr>
          <w:sz w:val="20"/>
        </w:rPr>
        <w:t xml:space="preserve">2.17. Конкурсная комиссия в день оценки заявок:</w:t>
      </w:r>
    </w:p>
    <w:p>
      <w:pPr>
        <w:pStyle w:val="0"/>
        <w:spacing w:before="200" w:line-rule="auto"/>
        <w:ind w:firstLine="540"/>
        <w:jc w:val="both"/>
      </w:pPr>
      <w:r>
        <w:rPr>
          <w:sz w:val="20"/>
        </w:rPr>
        <w:t xml:space="preserve">1) составляет рейтинг заявок: каждой заявке согласно итоговым оценкам присваивается порядковый номер. Чем выше итоговая оценка, тем меньше порядковый номер, присваиваемый заявке.</w:t>
      </w:r>
    </w:p>
    <w:bookmarkStart w:id="192" w:name="P192"/>
    <w:bookmarkEnd w:id="192"/>
    <w:p>
      <w:pPr>
        <w:pStyle w:val="0"/>
        <w:spacing w:before="200" w:line-rule="auto"/>
        <w:ind w:firstLine="540"/>
        <w:jc w:val="both"/>
      </w:pPr>
      <w:r>
        <w:rPr>
          <w:sz w:val="20"/>
        </w:rPr>
        <w:t xml:space="preserve">При равных итоговых оценках меньший порядковый номер в соответствии с </w:t>
      </w:r>
      <w:hyperlink w:history="0" r:id="rId33" w:tooltip="Федеральный закон от 12.01.1996 N 7-ФЗ (ред. от 19.12.2022) &quot;О некоммерческих организациях&quot; {КонсультантПлюс}">
        <w:r>
          <w:rPr>
            <w:sz w:val="20"/>
            <w:color w:val="0000ff"/>
          </w:rPr>
          <w:t xml:space="preserve">частью 13 статьи 31.1</w:t>
        </w:r>
      </w:hyperlink>
      <w:r>
        <w:rPr>
          <w:sz w:val="20"/>
        </w:rPr>
        <w:t xml:space="preserve"> Федерального закона от 12 января 1996 г. N 7-ФЗ "О некоммерческих организациях" присваивается заявке СО НКО - исполнителя общественно полезной услуги по предоставлению социального обслуживания в полустационарной форме, а в случае равенства итоговых оценок у нескольких таких исполнителей общественно полезной услуги по предоставлению социального обслуживания в полустационарной форме - заявке, которая зарегистрирована раньше в журнале учета заявок.</w:t>
      </w:r>
    </w:p>
    <w:p>
      <w:pPr>
        <w:pStyle w:val="0"/>
        <w:spacing w:before="200" w:line-rule="auto"/>
        <w:ind w:firstLine="540"/>
        <w:jc w:val="both"/>
      </w:pPr>
      <w:r>
        <w:rPr>
          <w:sz w:val="20"/>
        </w:rPr>
        <w:t xml:space="preserve">В случае отсутствия в числе СО НКО, получивших равные итоговые оценки, исполнителей общественно полезной услуги по предоставлению социального обслуживания в полустационарной форме меньший порядковый номер присваивается заявке СО НКО, зарегистрированной раньше в журнале учета заявок;</w:t>
      </w:r>
    </w:p>
    <w:p>
      <w:pPr>
        <w:pStyle w:val="0"/>
        <w:spacing w:before="200" w:line-rule="auto"/>
        <w:ind w:firstLine="540"/>
        <w:jc w:val="both"/>
      </w:pPr>
      <w:r>
        <w:rPr>
          <w:sz w:val="20"/>
        </w:rPr>
        <w:t xml:space="preserve">2) принимает решение об определении победителя конкурса или о признании единственного участника конкурса прошедшим оценку заявки или признает конкурс несостоявшимся по основанию, предусмотренному последним абзацем </w:t>
      </w:r>
      <w:hyperlink w:history="0" w:anchor="P150" w:tooltip="2.13. Решение о признании конкурса несостоявшимся принимается Комитетом в срок, указанный в пункте 2.11 настоящего Порядка, в следующих случаях:">
        <w:r>
          <w:rPr>
            <w:sz w:val="20"/>
            <w:color w:val="0000ff"/>
          </w:rPr>
          <w:t xml:space="preserve">пункта 2.13</w:t>
        </w:r>
      </w:hyperlink>
      <w:r>
        <w:rPr>
          <w:sz w:val="20"/>
        </w:rPr>
        <w:t xml:space="preserve"> настоящего Порядка.</w:t>
      </w:r>
    </w:p>
    <w:p>
      <w:pPr>
        <w:pStyle w:val="0"/>
        <w:spacing w:before="200" w:line-rule="auto"/>
        <w:ind w:firstLine="540"/>
        <w:jc w:val="both"/>
      </w:pPr>
      <w:r>
        <w:rPr>
          <w:sz w:val="20"/>
        </w:rPr>
        <w:t xml:space="preserve">Победителем конкурса признается СО НКО, чьей заявке присвоен первый порядковый номер в рейтинге при условии, что итоговая оценка такой заявки составляет не менее 12 баллов.</w:t>
      </w:r>
    </w:p>
    <w:p>
      <w:pPr>
        <w:pStyle w:val="0"/>
        <w:spacing w:before="200" w:line-rule="auto"/>
        <w:ind w:firstLine="540"/>
        <w:jc w:val="both"/>
      </w:pPr>
      <w:r>
        <w:rPr>
          <w:sz w:val="20"/>
        </w:rPr>
        <w:t xml:space="preserve">Единственный участник конкурса признается прошедшим оценку заявки, если итоговая оценка его заявки составляет не менее 12 баллов;</w:t>
      </w:r>
    </w:p>
    <w:p>
      <w:pPr>
        <w:pStyle w:val="0"/>
        <w:spacing w:before="200" w:line-rule="auto"/>
        <w:ind w:firstLine="540"/>
        <w:jc w:val="both"/>
      </w:pPr>
      <w:r>
        <w:rPr>
          <w:sz w:val="20"/>
        </w:rPr>
        <w:t xml:space="preserve">3) на основании принятого решения оформляет протокол, включающий в том числе информацию о присвоенных СО НКО баллах по каждому из критериев оценки (далее именуется - протокол), и передает протокол в Комитет.</w:t>
      </w:r>
    </w:p>
    <w:p>
      <w:pPr>
        <w:pStyle w:val="0"/>
        <w:spacing w:before="200" w:line-rule="auto"/>
        <w:ind w:firstLine="540"/>
        <w:jc w:val="both"/>
      </w:pPr>
      <w:r>
        <w:rPr>
          <w:sz w:val="20"/>
        </w:rPr>
        <w:t xml:space="preserve">2.18. Комитет в течение пяти рабочих дней со дня получения от конкурсной комиссии протокола размещает на официальном сайте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баллы по каждому из критериев оценки заявок,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субсидии:</w:t>
      </w:r>
    </w:p>
    <w:bookmarkStart w:id="209" w:name="P209"/>
    <w:bookmarkEnd w:id="209"/>
    <w:p>
      <w:pPr>
        <w:pStyle w:val="0"/>
        <w:spacing w:before="200" w:line-rule="auto"/>
        <w:ind w:firstLine="540"/>
        <w:jc w:val="both"/>
      </w:pPr>
      <w:r>
        <w:rPr>
          <w:sz w:val="20"/>
        </w:rPr>
        <w:t xml:space="preserve">3.1.1. Соблюдение СО НКО,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10" w:name="P210"/>
    <w:bookmarkEnd w:id="210"/>
    <w:p>
      <w:pPr>
        <w:pStyle w:val="0"/>
        <w:spacing w:before="200" w:line-rule="auto"/>
        <w:ind w:firstLine="540"/>
        <w:jc w:val="both"/>
      </w:pPr>
      <w:r>
        <w:rPr>
          <w:sz w:val="20"/>
        </w:rPr>
        <w:t xml:space="preserve">3.1.2. Согласие СО НКО, а также иных юридических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3.1.3. Достижение СО НКО результатов предоставления субсидии.</w:t>
      </w:r>
    </w:p>
    <w:bookmarkStart w:id="212" w:name="P212"/>
    <w:bookmarkEnd w:id="212"/>
    <w:p>
      <w:pPr>
        <w:pStyle w:val="0"/>
        <w:spacing w:before="200" w:line-rule="auto"/>
        <w:ind w:firstLine="540"/>
        <w:jc w:val="both"/>
      </w:pPr>
      <w:r>
        <w:rPr>
          <w:sz w:val="20"/>
        </w:rPr>
        <w:t xml:space="preserve">3.1.4. Представление СО НКО следующих отчетов:</w:t>
      </w:r>
    </w:p>
    <w:p>
      <w:pPr>
        <w:pStyle w:val="0"/>
        <w:spacing w:before="200" w:line-rule="auto"/>
        <w:ind w:firstLine="540"/>
        <w:jc w:val="both"/>
      </w:pPr>
      <w:r>
        <w:rPr>
          <w:sz w:val="20"/>
        </w:rPr>
        <w:t xml:space="preserve">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отчета о достижении значений результатов предоставления субсидии;</w:t>
      </w:r>
    </w:p>
    <w:p>
      <w:pPr>
        <w:pStyle w:val="0"/>
        <w:spacing w:before="200" w:line-rule="auto"/>
        <w:ind w:firstLine="540"/>
        <w:jc w:val="both"/>
      </w:pPr>
      <w:r>
        <w:rPr>
          <w:sz w:val="20"/>
        </w:rPr>
        <w:t xml:space="preserve">отчета об использовании субсидии;</w:t>
      </w:r>
    </w:p>
    <w:p>
      <w:pPr>
        <w:pStyle w:val="0"/>
        <w:spacing w:before="200" w:line-rule="auto"/>
        <w:ind w:firstLine="540"/>
        <w:jc w:val="both"/>
      </w:pPr>
      <w:r>
        <w:rPr>
          <w:sz w:val="20"/>
        </w:rPr>
        <w:t xml:space="preserve">отчета о количестве обслуженных получателей социальных услуг;</w:t>
      </w:r>
    </w:p>
    <w:p>
      <w:pPr>
        <w:pStyle w:val="0"/>
        <w:spacing w:before="200" w:line-rule="auto"/>
        <w:ind w:firstLine="540"/>
        <w:jc w:val="both"/>
      </w:pPr>
      <w:r>
        <w:rPr>
          <w:sz w:val="20"/>
        </w:rPr>
        <w:t xml:space="preserve">отчета об объеме средств, подлежащих уплате получателями социальных услуг за предоставленные социальные услуги.</w:t>
      </w:r>
    </w:p>
    <w:bookmarkStart w:id="218" w:name="P218"/>
    <w:bookmarkEnd w:id="218"/>
    <w:p>
      <w:pPr>
        <w:pStyle w:val="0"/>
        <w:spacing w:before="200" w:line-rule="auto"/>
        <w:ind w:firstLine="540"/>
        <w:jc w:val="both"/>
      </w:pPr>
      <w:r>
        <w:rPr>
          <w:sz w:val="20"/>
        </w:rPr>
        <w:t xml:space="preserve">3.1.5.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w:t>
      </w:r>
    </w:p>
    <w:p>
      <w:pPr>
        <w:pStyle w:val="0"/>
        <w:spacing w:before="200" w:line-rule="auto"/>
        <w:ind w:firstLine="540"/>
        <w:jc w:val="both"/>
      </w:pPr>
      <w:r>
        <w:rPr>
          <w:sz w:val="20"/>
        </w:rPr>
        <w:t xml:space="preserve">Комитет уведомляет СО НКО об объеме части субсидии, подлежащей возврату в областной бюджет в связи с превышением фактического объема доходов СО НКО, полученных от получателей социальных услуг за социальное обслуживание в полустационарной форме, над плановым объемом доходов СО НКО, определенным при расчете размера субсидии, в течение 15 рабочих дней со дня окончания периода предоставления субсидии.</w:t>
      </w:r>
    </w:p>
    <w:p>
      <w:pPr>
        <w:pStyle w:val="0"/>
        <w:spacing w:before="200" w:line-rule="auto"/>
        <w:ind w:firstLine="540"/>
        <w:jc w:val="both"/>
      </w:pPr>
      <w:r>
        <w:rPr>
          <w:sz w:val="20"/>
        </w:rPr>
        <w:t xml:space="preserve">Уведомление оформляется письмом Комитета, которое вручается под подпись лично руководителю СО НКО либо представителю СО НКО по доверенности или направляется заказным письмом. В случае направления уведомления заказным письмом датой его получения считается 10-й календарный день со дня направления заказного письма.</w:t>
      </w:r>
    </w:p>
    <w:bookmarkStart w:id="221" w:name="P221"/>
    <w:bookmarkEnd w:id="221"/>
    <w:p>
      <w:pPr>
        <w:pStyle w:val="0"/>
        <w:spacing w:before="200" w:line-rule="auto"/>
        <w:ind w:firstLine="540"/>
        <w:jc w:val="both"/>
      </w:pPr>
      <w:r>
        <w:rPr>
          <w:sz w:val="20"/>
        </w:rPr>
        <w:t xml:space="preserve">3.1.6. Использование субсидии на цели, указанные в </w:t>
      </w:r>
      <w:hyperlink w:history="0" w:anchor="P53"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3.2. Размер субсидии, предоставляемой СО НКО,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16859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размер субсидии, предоставляемой СО НКО;</w:t>
      </w:r>
    </w:p>
    <w:p>
      <w:pPr>
        <w:pStyle w:val="0"/>
        <w:spacing w:before="200" w:line-rule="auto"/>
        <w:ind w:firstLine="540"/>
        <w:jc w:val="both"/>
      </w:pPr>
      <w:r>
        <w:rPr>
          <w:sz w:val="20"/>
        </w:rPr>
        <w:t xml:space="preserve">V - плановое количество получателей социальных услуг;</w:t>
      </w:r>
    </w:p>
    <w:p>
      <w:pPr>
        <w:pStyle w:val="0"/>
        <w:spacing w:before="200" w:line-rule="auto"/>
        <w:ind w:firstLine="540"/>
        <w:jc w:val="both"/>
      </w:pPr>
      <w:r>
        <w:rPr>
          <w:sz w:val="20"/>
        </w:rPr>
        <w:t xml:space="preserve">N - подушевой норматив финансирования социальных услуг в расчете на одного получателя социальных услуг, утвержденный приказом Комитета на соответствующий финансовый год;</w:t>
      </w:r>
    </w:p>
    <w:p>
      <w:pPr>
        <w:pStyle w:val="0"/>
        <w:spacing w:before="200" w:line-rule="auto"/>
        <w:ind w:firstLine="540"/>
        <w:jc w:val="both"/>
      </w:pPr>
      <w:r>
        <w:rPr>
          <w:sz w:val="20"/>
        </w:rPr>
        <w:t xml:space="preserve">Р - среднегодовой объем доходов от предоставления социальных услуг за плату, взимаемую в установленном законодательством порядке, одному получателю социальных услуг за 12 месяцев, оканчивающихся месяцем, предшествующим периоду, на который предоставляется субсидия (далее именуется - расчетный год);</w:t>
      </w:r>
    </w:p>
    <w:p>
      <w:pPr>
        <w:pStyle w:val="0"/>
        <w:spacing w:before="200" w:line-rule="auto"/>
        <w:ind w:firstLine="540"/>
        <w:jc w:val="both"/>
      </w:pPr>
      <w:r>
        <w:rPr>
          <w:sz w:val="20"/>
        </w:rPr>
        <w:t xml:space="preserve">n - количество месяцев, за которые планируется предоставление субсидии в соответствующем финансовом году.</w:t>
      </w:r>
    </w:p>
    <w:p>
      <w:pPr>
        <w:pStyle w:val="0"/>
        <w:spacing w:before="200" w:line-rule="auto"/>
        <w:ind w:firstLine="540"/>
        <w:jc w:val="both"/>
      </w:pPr>
      <w:r>
        <w:rPr>
          <w:sz w:val="20"/>
        </w:rPr>
        <w:t xml:space="preserve">Среднегодовой объем доходов от предоставления социальных услуг за плату, взимаемую в установленном законодательством порядке, одному получателю социальных услуг за расчетный год определяется по формуле:</w:t>
      </w:r>
    </w:p>
    <w:p>
      <w:pPr>
        <w:pStyle w:val="0"/>
        <w:jc w:val="both"/>
      </w:pPr>
      <w:r>
        <w:rPr>
          <w:sz w:val="20"/>
        </w:rPr>
      </w:r>
    </w:p>
    <w:p>
      <w:pPr>
        <w:pStyle w:val="0"/>
        <w:ind w:firstLine="540"/>
        <w:jc w:val="both"/>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объем средств, поступивших в виде платы от предоставления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V</w:t>
      </w:r>
      <w:r>
        <w:rPr>
          <w:sz w:val="20"/>
          <w:vertAlign w:val="subscript"/>
        </w:rPr>
        <w:t xml:space="preserve">i</w:t>
      </w:r>
      <w:r>
        <w:rPr>
          <w:sz w:val="20"/>
        </w:rPr>
        <w:t xml:space="preserve"> - количество получателей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Размер субсидии рассчитывается на каждый финансовый год в течение периода предоставления социальных услуг. Общий размер субсидии определяется путем суммирования размера субсидии на каждый финансовый год.</w:t>
      </w:r>
    </w:p>
    <w:p>
      <w:pPr>
        <w:pStyle w:val="0"/>
        <w:spacing w:before="200" w:line-rule="auto"/>
        <w:ind w:firstLine="540"/>
        <w:jc w:val="both"/>
      </w:pPr>
      <w:r>
        <w:rPr>
          <w:sz w:val="20"/>
        </w:rPr>
        <w:t xml:space="preserve">В случае изменения в течение периода, на который заключено Соглашение, подушевого норматива финансирования социальных услуг на очередной финансовый год и последующие годы размер субсидии, предоставляемой СО НКО на очередной финансовый год и последующие годы, пересчитывается до окончания текущего финансового года.</w:t>
      </w:r>
    </w:p>
    <w:p>
      <w:pPr>
        <w:pStyle w:val="0"/>
        <w:spacing w:before="200" w:line-rule="auto"/>
        <w:ind w:firstLine="540"/>
        <w:jc w:val="both"/>
      </w:pPr>
      <w:r>
        <w:rPr>
          <w:sz w:val="20"/>
        </w:rPr>
        <w:t xml:space="preserve">3.3. Комитет в течение семи рабочих дней со дня получения от конкурсной комиссии протокола принимает решение о предоставлении субсидии или об отказе в предоставлении субсидии. Решение оформляется в форме приказа Комитета.</w:t>
      </w:r>
    </w:p>
    <w:p>
      <w:pPr>
        <w:pStyle w:val="0"/>
        <w:spacing w:before="200" w:line-rule="auto"/>
        <w:ind w:firstLine="540"/>
        <w:jc w:val="both"/>
      </w:pPr>
      <w:r>
        <w:rPr>
          <w:sz w:val="20"/>
        </w:rPr>
        <w:t xml:space="preserve">3.4. Основания для отказа в предоставлении субсидии:</w:t>
      </w:r>
    </w:p>
    <w:p>
      <w:pPr>
        <w:pStyle w:val="0"/>
        <w:spacing w:before="200" w:line-rule="auto"/>
        <w:ind w:firstLine="540"/>
        <w:jc w:val="both"/>
      </w:pPr>
      <w:r>
        <w:rPr>
          <w:sz w:val="20"/>
        </w:rPr>
        <w:t xml:space="preserve">отсутствие лимитов бюджетных обязательств, доведенных Комитету в текущем финансовом году на цели, указанные в </w:t>
      </w:r>
      <w:hyperlink w:history="0" w:anchor="P53"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непризнание СО НКО победителем конкурса или единственным участником конкурса, прошедшим оценку заявки.</w:t>
      </w:r>
    </w:p>
    <w:bookmarkStart w:id="243" w:name="P243"/>
    <w:bookmarkEnd w:id="243"/>
    <w:p>
      <w:pPr>
        <w:pStyle w:val="0"/>
        <w:spacing w:before="200" w:line-rule="auto"/>
        <w:ind w:firstLine="540"/>
        <w:jc w:val="both"/>
      </w:pPr>
      <w:r>
        <w:rPr>
          <w:sz w:val="20"/>
        </w:rPr>
        <w:t xml:space="preserve">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условие о согласии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СО НКО и иными юридическими лицами, получающими средства на основании договоров, заключенных с СО НКО, в целях исполнения обязательств по Соглашению,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перечислении субсидии на расчетный или корреспондентский счет;</w:t>
      </w:r>
    </w:p>
    <w:p>
      <w:pPr>
        <w:pStyle w:val="0"/>
        <w:spacing w:before="200" w:line-rule="auto"/>
        <w:ind w:firstLine="540"/>
        <w:jc w:val="both"/>
      </w:pPr>
      <w:r>
        <w:rPr>
          <w:sz w:val="20"/>
        </w:rPr>
        <w:t xml:space="preserve">обязательство СО НКО по соблюдению требований Порядка предоставления социальных услуг в полустационарной форме.</w:t>
      </w:r>
    </w:p>
    <w:bookmarkStart w:id="251" w:name="P251"/>
    <w:bookmarkEnd w:id="251"/>
    <w:p>
      <w:pPr>
        <w:pStyle w:val="0"/>
        <w:spacing w:before="200" w:line-rule="auto"/>
        <w:ind w:firstLine="540"/>
        <w:jc w:val="both"/>
      </w:pPr>
      <w:r>
        <w:rPr>
          <w:sz w:val="20"/>
        </w:rPr>
        <w:t xml:space="preserve">В случае если победителем конкурса (единственным участником конкурса, прошедшим оценку заявки) является СО НКО - исполнитель общественно полезной услуги по предоставлению социального обслуживания в полустационарной форме, Комитет заключает с ней Соглашение на срок не менее двух лет в пределах лимитов бюджетных обязательств на указанный срок (в разбивке на соответствующий финансовый год).</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в 2022 году значений результатов предоставления субсидии в сроки, определенные Соглашением,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Комитет вправе принять решение об уменьшении значения результата предоставления субсидии. В случае принятия соответствующего решения Комитетом обеспечивается включение соответствующих положений в заключенные Соглашения.</w:t>
      </w:r>
    </w:p>
    <w:p>
      <w:pPr>
        <w:pStyle w:val="0"/>
        <w:spacing w:before="200" w:line-rule="auto"/>
        <w:ind w:firstLine="540"/>
        <w:jc w:val="both"/>
      </w:pPr>
      <w:r>
        <w:rPr>
          <w:sz w:val="20"/>
        </w:rPr>
        <w:t xml:space="preserve">3.6. Соглашение заключается по утверждаемым приказом комитета финансов Волгоградской области типовым формам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для СО НКО, не являющейся исполнителем общественно полезной услуги по предоставлению социального обслуживания в полустационарной форме, а также в случае, предусмотренном </w:t>
      </w:r>
      <w:hyperlink w:history="0" w:anchor="P135" w:tooltip="2.9. В случае установления в 2022 году в отношении СО НКО - исполнителя общественно полезной услуги по предоставлению социального обслуживания в полустационарной форме факта неисполнения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объявления конкурса такая СО НКО утрачивает право на приоритетное получение мер поддержки, предусмотренное абза...">
        <w:r>
          <w:rPr>
            <w:sz w:val="20"/>
            <w:color w:val="0000ff"/>
          </w:rPr>
          <w:t xml:space="preserve">пунктом 2.9</w:t>
        </w:r>
      </w:hyperlink>
      <w:r>
        <w:rPr>
          <w:sz w:val="20"/>
        </w:rPr>
        <w:t xml:space="preserve"> настоящего Порядка,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w:t>
      </w:r>
    </w:p>
    <w:p>
      <w:pPr>
        <w:pStyle w:val="0"/>
        <w:spacing w:before="200" w:line-rule="auto"/>
        <w:ind w:firstLine="540"/>
        <w:jc w:val="both"/>
      </w:pPr>
      <w:r>
        <w:rPr>
          <w:sz w:val="20"/>
        </w:rPr>
        <w:t xml:space="preserve">для СО НКО - исполнителя общественно полезной услуги по предоставлению социального обслуживания в полустационарной форме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 в связи с оказанием общественно полезных услуг.</w:t>
      </w:r>
    </w:p>
    <w:p>
      <w:pPr>
        <w:pStyle w:val="0"/>
        <w:spacing w:before="200" w:line-rule="auto"/>
        <w:ind w:firstLine="540"/>
        <w:jc w:val="both"/>
      </w:pPr>
      <w:r>
        <w:rPr>
          <w:sz w:val="20"/>
        </w:rPr>
        <w:t xml:space="preserve">Дополнительное соглашение к Соглашению, в том числе соглашение о расторжении Соглашения, заключается между Комитетом и СО НКО в соответствии с типовой формой, утвержденной комитетом финансов Волгоградской области.</w:t>
      </w:r>
    </w:p>
    <w:p>
      <w:pPr>
        <w:pStyle w:val="0"/>
        <w:spacing w:before="200" w:line-rule="auto"/>
        <w:ind w:firstLine="540"/>
        <w:jc w:val="both"/>
      </w:pPr>
      <w:r>
        <w:rPr>
          <w:sz w:val="20"/>
        </w:rPr>
        <w:t xml:space="preserve">3.7. Результатами предоставления субсидии являются по состоянию на дату окончания срока действия Соглашения:</w:t>
      </w:r>
    </w:p>
    <w:bookmarkStart w:id="258" w:name="P258"/>
    <w:bookmarkEnd w:id="258"/>
    <w:p>
      <w:pPr>
        <w:pStyle w:val="0"/>
        <w:spacing w:before="200" w:line-rule="auto"/>
        <w:ind w:firstLine="540"/>
        <w:jc w:val="both"/>
      </w:pPr>
      <w:r>
        <w:rPr>
          <w:sz w:val="20"/>
        </w:rPr>
        <w:t xml:space="preserve">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59" w:name="P259"/>
    <w:bookmarkEnd w:id="259"/>
    <w:p>
      <w:pPr>
        <w:pStyle w:val="0"/>
        <w:spacing w:before="200" w:line-rule="auto"/>
        <w:ind w:firstLine="540"/>
        <w:jc w:val="both"/>
      </w:pPr>
      <w:r>
        <w:rPr>
          <w:sz w:val="20"/>
        </w:rPr>
        <w:t xml:space="preserve">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[по итогам проведенных СО НКО опросов (анкетирования)]. Количество получателей социальных услуг, удовлетворенных качеством социального обслуживания СО НКО, рассчитывается как разница между общим количеством получателей социальных услуг, обслуженных СО НКО за период предоставления субсидии, и количеством получателей социальных услуг, от которых поступили обоснованные жалобы на качество социального обслуживания СО НКО. Полученное значение результата предоставления субсидии округляется до двух знаков после запятой по общепринятым правилам математического округления.</w:t>
      </w:r>
    </w:p>
    <w:p>
      <w:pPr>
        <w:pStyle w:val="0"/>
        <w:spacing w:before="200" w:line-rule="auto"/>
        <w:ind w:firstLine="540"/>
        <w:jc w:val="both"/>
      </w:pPr>
      <w:r>
        <w:rPr>
          <w:sz w:val="20"/>
        </w:rPr>
        <w:t xml:space="preserve">3.8. Перечисление субсидии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(с учетом шестидневной рабочей недели)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Op = Od - On, где:</w:t>
      </w:r>
    </w:p>
    <w:p>
      <w:pPr>
        <w:pStyle w:val="0"/>
        <w:jc w:val="both"/>
      </w:pPr>
      <w:r>
        <w:rPr>
          <w:sz w:val="20"/>
        </w:rPr>
      </w:r>
    </w:p>
    <w:p>
      <w:pPr>
        <w:pStyle w:val="0"/>
        <w:ind w:firstLine="540"/>
        <w:jc w:val="both"/>
      </w:pPr>
      <w:r>
        <w:rPr>
          <w:sz w:val="20"/>
        </w:rPr>
        <w:t xml:space="preserve">Op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Od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отчете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 к Соглашению.</w:t>
      </w:r>
    </w:p>
    <w:p>
      <w:pPr>
        <w:pStyle w:val="0"/>
        <w:spacing w:before="200" w:line-rule="auto"/>
        <w:ind w:firstLine="540"/>
        <w:jc w:val="both"/>
      </w:pPr>
      <w:r>
        <w:rPr>
          <w:sz w:val="20"/>
        </w:rPr>
        <w:t xml:space="preserve">3.9. Если в течение срока, установленного </w:t>
      </w:r>
      <w:hyperlink w:history="0" w:anchor="P243" w:tooltip="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
        <w:r>
          <w:rPr>
            <w:sz w:val="20"/>
            <w:color w:val="0000ff"/>
          </w:rPr>
          <w:t xml:space="preserve">пунктом 3.5</w:t>
        </w:r>
      </w:hyperlink>
      <w:r>
        <w:rPr>
          <w:sz w:val="20"/>
        </w:rPr>
        <w:t xml:space="preserve"> настоящего Порядка, СО НКО уклоняется от заключения Соглашения, она теряет право на получение субсидии. В этом случае, а также в случаях признания конкурса несостоявшимся в соответствии с </w:t>
      </w:r>
      <w:hyperlink w:history="0" w:anchor="P145" w:tooltip="несоответствие СО НКО требованиям, установленным в пункте 2.3 настоящего Порядка;">
        <w:r>
          <w:rPr>
            <w:sz w:val="20"/>
            <w:color w:val="0000ff"/>
          </w:rPr>
          <w:t xml:space="preserve">абзацами вторым</w:t>
        </w:r>
      </w:hyperlink>
      <w:r>
        <w:rPr>
          <w:sz w:val="20"/>
        </w:rPr>
        <w:t xml:space="preserve">, </w:t>
      </w:r>
      <w:hyperlink w:history="0" w:anchor="P146" w:tooltip="несоответствие представленных в составе заявки документов требованиям, установленным настоящим Порядком, или представление документов не в полном объеме (за исключением документов, указанных в подпунктах 3 - 5, 9, 10 пункта 2.4 настоящего Порядка);">
        <w:r>
          <w:rPr>
            <w:sz w:val="20"/>
            <w:color w:val="0000ff"/>
          </w:rPr>
          <w:t xml:space="preserve">третьим</w:t>
        </w:r>
      </w:hyperlink>
      <w:r>
        <w:rPr>
          <w:sz w:val="20"/>
        </w:rPr>
        <w:t xml:space="preserve">, </w:t>
      </w:r>
      <w:hyperlink w:history="0" w:anchor="P148" w:tooltip="подача заявки после даты и (или) времени, определенных для подачи заявок;">
        <w:r>
          <w:rPr>
            <w:sz w:val="20"/>
            <w:color w:val="0000ff"/>
          </w:rPr>
          <w:t xml:space="preserve">пятым пункта 2.12</w:t>
        </w:r>
      </w:hyperlink>
      <w:r>
        <w:rPr>
          <w:sz w:val="20"/>
        </w:rPr>
        <w:t xml:space="preserve"> настоящего Порядка Комитет вправе объявить и провести новый конкурс в соответствии с процедурами, установленными настоящим Порядком.</w:t>
      </w:r>
    </w:p>
    <w:p>
      <w:pPr>
        <w:pStyle w:val="0"/>
        <w:spacing w:before="200" w:line-rule="auto"/>
        <w:ind w:firstLine="540"/>
        <w:jc w:val="both"/>
      </w:pPr>
      <w:r>
        <w:rPr>
          <w:sz w:val="20"/>
        </w:rPr>
        <w:t xml:space="preserve">3.10. Направлениями расходов, источником финансового обеспечения которых является субсидия, являются расходы, указанные в </w:t>
      </w:r>
      <w:hyperlink w:history="0" w:anchor="P53"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которые предоставляют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76" w:name="P276"/>
    <w:bookmarkEnd w:id="276"/>
    <w:p>
      <w:pPr>
        <w:pStyle w:val="0"/>
        <w:ind w:firstLine="540"/>
        <w:jc w:val="both"/>
      </w:pPr>
      <w:r>
        <w:rPr>
          <w:sz w:val="20"/>
        </w:rPr>
        <w:t xml:space="preserve">4.1. СО НКО - получатель субсидии представляет в Комитет:</w:t>
      </w:r>
    </w:p>
    <w:p>
      <w:pPr>
        <w:pStyle w:val="0"/>
        <w:spacing w:before="200" w:line-rule="auto"/>
        <w:ind w:firstLine="540"/>
        <w:jc w:val="both"/>
      </w:pPr>
      <w:r>
        <w:rPr>
          <w:sz w:val="20"/>
        </w:rPr>
        <w:t xml:space="preserve">1) ежеквартально не позднее 10-го числа месяца, следующего за расчетным периодом, на бумажном носителе по формам, определяемым в соответствии с типовой формой соглашения, утвержденной приказом комитета финансов Волгоградской области, и установленным Соглашением: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результатов предоставления субсидии;</w:t>
      </w:r>
    </w:p>
    <w:p>
      <w:pPr>
        <w:pStyle w:val="0"/>
        <w:spacing w:before="200" w:line-rule="auto"/>
        <w:ind w:firstLine="540"/>
        <w:jc w:val="both"/>
      </w:pPr>
      <w:r>
        <w:rPr>
          <w:sz w:val="20"/>
        </w:rPr>
        <w:t xml:space="preserve">2) в сроки и по форме, которые установлены Соглашением:</w:t>
      </w:r>
    </w:p>
    <w:p>
      <w:pPr>
        <w:pStyle w:val="0"/>
        <w:spacing w:before="200" w:line-rule="auto"/>
        <w:ind w:firstLine="540"/>
        <w:jc w:val="both"/>
      </w:pPr>
      <w:r>
        <w:rPr>
          <w:sz w:val="20"/>
        </w:rPr>
        <w:t xml:space="preserve">отчет об использовании субсидии;</w:t>
      </w:r>
    </w:p>
    <w:p>
      <w:pPr>
        <w:pStyle w:val="0"/>
        <w:spacing w:before="200" w:line-rule="auto"/>
        <w:ind w:firstLine="540"/>
        <w:jc w:val="both"/>
      </w:pPr>
      <w:r>
        <w:rPr>
          <w:sz w:val="20"/>
        </w:rPr>
        <w:t xml:space="preserve">отчет о количестве обслуженных получателей социальных услуг;</w:t>
      </w:r>
    </w:p>
    <w:p>
      <w:pPr>
        <w:pStyle w:val="0"/>
        <w:spacing w:before="200" w:line-rule="auto"/>
        <w:ind w:firstLine="540"/>
        <w:jc w:val="both"/>
      </w:pPr>
      <w:r>
        <w:rPr>
          <w:sz w:val="20"/>
        </w:rPr>
        <w:t xml:space="preserve">отчет об объеме средств, подлежащих уплате получателями социальных услуг за предоставленные социальные услуги.</w:t>
      </w:r>
    </w:p>
    <w:p>
      <w:pPr>
        <w:pStyle w:val="0"/>
        <w:spacing w:before="200" w:line-rule="auto"/>
        <w:ind w:firstLine="540"/>
        <w:jc w:val="both"/>
      </w:pPr>
      <w:r>
        <w:rPr>
          <w:sz w:val="20"/>
        </w:rPr>
        <w:t xml:space="preserve">4.2. Отчеты, указанные в </w:t>
      </w:r>
      <w:hyperlink w:history="0" w:anchor="P276" w:tooltip="4.1. СО НКО - получатель субсидии представляет в Комитет:">
        <w:r>
          <w:rPr>
            <w:sz w:val="20"/>
            <w:color w:val="0000ff"/>
          </w:rPr>
          <w:t xml:space="preserve">пункте 4.1</w:t>
        </w:r>
      </w:hyperlink>
      <w:r>
        <w:rPr>
          <w:sz w:val="20"/>
        </w:rPr>
        <w:t xml:space="preserve"> настоящего Порядка, должны быть подписаны руководителем СО НКО и исполнителем, непосредственно их подготовившим.</w:t>
      </w:r>
    </w:p>
    <w:p>
      <w:pPr>
        <w:pStyle w:val="0"/>
        <w:spacing w:before="200" w:line-rule="auto"/>
        <w:ind w:firstLine="540"/>
        <w:jc w:val="both"/>
      </w:pPr>
      <w:r>
        <w:rPr>
          <w:sz w:val="20"/>
        </w:rPr>
        <w:t xml:space="preserve">4.3. СО НКО, заключившая Соглашение, представляет (формирует) отчет о реализации плана мероприятий по достижению результатов предоставления субсидии.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t xml:space="preserve">(п. 4.3 введен </w:t>
      </w:r>
      <w:hyperlink w:history="0" r:id="rId4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4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27.04.2023 N 295-п)</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субсидий, в том числе в части достижения результата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значения результатов предоставления субсидии, определенного Соглашением, и событий, отражающих факт завершения соответствующих мероприятий по получению результатов предоставления субсидии (контрольные точки).</w:t>
      </w:r>
    </w:p>
    <w:p>
      <w:pPr>
        <w:pStyle w:val="0"/>
        <w:jc w:val="both"/>
      </w:pPr>
      <w:r>
        <w:rPr>
          <w:sz w:val="20"/>
        </w:rPr>
        <w:t xml:space="preserve">(абзац введен </w:t>
      </w:r>
      <w:hyperlink w:history="0" r:id="rId4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5.2. СО НКО в течение 10 рабочих дней со дня получения запроса Комитета и (или) органов государственного финансового контроля обязана направить (представить) документы и информацию, которые необходимы для осуществления проверки.</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целей и порядка предоставления субсидии.</w:t>
      </w:r>
    </w:p>
    <w:p>
      <w:pPr>
        <w:pStyle w:val="0"/>
        <w:spacing w:before="200" w:line-rule="auto"/>
        <w:ind w:firstLine="540"/>
        <w:jc w:val="both"/>
      </w:pPr>
      <w:r>
        <w:rPr>
          <w:sz w:val="20"/>
        </w:rPr>
        <w:t xml:space="preserve">5.4. СО НКО в течение первых 15 рабочих дней года, следующего за годом предоставления субсидии, обязана вернуть в областной бюджет остаток субсидии, не использованный в отчетном финансовом году, в соответствии с требованиями, установленными Бюджетным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5.5. В случаях нарушения СО НКО условий предоставления субсидии, установленных настоящим Порядком, представления недостоверных сведений, повлекших необоснованное получение субсидии, Комитет в течение пяти рабочих дней со дня выявления указанных нарушений вручает руководителю СО НКО либо ее представителю СО НКО по доверенности или направляет СО НКО заказным письмом требование о возврате предоставленной субсидии (части субсидии).</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заказным письмом датой его получения считается 10-й календарный день со дня направления заказного письма.</w:t>
      </w:r>
    </w:p>
    <w:bookmarkStart w:id="305" w:name="P305"/>
    <w:bookmarkEnd w:id="305"/>
    <w:p>
      <w:pPr>
        <w:pStyle w:val="0"/>
        <w:spacing w:before="200" w:line-rule="auto"/>
        <w:ind w:firstLine="540"/>
        <w:jc w:val="both"/>
      </w:pPr>
      <w:r>
        <w:rPr>
          <w:sz w:val="20"/>
        </w:rPr>
        <w:t xml:space="preserve">5.6. Субсидия (часть субсидии) подлежит возврату в областной бюджет в следующих случаях и размерах:</w:t>
      </w:r>
    </w:p>
    <w:p>
      <w:pPr>
        <w:pStyle w:val="0"/>
        <w:spacing w:before="200" w:line-rule="auto"/>
        <w:ind w:firstLine="540"/>
        <w:jc w:val="both"/>
      </w:pPr>
      <w:r>
        <w:rPr>
          <w:sz w:val="20"/>
        </w:rPr>
        <w:t xml:space="preserve">1) в случае нарушения СО НКО условия предоставления субсидий, установленного </w:t>
      </w:r>
      <w:hyperlink w:history="0" w:anchor="P209" w:tooltip="3.1.1. Соблюдение СО НКО,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подпунктом 3.1.1 пункта 3.1</w:t>
        </w:r>
      </w:hyperlink>
      <w:r>
        <w:rPr>
          <w:sz w:val="20"/>
        </w:rPr>
        <w:t xml:space="preserve"> настоящего Порядка, - в объеме средств, использованных на приобретение иностранной валюты;</w:t>
      </w:r>
    </w:p>
    <w:p>
      <w:pPr>
        <w:pStyle w:val="0"/>
        <w:spacing w:before="200" w:line-rule="auto"/>
        <w:ind w:firstLine="540"/>
        <w:jc w:val="both"/>
      </w:pPr>
      <w:r>
        <w:rPr>
          <w:sz w:val="20"/>
        </w:rPr>
        <w:t xml:space="preserve">2) в случае нарушения СО НКО условий предоставления субсидий, установленных </w:t>
      </w:r>
      <w:hyperlink w:history="0" w:anchor="P210" w:tooltip="3.1.2. Согласие СО НКО, а также иных юридически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
        <w:r>
          <w:rPr>
            <w:sz w:val="20"/>
            <w:color w:val="0000ff"/>
          </w:rPr>
          <w:t xml:space="preserve">подпунктами 3.1.2</w:t>
        </w:r>
      </w:hyperlink>
      <w:r>
        <w:rPr>
          <w:sz w:val="20"/>
        </w:rPr>
        <w:t xml:space="preserve"> и </w:t>
      </w:r>
      <w:hyperlink w:history="0" w:anchor="P212" w:tooltip="3.1.4. Представление СО НКО следующих отчетов:">
        <w:r>
          <w:rPr>
            <w:sz w:val="20"/>
            <w:color w:val="0000ff"/>
          </w:rPr>
          <w:t xml:space="preserve">3.1.4 пункта 3.1</w:t>
        </w:r>
      </w:hyperlink>
      <w:r>
        <w:rPr>
          <w:sz w:val="20"/>
        </w:rPr>
        <w:t xml:space="preserve"> настоящего Порядка, а также в случае представления СО НКО недостоверных сведений, повлекших необоснованное получение субсидии, - в полном объеме;</w:t>
      </w:r>
    </w:p>
    <w:p>
      <w:pPr>
        <w:pStyle w:val="0"/>
        <w:spacing w:before="200" w:line-rule="auto"/>
        <w:ind w:firstLine="540"/>
        <w:jc w:val="both"/>
      </w:pPr>
      <w:r>
        <w:rPr>
          <w:sz w:val="20"/>
        </w:rPr>
        <w:t xml:space="preserve">3) в случае нарушения СО НКО условия предоставления субсидии, установленного </w:t>
      </w:r>
      <w:hyperlink w:history="0" w:anchor="P221" w:tooltip="3.1.6. Использование субсидии на цели, указанные в пункте 1.3 настоящего Порядка.">
        <w:r>
          <w:rPr>
            <w:sz w:val="20"/>
            <w:color w:val="0000ff"/>
          </w:rPr>
          <w:t xml:space="preserve">подпунктом 3.1.6 пункта 3.1</w:t>
        </w:r>
      </w:hyperlink>
      <w:r>
        <w:rPr>
          <w:sz w:val="20"/>
        </w:rPr>
        <w:t xml:space="preserve"> настоящего Порядка, - в объеме средств, использованных не по целевому назначению;</w:t>
      </w:r>
    </w:p>
    <w:p>
      <w:pPr>
        <w:pStyle w:val="0"/>
        <w:spacing w:before="200" w:line-rule="auto"/>
        <w:ind w:firstLine="540"/>
        <w:jc w:val="both"/>
      </w:pPr>
      <w:r>
        <w:rPr>
          <w:sz w:val="20"/>
        </w:rPr>
        <w:t xml:space="preserve">4) в случае недостижения СО НКО установленных Соглашением значений результатов предоставления субсидии - в объеме, который рассчитывается по формуле:</w:t>
      </w:r>
    </w:p>
    <w:p>
      <w:pPr>
        <w:pStyle w:val="0"/>
        <w:jc w:val="both"/>
      </w:pPr>
      <w:r>
        <w:rPr>
          <w:sz w:val="20"/>
        </w:rPr>
      </w:r>
    </w:p>
    <w:p>
      <w:pPr>
        <w:pStyle w:val="0"/>
        <w:ind w:firstLine="540"/>
        <w:jc w:val="both"/>
      </w:pPr>
      <w:r>
        <w:rPr>
          <w:sz w:val="20"/>
        </w:rPr>
        <w:t xml:space="preserve">Оv = Оv</w:t>
      </w:r>
      <w:r>
        <w:rPr>
          <w:sz w:val="20"/>
          <w:vertAlign w:val="subscript"/>
        </w:rPr>
        <w:t xml:space="preserve">1</w:t>
      </w:r>
      <w:r>
        <w:rPr>
          <w:sz w:val="20"/>
        </w:rPr>
        <w:t xml:space="preserve"> + Оv</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Оv - объем средств, подлежащих возврату в областной бюджет;</w:t>
      </w:r>
    </w:p>
    <w:p>
      <w:pPr>
        <w:pStyle w:val="0"/>
        <w:spacing w:before="200" w:line-rule="auto"/>
        <w:ind w:firstLine="540"/>
        <w:jc w:val="both"/>
      </w:pPr>
      <w:r>
        <w:rPr>
          <w:sz w:val="20"/>
        </w:rPr>
        <w:t xml:space="preserve">Оv</w:t>
      </w:r>
      <w:r>
        <w:rPr>
          <w:sz w:val="20"/>
          <w:vertAlign w:val="subscript"/>
        </w:rPr>
        <w:t xml:space="preserve">1</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5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2</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59"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по итогам проведенных СО НКО опросов (анкетирования)]. Количество получателей социальных услуг, удовлетворенных качеством социального обслуживания СО НКО, рассч...">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5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1</w:t>
      </w:r>
      <w:r>
        <w:rPr>
          <w:sz w:val="20"/>
        </w:rPr>
        <w:t xml:space="preserve"> = Оk x (100 - R</w:t>
      </w:r>
      <w:r>
        <w:rPr>
          <w:sz w:val="20"/>
          <w:vertAlign w:val="subscript"/>
        </w:rPr>
        <w:t xml:space="preserve">1</w:t>
      </w:r>
      <w:r>
        <w:rPr>
          <w:sz w:val="20"/>
        </w:rPr>
        <w:t xml:space="preserve">), где:</w:t>
      </w:r>
    </w:p>
    <w:p>
      <w:pPr>
        <w:pStyle w:val="0"/>
        <w:jc w:val="both"/>
      </w:pPr>
      <w:r>
        <w:rPr>
          <w:sz w:val="20"/>
        </w:rPr>
      </w:r>
    </w:p>
    <w:p>
      <w:pPr>
        <w:pStyle w:val="0"/>
        <w:ind w:firstLine="540"/>
        <w:jc w:val="both"/>
      </w:pPr>
      <w:r>
        <w:rPr>
          <w:sz w:val="20"/>
        </w:rPr>
        <w:t xml:space="preserve">Оk - размер субсидии, скорректированный на величину излишне полученной субсидии, возвращенной СО НКО в областной бюджет;</w:t>
      </w:r>
    </w:p>
    <w:p>
      <w:pPr>
        <w:pStyle w:val="0"/>
        <w:spacing w:before="200" w:line-rule="auto"/>
        <w:ind w:firstLine="540"/>
        <w:jc w:val="both"/>
      </w:pPr>
      <w:r>
        <w:rPr>
          <w:sz w:val="20"/>
        </w:rPr>
        <w:t xml:space="preserve">R</w:t>
      </w:r>
      <w:r>
        <w:rPr>
          <w:sz w:val="20"/>
          <w:vertAlign w:val="subscript"/>
        </w:rPr>
        <w:t xml:space="preserve">1</w:t>
      </w:r>
      <w:r>
        <w:rPr>
          <w:sz w:val="20"/>
        </w:rPr>
        <w:t xml:space="preserve"> - процент достижения СО НКО результата предоставления субсидии, указанного в </w:t>
      </w:r>
      <w:hyperlink w:history="0" w:anchor="P25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5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 достигнут или перевыполнен, объем средств, подлежащих возврату,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59"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по итогам проведенных СО НКО опросов (анкетирования)]. Количество получателей социальных услуг, удовлетворенных качеством социального обслуживания СО НКО, рассч...">
        <w:r>
          <w:rPr>
            <w:sz w:val="20"/>
            <w:color w:val="0000ff"/>
          </w:rPr>
          <w:t xml:space="preserve">абзаце третьем пункта 3.7</w:t>
        </w:r>
      </w:hyperlink>
      <w:r>
        <w:rPr>
          <w:sz w:val="20"/>
        </w:rPr>
        <w:t xml:space="preserve"> настоящего Порядка,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2</w:t>
      </w:r>
      <w:r>
        <w:rPr>
          <w:sz w:val="20"/>
        </w:rPr>
        <w:t xml:space="preserve"> = (Оk - Оv</w:t>
      </w:r>
      <w:r>
        <w:rPr>
          <w:sz w:val="20"/>
          <w:vertAlign w:val="subscript"/>
        </w:rPr>
        <w:t xml:space="preserve">1</w:t>
      </w:r>
      <w:r>
        <w:rPr>
          <w:sz w:val="20"/>
        </w:rPr>
        <w:t xml:space="preserve">) x (100 - R</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2</w:t>
      </w:r>
      <w:r>
        <w:rPr>
          <w:sz w:val="20"/>
        </w:rPr>
        <w:t xml:space="preserve"> - процент достижения СО НКО результата предоставления субсидии, указанного в </w:t>
      </w:r>
      <w:hyperlink w:history="0" w:anchor="P259"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по итогам проведенных СО НКО опросов (анкетирования)]. Количество получателей социальных услуг, удовлетворенных качеством социального обслуживания СО НКО, рассч...">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59"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по итогам проведенных СО НКО опросов (анкетирования)]. Количество получателей социальных услуг, удовлетворенных качеством социального обслуживания СО НКО, рассч...">
        <w:r>
          <w:rPr>
            <w:sz w:val="20"/>
            <w:color w:val="0000ff"/>
          </w:rPr>
          <w:t xml:space="preserve">абзаце третьем пункта 3.7</w:t>
        </w:r>
      </w:hyperlink>
      <w:r>
        <w:rPr>
          <w:sz w:val="20"/>
        </w:rPr>
        <w:t xml:space="preserve"> настоящего Порядка, достигнут или перевыполнен, объем средств, подлежащих возврату, принимается равным 0;</w:t>
      </w:r>
    </w:p>
    <w:p>
      <w:pPr>
        <w:pStyle w:val="0"/>
        <w:spacing w:before="200" w:line-rule="auto"/>
        <w:ind w:firstLine="540"/>
        <w:jc w:val="both"/>
      </w:pPr>
      <w:r>
        <w:rPr>
          <w:sz w:val="20"/>
        </w:rPr>
        <w:t xml:space="preserve">5) в случае нарушения СО НКО условия предоставления субсидий, установленного </w:t>
      </w:r>
      <w:hyperlink w:history="0" w:anchor="P218" w:tooltip="3.1.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
        <w:r>
          <w:rPr>
            <w:sz w:val="20"/>
            <w:color w:val="0000ff"/>
          </w:rPr>
          <w:t xml:space="preserve">подпунктом 3.1.5 пункта 3.1</w:t>
        </w:r>
      </w:hyperlink>
      <w:r>
        <w:rPr>
          <w:sz w:val="20"/>
        </w:rPr>
        <w:t xml:space="preserve"> настоящего Порядка, - в объеме, равном части субсидии, подлежащей возврату в областной бюджет в соответствии с указанным подпунктом, и пени в размере 1 процента от части субсидии, подлежащей возврату, за каждый день просрочки, но не более размера части субсидии, подлежащей возврату.</w:t>
      </w:r>
    </w:p>
    <w:p>
      <w:pPr>
        <w:pStyle w:val="0"/>
        <w:spacing w:before="200" w:line-rule="auto"/>
        <w:ind w:firstLine="540"/>
        <w:jc w:val="both"/>
      </w:pPr>
      <w:r>
        <w:rPr>
          <w:sz w:val="20"/>
        </w:rPr>
        <w:t xml:space="preserve">5.7. СО НКО обязана произвести возврат предоставленной субсидии (части субсидии) в областной бюджет в течение 30 календарных дней со дня получения требования о возврате предоставленной субсидии (части субсидии).</w:t>
      </w:r>
    </w:p>
    <w:p>
      <w:pPr>
        <w:pStyle w:val="0"/>
        <w:spacing w:before="200" w:line-rule="auto"/>
        <w:ind w:firstLine="540"/>
        <w:jc w:val="both"/>
      </w:pPr>
      <w:r>
        <w:rPr>
          <w:sz w:val="20"/>
        </w:rPr>
        <w:t xml:space="preserve">В случае невозврата субсидии (части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w:t>
      </w:r>
    </w:p>
    <w:p>
      <w:pPr>
        <w:pStyle w:val="0"/>
        <w:spacing w:before="200" w:line-rule="auto"/>
        <w:ind w:firstLine="540"/>
        <w:jc w:val="both"/>
      </w:pPr>
      <w:r>
        <w:rPr>
          <w:sz w:val="20"/>
        </w:rPr>
        <w:t xml:space="preserve">5.8.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установленных настоящим Порядком, средства в размере, определяемом в соответствии с </w:t>
      </w:r>
      <w:hyperlink w:history="0" w:anchor="P305" w:tooltip="5.6. Субсидия (часть субсидии) подлежит возврату в областной бюджет в следующих случаях и размерах:">
        <w:r>
          <w:rPr>
            <w:sz w:val="20"/>
            <w:color w:val="0000ff"/>
          </w:rPr>
          <w:t xml:space="preserve">пунктом 5.6</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22.06.2022 N 360-п</w:t>
            <w:br/>
            <w:t>(ред. от 27.04.2023)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995129B8B2B8BB8367DECDA1E647FE74818DEB5B9771BE87CEC8BE99F47DD610EA35D32D5C51E3D7A945F18124133F13B5CBA7305889C69807F3FAg2iBQ" TargetMode = "External"/>
	<Relationship Id="rId8" Type="http://schemas.openxmlformats.org/officeDocument/2006/relationships/hyperlink" Target="consultantplus://offline/ref=1B995129B8B2B8BB8367C0C0B78A18FB7089D1E45A9178EDD29CCEE9C6A47B8350AA3381681A55E983F801AD842F457057E6D8A53244g8iAQ" TargetMode = "External"/>
	<Relationship Id="rId9" Type="http://schemas.openxmlformats.org/officeDocument/2006/relationships/hyperlink" Target="consultantplus://offline/ref=1B995129B8B2B8BB8367C0C0B78A18FB7089D7EE589978EDD29CCEE9C6A47B8350AA3382661D57B686ED10F5892D596E51FEC4A730g4i5Q" TargetMode = "External"/>
	<Relationship Id="rId10" Type="http://schemas.openxmlformats.org/officeDocument/2006/relationships/hyperlink" Target="consultantplus://offline/ref=1B995129B8B2B8BB8367C0C0B78A18FB708ED5E65F9178EDD29CCEE9C6A47B8350AA33866E185FE3DFA211A9CD7A4A6E55FEC6A12C4489C2g8i5Q" TargetMode = "External"/>
	<Relationship Id="rId11" Type="http://schemas.openxmlformats.org/officeDocument/2006/relationships/hyperlink" Target="consultantplus://offline/ref=1B995129B8B2B8BB8367DECDA1E647FE74818DEB5B9771BE87CEC8BE99F47DD610EA35D32D5C51E3D7A945F18124133F13B5CBA7305889C69807F3FAg2iBQ" TargetMode = "External"/>
	<Relationship Id="rId12" Type="http://schemas.openxmlformats.org/officeDocument/2006/relationships/hyperlink" Target="consultantplus://offline/ref=458A9D46BF5128CAADC25897EF39CAFDC5DA3D74D25C4661BFB92A036315B3F156BC4E1D857226095AD093919A3A340FEB5F297BA1hBiFQ" TargetMode = "External"/>
	<Relationship Id="rId13" Type="http://schemas.openxmlformats.org/officeDocument/2006/relationships/hyperlink" Target="consultantplus://offline/ref=458A9D46BF5128CAADC2469AF95595F8C1D26771D1524F32EAEB2C543C45B5A416FC484CC633205C0B94C69593337E5EA914267BA1A221DFF391C64EhFi0Q" TargetMode = "External"/>
	<Relationship Id="rId14" Type="http://schemas.openxmlformats.org/officeDocument/2006/relationships/hyperlink" Target="consultantplus://offline/ref=458A9D46BF5128CAADC25897EF39CAFDC2DB317AD3544661BFB92A036315B3F144BC16158575335D0D8AC49C98h3iBQ" TargetMode = "External"/>
	<Relationship Id="rId15" Type="http://schemas.openxmlformats.org/officeDocument/2006/relationships/hyperlink" Target="consultantplus://offline/ref=458A9D46BF5128CAADC2469AF95595F8C1D26771D1524C31E4ED2C543C45B5A416FC484CC633205C0B94C29E9F337E5EA914267BA1A221DFF391C64EhFi0Q" TargetMode = "External"/>
	<Relationship Id="rId16" Type="http://schemas.openxmlformats.org/officeDocument/2006/relationships/hyperlink" Target="consultantplus://offline/ref=458A9D46BF5128CAADC25897EF39CAFDC5DD3F7CD5544661BFB92A036315B3F144BC16158575335D0D8AC49C98h3iBQ" TargetMode = "External"/>
	<Relationship Id="rId17" Type="http://schemas.openxmlformats.org/officeDocument/2006/relationships/hyperlink" Target="consultantplus://offline/ref=458A9D46BF5128CAADC2469AF95595F8C1D26771D1524D3FE4EF2C543C45B5A416FC484CC633205C0B94C69E9E337E5EA914267BA1A221DFF391C64EhFi0Q" TargetMode = "External"/>
	<Relationship Id="rId18" Type="http://schemas.openxmlformats.org/officeDocument/2006/relationships/hyperlink" Target="consultantplus://offline/ref=458A9D46BF5128CAADC25897EF39CAFDC2D13D7BD4544661BFB92A036315B3F144BC16158575335D0D8AC49C98h3iBQ" TargetMode = "External"/>
	<Relationship Id="rId19" Type="http://schemas.openxmlformats.org/officeDocument/2006/relationships/hyperlink" Target="consultantplus://offline/ref=458A9D46BF5128CAADC25897EF39CAFDC2D13D74D6534661BFB92A036315B3F144BC16158575335D0D8AC49C98h3iBQ" TargetMode = "External"/>
	<Relationship Id="rId20" Type="http://schemas.openxmlformats.org/officeDocument/2006/relationships/hyperlink" Target="consultantplus://offline/ref=458A9D46BF5128CAADC2469AF95595F8C1D26771D1524F32EAEB2C543C45B5A416FC484CC633205C0B94C79C9A337E5EA914267BA1A221DFF391C64EhFi0Q" TargetMode = "External"/>
	<Relationship Id="rId21" Type="http://schemas.openxmlformats.org/officeDocument/2006/relationships/hyperlink" Target="consultantplus://offline/ref=458A9D46BF5128CAADC2469AF95595F8C1D26771D1524F32EAEB2C543C45B5A416FC484CC633205C0B94C79C9E337E5EA914267BA1A221DFF391C64EhFi0Q" TargetMode = "External"/>
	<Relationship Id="rId22" Type="http://schemas.openxmlformats.org/officeDocument/2006/relationships/hyperlink" Target="consultantplus://offline/ref=458A9D46BF5128CAADC2469AF95595F8C1D26771D1524F32EAEB2C543C45B5A416FC484CC633205C0B94C79C9F337E5EA914267BA1A221DFF391C64EhFi0Q" TargetMode = "External"/>
	<Relationship Id="rId23" Type="http://schemas.openxmlformats.org/officeDocument/2006/relationships/hyperlink" Target="consultantplus://offline/ref=458A9D46BF5128CAADC2469AF95595F8C1D26771D1524F32EAEB2C543C45B5A416FC484CC633205C0B94C79C9D337E5EA914267BA1A221DFF391C64EhFi0Q" TargetMode = "External"/>
	<Relationship Id="rId24" Type="http://schemas.openxmlformats.org/officeDocument/2006/relationships/hyperlink" Target="consultantplus://offline/ref=458A9D46BF5128CAADC2469AF95595F8C1D26771D1524F32EAEB2C543C45B5A416FC484CC633205C0B94C79D9A337E5EA914267BA1A221DFF391C64EhFi0Q" TargetMode = "External"/>
	<Relationship Id="rId25" Type="http://schemas.openxmlformats.org/officeDocument/2006/relationships/hyperlink" Target="consultantplus://offline/ref=458A9D46BF5128CAADC2469AF95595F8C1D26771D1524D36E7E82C543C45B5A416FC484CC633205C0B94C7949D337E5EA914267BA1A221DFF391C64EhFi0Q" TargetMode = "External"/>
	<Relationship Id="rId26" Type="http://schemas.openxmlformats.org/officeDocument/2006/relationships/hyperlink" Target="consultantplus://offline/ref=458A9D46BF5128CAADC2469AF95595F8C1D26771D1524F32EAEB2C543C45B5A416FC484CC633205C0B94C79D9A337E5EA914267BA1A221DFF391C64EhFi0Q" TargetMode = "External"/>
	<Relationship Id="rId27" Type="http://schemas.openxmlformats.org/officeDocument/2006/relationships/hyperlink" Target="consultantplus://offline/ref=458A9D46BF5128CAADC2469AF95595F8C1D26771D1524F32EAEB2C543C45B5A416FC484CC633205C0B94C79D9A337E5EA914267BA1A221DFF391C64EhFi0Q" TargetMode = "External"/>
	<Relationship Id="rId28" Type="http://schemas.openxmlformats.org/officeDocument/2006/relationships/hyperlink" Target="consultantplus://offline/ref=458A9D46BF5128CAADC25897EF39CAFDC5DA307ED3554661BFB92A036315B3F144BC16158575335D0D8AC49C98h3iBQ" TargetMode = "External"/>
	<Relationship Id="rId29" Type="http://schemas.openxmlformats.org/officeDocument/2006/relationships/hyperlink" Target="consultantplus://offline/ref=458A9D46BF5128CAADC2469AF95595F8C1D26771D1524F32EAEB2C543C45B5A416FC484CC633205C0B94C79D9B337E5EA914267BA1A221DFF391C64EhFi0Q" TargetMode = "External"/>
	<Relationship Id="rId30" Type="http://schemas.openxmlformats.org/officeDocument/2006/relationships/hyperlink" Target="consultantplus://offline/ref=458A9D46BF5128CAADC2469AF95595F8C1D26771D1524F32EAEB2C543C45B5A416FC484CC633205C0B94C79D98337E5EA914267BA1A221DFF391C64EhFi0Q" TargetMode = "External"/>
	<Relationship Id="rId31" Type="http://schemas.openxmlformats.org/officeDocument/2006/relationships/hyperlink" Target="consultantplus://offline/ref=458A9D46BF5128CAADC2469AF95595F8C1D26771D1524F32EAEB2C543C45B5A416FC484CC633205C0B94C79D9E337E5EA914267BA1A221DFF391C64EhFi0Q" TargetMode = "External"/>
	<Relationship Id="rId32" Type="http://schemas.openxmlformats.org/officeDocument/2006/relationships/hyperlink" Target="consultantplus://offline/ref=458A9D46BF5128CAADC2469AF95595F8C1D26771D1524F32EAEB2C543C45B5A416FC484CC633205C0B94C79D9F337E5EA914267BA1A221DFF391C64EhFi0Q" TargetMode = "External"/>
	<Relationship Id="rId33" Type="http://schemas.openxmlformats.org/officeDocument/2006/relationships/hyperlink" Target="consultantplus://offline/ref=458A9D46BF5128CAADC25897EF39CAFDC5DA3D74D25C4661BFB92A036315B3F156BC4E1D857326095AD093919A3A340FEB5F297BA1hBiFQ" TargetMode = "External"/>
	<Relationship Id="rId34" Type="http://schemas.openxmlformats.org/officeDocument/2006/relationships/hyperlink" Target="consultantplus://offline/ref=458A9D46BF5128CAADC25897EF39CAFDC5DA3B7ED0544661BFB92A036315B3F156BC4E1B827729565FC582C997382811ED473579A3BEh2i2Q" TargetMode = "External"/>
	<Relationship Id="rId35" Type="http://schemas.openxmlformats.org/officeDocument/2006/relationships/hyperlink" Target="consultantplus://offline/ref=458A9D46BF5128CAADC25897EF39CAFDC5DA3B7ED0544661BFB92A036315B3F156BC4E1B82752F565FC582C997382811ED473579A3BEh2i2Q" TargetMode = "External"/>
	<Relationship Id="rId36" Type="http://schemas.openxmlformats.org/officeDocument/2006/relationships/image" Target="media/image2.wmf"/>
	<Relationship Id="rId37" Type="http://schemas.openxmlformats.org/officeDocument/2006/relationships/image" Target="media/image3.wmf"/>
	<Relationship Id="rId38" Type="http://schemas.openxmlformats.org/officeDocument/2006/relationships/hyperlink" Target="consultantplus://offline/ref=458A9D46BF5128CAADC25897EF39CAFDC5DA3B7ED0544661BFB92A036315B3F156BC4E1B827729565FC582C997382811ED473579A3BEh2i2Q" TargetMode = "External"/>
	<Relationship Id="rId39" Type="http://schemas.openxmlformats.org/officeDocument/2006/relationships/hyperlink" Target="consultantplus://offline/ref=458A9D46BF5128CAADC25897EF39CAFDC5DA3B7ED0544661BFB92A036315B3F156BC4E1B82752F565FC582C997382811ED473579A3BEh2i2Q" TargetMode = "External"/>
	<Relationship Id="rId40" Type="http://schemas.openxmlformats.org/officeDocument/2006/relationships/hyperlink" Target="consultantplus://offline/ref=458A9D46BF5128CAADC2469AF95595F8C1D26771D1524F32EAEB2C543C45B5A416FC484CC633205C0B94C79D9D337E5EA914267BA1A221DFF391C64EhFi0Q" TargetMode = "External"/>
	<Relationship Id="rId41" Type="http://schemas.openxmlformats.org/officeDocument/2006/relationships/hyperlink" Target="consultantplus://offline/ref=458A9D46BF5128CAADC2469AF95595F8C1D26771D1524F32EAEB2C543C45B5A416FC484CC633205C0B94C79E9A337E5EA914267BA1A221DFF391C64EhFi0Q" TargetMode = "External"/>
	<Relationship Id="rId42" Type="http://schemas.openxmlformats.org/officeDocument/2006/relationships/hyperlink" Target="consultantplus://offline/ref=458A9D46BF5128CAADC25897EF39CAFDC5DA3B7ED0544661BFB92A036315B3F156BC4E1B827729565FC582C997382811ED473579A3BEh2i2Q" TargetMode = "External"/>
	<Relationship Id="rId43" Type="http://schemas.openxmlformats.org/officeDocument/2006/relationships/hyperlink" Target="consultantplus://offline/ref=458A9D46BF5128CAADC25897EF39CAFDC5DA3B7ED0544661BFB92A036315B3F156BC4E1B82752F565FC582C997382811ED473579A3BEh2i2Q" TargetMode = "External"/>
	<Relationship Id="rId44" Type="http://schemas.openxmlformats.org/officeDocument/2006/relationships/hyperlink" Target="consultantplus://offline/ref=458A9D46BF5128CAADC2469AF95595F8C1D26771D1524F32EAEB2C543C45B5A416FC484CC633205C0B94C79E9B337E5EA914267BA1A221DFF391C64EhFi0Q" TargetMode = "External"/>
	<Relationship Id="rId45" Type="http://schemas.openxmlformats.org/officeDocument/2006/relationships/hyperlink" Target="consultantplus://offline/ref=458A9D46BF5128CAADC25897EF39CAFDC5DA3B7ED0544661BFB92A036315B3F144BC16158575335D0D8AC49C98h3i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22.06.2022 N 360-п
(ред. от 27.04.2023)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гражданам пожилого возраста и инвалидам в условиях дневного пребывания"</dc:title>
  <dcterms:created xsi:type="dcterms:W3CDTF">2023-06-02T16:34:32Z</dcterms:created>
</cp:coreProperties>
</file>