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02.08.2023 N 727-п</w:t>
              <w:br/>
              <w:t xml:space="preserve">"О Порядке предоставления и расходования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2023 г. N 727-п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 РАСХОДОВАНИЯ СУБВЕНЦИИ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ЯО от 16.12.2009 N 70-з (ред. от 12.10.2023) &quot;О наделении органов местного самоуправления государственными полномочиями Ярославской области&quot; (принят Ярославской областной Думой 08.12.2009) (вместе с &quot;Методиками распределения субвенций на осуществление государственных полномочий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и законом об областном бюджете на очередной год и на плановый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расходования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01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02.08.2023 N 727-п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РАСХОДОВАНИЯ СУБВЕНЦИИ НА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и расходования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(далее - Порядок) разработан в соответствии с </w:t>
      </w:r>
      <w:hyperlink w:history="0" r:id="rId8" w:tooltip="Закон ЯО от 16.12.2009 N 70-з (ред. от 12.10.2023) &quot;О наделении органов местного самоуправления государственными полномочиями Ярославской области&quot; (принят Ярославской областной Думой 08.12.2009) (вместе с &quot;Методиками распределения субвенций на осуществление государственных полномочий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и законом об областном бюджете на очередной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Порядком 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(далее - субвенция) предусмотрена на оплату труда работников общеобразовательных организаций, занимающих должности советников директора по воспитанию и взаимодействию с детскими общественными объединениями (далее - советники директора),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Субвенция носит целевой характер и не может быть использована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Перечисление субвенции осуществляется на единый счет местного бюджета, открытый финансовому органу муниципального образования в Управлении Федерального казначейства по Ярославской области, в пределах суммы, необходимой для оплаты денежных обязательств получателя средств местного бюджета, соответствующих целям предоставления субвенции. Перечисление субвенции местным бюджетам осуществляется в пределах кассового плана областного бюджета, утвержденного на соответствующий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местного самоуправления муниципального образования области, осуществляющий управление в сфере образования, направляет в министерство образования Ярославской области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формирование кассового плана исполнения областного бюджета на соответствующий период - ежеквартально не позднее 20-го числа месяца, предшествующего планируемому периоду;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доведение предельных объемов финансирования по субвенции - ежемесячно не позднее 10-го числа месяца, за который должна быть произведена оплата труда советников директора.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советников директора производится не реже чем каждые полмесяца в соответствии со сроками выплаты заработной платы, установленными правилами внутреннего трудового распорядка, коллективным договором или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местного самоуправления муниципального образования области, осуществляющий управление в сфере образования, направляет в министерство образования Ярославской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</w:t>
      </w:r>
      <w:hyperlink w:history="0" r:id="rId9" w:tooltip="&lt;Письмо&gt; Казначейства России от 11.12.2012 N 42-7.4-05/2.1-704 &lt;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&gt;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0503324, предусмотренной письмом Федерального казначейства от 11 декабря 2012 г. N 42-7.4-05/2.1-704, - ежеквартально не позднее чем на пятый рабочий день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</w:t>
      </w:r>
      <w:hyperlink w:history="0" w:anchor="P64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расходовании субвенции по форме согласно приложению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I, II, III кварталы - в срок не позднее чем на третий день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IV квартал - в срок не позднее чем на второй рабочий день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Ответственность за соблюдение Порядка и достоверность представляемой отчетности возлагается на уполномоченный орган муниципального района (городского округа)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правильностью расходования субвенции осуществляется уполномоченными органами исполнительной власти Ярославской области и органами, осуществляющими внутренний государственный финансовый контроль.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33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о расходовании субвенции на обеспечение деятельности советников</w:t>
      </w:r>
    </w:p>
    <w:p>
      <w:pPr>
        <w:pStyle w:val="1"/>
        <w:jc w:val="both"/>
      </w:pPr>
      <w:r>
        <w:rPr>
          <w:sz w:val="20"/>
        </w:rPr>
        <w:t xml:space="preserve">     директора по воспитанию и взаимодействию с детскими общественными</w:t>
      </w:r>
    </w:p>
    <w:p>
      <w:pPr>
        <w:pStyle w:val="1"/>
        <w:jc w:val="both"/>
      </w:pPr>
      <w:r>
        <w:rPr>
          <w:sz w:val="20"/>
        </w:rPr>
        <w:t xml:space="preserve">             объединениями в общеобразовательных организациях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муниципального образования области)</w:t>
      </w:r>
    </w:p>
    <w:p>
      <w:pPr>
        <w:pStyle w:val="1"/>
        <w:jc w:val="both"/>
      </w:pPr>
      <w:r>
        <w:rPr>
          <w:sz w:val="20"/>
        </w:rPr>
        <w:t xml:space="preserve">                         за 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Численность работников муниципальных</w:t>
      </w:r>
    </w:p>
    <w:p>
      <w:pPr>
        <w:pStyle w:val="0"/>
        <w:jc w:val="center"/>
      </w:pPr>
      <w:r>
        <w:rPr>
          <w:sz w:val="20"/>
        </w:rPr>
        <w:t xml:space="preserve">общеобразовательных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2"/>
        <w:gridCol w:w="2721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муниципальных общеобразовательных организаций, в которых работают советники директора по воспитанию и взаимодействию с детскими общественными объединениями, ед.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занятых ставок советников директора по воспитанию и взаимодействию с детскими общественными объединениями, ед.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 первый месяц отчетного периода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 второй месяц отчетного периода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 третий месяц отчетного периода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 период с начала года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Сведения о расходах и обязательствах по осуществлению</w:t>
      </w:r>
    </w:p>
    <w:p>
      <w:pPr>
        <w:pStyle w:val="0"/>
        <w:jc w:val="center"/>
      </w:pPr>
      <w:r>
        <w:rPr>
          <w:sz w:val="20"/>
        </w:rPr>
        <w:t xml:space="preserve">оплаты труда работников общеобразовательных организаций,</w:t>
      </w:r>
    </w:p>
    <w:p>
      <w:pPr>
        <w:pStyle w:val="0"/>
        <w:jc w:val="center"/>
      </w:pPr>
      <w:r>
        <w:rPr>
          <w:sz w:val="20"/>
        </w:rPr>
        <w:t xml:space="preserve">занимающих должности советников директора по воспитанию</w:t>
      </w:r>
    </w:p>
    <w:p>
      <w:pPr>
        <w:pStyle w:val="0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2.1. Сведения о расходах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6"/>
        <w:gridCol w:w="1417"/>
        <w:gridCol w:w="1276"/>
        <w:gridCol w:w="1304"/>
        <w:gridCol w:w="1928"/>
        <w:gridCol w:w="1644"/>
        <w:gridCol w:w="1644"/>
        <w:gridCol w:w="1304"/>
        <w:gridCol w:w="2041"/>
      </w:tblGrid>
      <w:tr>
        <w:tc>
          <w:tcPr>
            <w:gridSpan w:val="4"/>
            <w:tcW w:w="4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расходов по бюджетной классификации местного бюджета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бюджетных ассигнований, руб.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средств из с начала года, руб.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средств с начала года, руб.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неизрасходованных средств, руб.</w:t>
            </w:r>
          </w:p>
        </w:tc>
      </w:tr>
      <w:tr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раздела, подраздела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статьи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вида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едином счете бюджета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счетах образовательных организаций</w:t>
            </w:r>
          </w:p>
        </w:tc>
      </w:tr>
      <w:tr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9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2.2. Сведения об обязательствах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0"/>
        <w:gridCol w:w="2608"/>
        <w:gridCol w:w="1757"/>
        <w:gridCol w:w="2041"/>
        <w:gridCol w:w="5046"/>
      </w:tblGrid>
      <w:tr>
        <w:tc>
          <w:tcPr>
            <w:gridSpan w:val="2"/>
            <w:tcW w:w="4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 муниципального образования, руб.</w:t>
            </w:r>
          </w:p>
        </w:tc>
        <w:tc>
          <w:tcPr>
            <w:gridSpan w:val="3"/>
            <w:tcW w:w="8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 бюджетных (автономных) организаций, руб.</w:t>
            </w:r>
          </w:p>
        </w:tc>
      </w:tr>
      <w:tr>
        <w:tc>
          <w:tcPr>
            <w:tcW w:w="21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 в соответствии с заключенными с организациями соглашениями на текущий год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денежных обязательств по перечислению субсидии организациям за период с начала года</w:t>
            </w:r>
          </w:p>
        </w:tc>
        <w:tc>
          <w:tcPr>
            <w:gridSpan w:val="2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оплаты труда учреждений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утвержденных плановых назначений на текущий год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начисленной заработной платы за период с начала года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начисленных страховых взносов в государственные внебюджетные фонды за период с начала года</w:t>
            </w:r>
          </w:p>
        </w:tc>
      </w:tr>
      <w:tr>
        <w:tc>
          <w:tcPr>
            <w:tcW w:w="2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области, осуществляющего</w:t>
      </w:r>
    </w:p>
    <w:p>
      <w:pPr>
        <w:pStyle w:val="1"/>
        <w:jc w:val="both"/>
      </w:pPr>
      <w:r>
        <w:rPr>
          <w:sz w:val="20"/>
        </w:rPr>
        <w:t xml:space="preserve">управление в сфере образования        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и телефон исполнителя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02.08.2023 N 727-п</w:t>
            <w:br/>
            <w:t>"О Порядке предоставления и расходования субвенции на обеспечение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02.08.2023 N 727-п</w:t>
            <w:br/>
            <w:t>"О Порядке предоставления и расходования субвенции на обеспечение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C00166ECBC6D5F99A548779746C28FFAC5A0950B680E98F29E27543D2AB7730E869E20CC91C0DFB383983AB5C3DF9DFB55F092453FFB0A94583A0FW0z2Q" TargetMode = "External"/>
	<Relationship Id="rId8" Type="http://schemas.openxmlformats.org/officeDocument/2006/relationships/hyperlink" Target="consultantplus://offline/ref=97C00166ECBC6D5F99A548779746C28FFAC5A0950B680E98F29E27543D2AB7730E869E20CC91C0DFB383983AB5C3DF9DFB55F092453FFB0A94583A0FW0z2Q" TargetMode = "External"/>
	<Relationship Id="rId9" Type="http://schemas.openxmlformats.org/officeDocument/2006/relationships/hyperlink" Target="consultantplus://offline/ref=97C00166ECBC6D5F99A5567A812A9C8AFDCDF7980C6B01CEAECC2103627AB1264EC698758FD5CDDBB68ACD62F39D86CEBE1EFC915A23FA09W8z9Q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02.08.2023 N 727-п
"О Порядке предоставления и расходования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организациях"</dc:title>
  <dcterms:created xsi:type="dcterms:W3CDTF">2023-11-21T16:51:22Z</dcterms:created>
</cp:coreProperties>
</file>