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Росжелдора от 09.09.2022 N 479</w:t>
              <w:br/>
              <w:t xml:space="preserve">(ред. от 27.10.2022)</w:t>
              <w:br/>
              <w:t xml:space="preserve">"Об утверждении состава и Положения об Общественном совете при Федеральном агентстве железнодорожного транспорта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железнодорожного транспорта, и кандидатам в члены общественного совета при Федеральном агентстве железнодорожного транспорта"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ТРАНСПОРТА РОССИЙСКОЙ ФЕДЕРАЦИИ</w:t>
      </w:r>
    </w:p>
    <w:p>
      <w:pPr>
        <w:pStyle w:val="2"/>
        <w:jc w:val="both"/>
      </w:pPr>
      <w:r>
        <w:rPr>
          <w:sz w:val="20"/>
        </w:rPr>
      </w:r>
    </w:p>
    <w:p>
      <w:pPr>
        <w:pStyle w:val="2"/>
        <w:jc w:val="center"/>
      </w:pPr>
      <w:r>
        <w:rPr>
          <w:sz w:val="20"/>
        </w:rPr>
        <w:t xml:space="preserve">ФЕДЕРАЛЬНОЕ АГЕНТСТВО ЖЕЛЕЗНОДОРОЖНОГО ТРАНСПОРТА</w:t>
      </w:r>
    </w:p>
    <w:p>
      <w:pPr>
        <w:pStyle w:val="2"/>
        <w:jc w:val="both"/>
      </w:pPr>
      <w:r>
        <w:rPr>
          <w:sz w:val="20"/>
        </w:rPr>
      </w:r>
    </w:p>
    <w:p>
      <w:pPr>
        <w:pStyle w:val="2"/>
        <w:jc w:val="center"/>
      </w:pPr>
      <w:r>
        <w:rPr>
          <w:sz w:val="20"/>
        </w:rPr>
        <w:t xml:space="preserve">ПРИКАЗ</w:t>
      </w:r>
    </w:p>
    <w:p>
      <w:pPr>
        <w:pStyle w:val="2"/>
        <w:jc w:val="center"/>
      </w:pPr>
      <w:r>
        <w:rPr>
          <w:sz w:val="20"/>
        </w:rPr>
        <w:t xml:space="preserve">от 9 сентября 2022 г. N 479</w:t>
      </w:r>
    </w:p>
    <w:p>
      <w:pPr>
        <w:pStyle w:val="2"/>
        <w:jc w:val="both"/>
      </w:pPr>
      <w:r>
        <w:rPr>
          <w:sz w:val="20"/>
        </w:rPr>
      </w:r>
    </w:p>
    <w:p>
      <w:pPr>
        <w:pStyle w:val="2"/>
        <w:jc w:val="center"/>
      </w:pPr>
      <w:r>
        <w:rPr>
          <w:sz w:val="20"/>
        </w:rPr>
        <w:t xml:space="preserve">ОБ УТВЕРЖДЕНИИ СОСТАВА И ПОЛОЖЕНИЯ</w:t>
      </w:r>
    </w:p>
    <w:p>
      <w:pPr>
        <w:pStyle w:val="2"/>
        <w:jc w:val="center"/>
      </w:pPr>
      <w:r>
        <w:rPr>
          <w:sz w:val="20"/>
        </w:rPr>
        <w:t xml:space="preserve">ОБ ОБЩЕСТВЕННОМ СОВЕТЕ ПРИ ФЕДЕРАЛЬНОМ АГЕНТСТВЕ</w:t>
      </w:r>
    </w:p>
    <w:p>
      <w:pPr>
        <w:pStyle w:val="2"/>
        <w:jc w:val="center"/>
      </w:pPr>
      <w:r>
        <w:rPr>
          <w:sz w:val="20"/>
        </w:rPr>
        <w:t xml:space="preserve">ЖЕЛЕЗНОДОРОЖНОГО ТРАНСПОРТА И ДОПОЛНИТЕЛЬНЫХ (СПЕЦИФИЧЕСКИХ)</w:t>
      </w:r>
    </w:p>
    <w:p>
      <w:pPr>
        <w:pStyle w:val="2"/>
        <w:jc w:val="center"/>
      </w:pPr>
      <w:r>
        <w:rPr>
          <w:sz w:val="20"/>
        </w:rPr>
        <w:t xml:space="preserve">ТРЕБОВАНИЙ К ОБЩЕСТВЕННЫМ ОБЪЕДИНЕНИЯМ И ИНЫМ</w:t>
      </w:r>
    </w:p>
    <w:p>
      <w:pPr>
        <w:pStyle w:val="2"/>
        <w:jc w:val="center"/>
      </w:pPr>
      <w:r>
        <w:rPr>
          <w:sz w:val="20"/>
        </w:rPr>
        <w:t xml:space="preserve">НЕГОСУДАРСТВЕННЫМ НЕКОММЕРЧЕСКИМ ОРГАНИЗАЦИЯМ, ОБЛАДАЮЩИМ</w:t>
      </w:r>
    </w:p>
    <w:p>
      <w:pPr>
        <w:pStyle w:val="2"/>
        <w:jc w:val="center"/>
      </w:pPr>
      <w:r>
        <w:rPr>
          <w:sz w:val="20"/>
        </w:rPr>
        <w:t xml:space="preserve">ПРАВОМ ВЫДВИЖЕНИЯ КАНДИДАТУР В ЧЛЕНЫ ОБЩЕСТВЕННОГО СОВЕТА</w:t>
      </w:r>
    </w:p>
    <w:p>
      <w:pPr>
        <w:pStyle w:val="2"/>
        <w:jc w:val="center"/>
      </w:pPr>
      <w:r>
        <w:rPr>
          <w:sz w:val="20"/>
        </w:rPr>
        <w:t xml:space="preserve">ПРИ ФЕДЕРАЛЬНОМ АГЕНТСТВЕ ЖЕЛЕЗНОДОРОЖНОГО ТРАНСПОРТА,</w:t>
      </w:r>
    </w:p>
    <w:p>
      <w:pPr>
        <w:pStyle w:val="2"/>
        <w:jc w:val="center"/>
      </w:pPr>
      <w:r>
        <w:rPr>
          <w:sz w:val="20"/>
        </w:rPr>
        <w:t xml:space="preserve">И КАНДИДАТАМ В ЧЛЕНЫ ОБЩЕСТВЕННОГО СОВЕТА ПРИ ФЕДЕРАЛЬНОМ</w:t>
      </w:r>
    </w:p>
    <w:p>
      <w:pPr>
        <w:pStyle w:val="2"/>
        <w:jc w:val="center"/>
      </w:pPr>
      <w:r>
        <w:rPr>
          <w:sz w:val="20"/>
        </w:rPr>
        <w:t xml:space="preserve">АГЕНТСТВЕ ЖЕЛЕЗНОДОРОЖНОГО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Росжелдора от 27.10.2022 N 578 &quot;О внесении изменений в приложение N 1 &quot;Положение об Общественном совете при Федеральном агентстве железнодорожного транспорта к приказу Росжелдора от 9 сентября 2022 г. N 479 &quot;Об утверждении состава и Положения об Общественном совете при Федеральном агентстве железнодорожного транспорта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 {КонсультантПлюс}">
              <w:r>
                <w:rPr>
                  <w:sz w:val="20"/>
                  <w:color w:val="0000ff"/>
                </w:rPr>
                <w:t xml:space="preserve">Приказа</w:t>
              </w:r>
            </w:hyperlink>
            <w:r>
              <w:rPr>
                <w:sz w:val="20"/>
                <w:color w:val="392c69"/>
              </w:rPr>
              <w:t xml:space="preserve"> Росжелдора от 27.10.2022 N 578)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риказ Росжелдора от 19.10.2018 N 378 (ред. от 22.07.2021) &quot;Об утверждении Состава и положения об Общественном совете при Федеральном агентстве железнодорожного транспорта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железнодорожного транспорта, и кандидатам в члены Общественного совета при Федеральном агентстве железнодорожного транс ------------ Утратил силу или отменен {КонсультантПлюс}">
        <w:r>
          <w:rPr>
            <w:sz w:val="20"/>
            <w:color w:val="0000ff"/>
          </w:rPr>
          <w:t xml:space="preserve">Положением</w:t>
        </w:r>
      </w:hyperlink>
      <w:r>
        <w:rPr>
          <w:sz w:val="20"/>
        </w:rPr>
        <w:t xml:space="preserve"> об Общественном совете при Федеральном агентстве железнодорожного транспорта, утвержденным приказом Федерального агентства железнодорожного транспорта от 19.10.2018 N 378 (в редакции приказа Федерального агентства железнодорожного транспорта от 22.07.2021), в связи с обращением Общественной палаты Российской Федерации от 22.08.2022 N 7ОП-1/1651 и председателя Общественного совета при Федеральном агентстве железнодорожного транспорта, приказываю:</w:t>
      </w:r>
    </w:p>
    <w:p>
      <w:pPr>
        <w:pStyle w:val="0"/>
        <w:spacing w:before="200" w:line-rule="auto"/>
        <w:ind w:firstLine="540"/>
        <w:jc w:val="both"/>
      </w:pPr>
      <w:r>
        <w:rPr>
          <w:sz w:val="20"/>
        </w:rPr>
        <w:t xml:space="preserve">1. Утвердить Положение об Общественном совете при Федеральном агентстве железнодорожного транспорта согласно </w:t>
      </w:r>
      <w:hyperlink w:history="0" w:anchor="P41" w:tooltip="ПОЛОЖЕНИЕ">
        <w:r>
          <w:rPr>
            <w:sz w:val="20"/>
            <w:color w:val="0000ff"/>
          </w:rPr>
          <w:t xml:space="preserve">приложению N 1</w:t>
        </w:r>
      </w:hyperlink>
      <w:r>
        <w:rPr>
          <w:sz w:val="20"/>
        </w:rPr>
        <w:t xml:space="preserve"> к настоящему приказу.</w:t>
      </w:r>
    </w:p>
    <w:p>
      <w:pPr>
        <w:pStyle w:val="0"/>
        <w:spacing w:before="200" w:line-rule="auto"/>
        <w:ind w:firstLine="540"/>
        <w:jc w:val="both"/>
      </w:pPr>
      <w:r>
        <w:rPr>
          <w:sz w:val="20"/>
        </w:rPr>
        <w:t xml:space="preserve">2. Утвердить состав Общественного совета при Федеральном агентстве железнодорожного транспорта согласно </w:t>
      </w:r>
      <w:hyperlink w:history="0" w:anchor="P269" w:tooltip="ПЕРЕЧЕНЬ">
        <w:r>
          <w:rPr>
            <w:sz w:val="20"/>
            <w:color w:val="0000ff"/>
          </w:rPr>
          <w:t xml:space="preserve">приложению N 2</w:t>
        </w:r>
      </w:hyperlink>
      <w:r>
        <w:rPr>
          <w:sz w:val="20"/>
        </w:rPr>
        <w:t xml:space="preserve"> к настоящему приказу.</w:t>
      </w:r>
    </w:p>
    <w:p>
      <w:pPr>
        <w:pStyle w:val="0"/>
        <w:spacing w:before="200" w:line-rule="auto"/>
        <w:ind w:firstLine="540"/>
        <w:jc w:val="both"/>
      </w:pPr>
      <w:r>
        <w:rPr>
          <w:sz w:val="20"/>
        </w:rPr>
        <w:t xml:space="preserve">3. Утвердить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железнодорожного транспорта, и кандидатам в члены общественного совета при Федеральном агентстве железнодорожного транспорта согласно </w:t>
      </w:r>
      <w:hyperlink w:history="0" w:anchor="P360" w:tooltip="ДОПОЛНИТЕЛЬНЫЕ (СПЕЦИФИЧЕСКИЕ) ТРЕБОВАНИЯ">
        <w:r>
          <w:rPr>
            <w:sz w:val="20"/>
            <w:color w:val="0000ff"/>
          </w:rPr>
          <w:t xml:space="preserve">приложению N 3</w:t>
        </w:r>
      </w:hyperlink>
      <w:r>
        <w:rPr>
          <w:sz w:val="20"/>
        </w:rPr>
        <w:t xml:space="preserve"> к настоящему приказу.</w:t>
      </w:r>
    </w:p>
    <w:p>
      <w:pPr>
        <w:pStyle w:val="0"/>
        <w:spacing w:before="200" w:line-rule="auto"/>
        <w:ind w:firstLine="540"/>
        <w:jc w:val="both"/>
      </w:pPr>
      <w:r>
        <w:rPr>
          <w:sz w:val="20"/>
        </w:rPr>
        <w:t xml:space="preserve">4. Признать утратившим силу </w:t>
      </w:r>
      <w:hyperlink w:history="0" r:id="rId9" w:tooltip="Приказ Росжелдора от 19.10.2018 N 378 (ред. от 22.07.2021) &quot;Об утверждении Состава и положения об Общественном совете при Федеральном агентстве железнодорожного транспорта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железнодорожного транспорта, и кандидатам в члены Общественного совета при Федеральном агентстве железнодорожного транс ------------ Утратил силу или отменен {КонсультантПлюс}">
        <w:r>
          <w:rPr>
            <w:sz w:val="20"/>
            <w:color w:val="0000ff"/>
          </w:rPr>
          <w:t xml:space="preserve">приказ</w:t>
        </w:r>
      </w:hyperlink>
      <w:r>
        <w:rPr>
          <w:sz w:val="20"/>
        </w:rPr>
        <w:t xml:space="preserve"> Федерального агентства железнодорожного транспорта от 19.10.2018 N 378 "Об утверждении Состава и положения об Общественном совете при Федеральном агентстве железнодорожного транспорта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железнодорожного транспорта, и кандидатам в члены Общественного совета при Федеральном агентстве железнодорожного транспорта" и </w:t>
      </w:r>
      <w:hyperlink w:history="0" r:id="rId10" w:tooltip="Приказ Росжелдора от 22.07.2021 N 346 &quot;О внесении изменений в состав Общественного совета при Федеральном агентстве железнодорожного транспорта&quot; ------------ Утратил силу или отменен {КонсультантПлюс}">
        <w:r>
          <w:rPr>
            <w:sz w:val="20"/>
            <w:color w:val="0000ff"/>
          </w:rPr>
          <w:t xml:space="preserve">приказ</w:t>
        </w:r>
      </w:hyperlink>
      <w:r>
        <w:rPr>
          <w:sz w:val="20"/>
        </w:rPr>
        <w:t xml:space="preserve"> Федерального агентства железнодорожного транспорта от 22.07.2021 N 346 "О внесении изменений в состав Общественного совета при Федеральном агентстве железнодорожного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А.А.ДРУЖИНИН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Федерального агентства</w:t>
      </w:r>
    </w:p>
    <w:p>
      <w:pPr>
        <w:pStyle w:val="0"/>
        <w:jc w:val="right"/>
      </w:pPr>
      <w:r>
        <w:rPr>
          <w:sz w:val="20"/>
        </w:rPr>
        <w:t xml:space="preserve">железнодорожного транспорта</w:t>
      </w:r>
    </w:p>
    <w:p>
      <w:pPr>
        <w:pStyle w:val="0"/>
        <w:jc w:val="right"/>
      </w:pPr>
      <w:r>
        <w:rPr>
          <w:sz w:val="20"/>
        </w:rPr>
        <w:t xml:space="preserve">от 09.09.2022</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ФЕДЕРАЛЬНОМ АГЕНТСТВЕ</w:t>
      </w:r>
    </w:p>
    <w:p>
      <w:pPr>
        <w:pStyle w:val="2"/>
        <w:jc w:val="center"/>
      </w:pPr>
      <w:r>
        <w:rPr>
          <w:sz w:val="20"/>
        </w:rPr>
        <w:t xml:space="preserve">ЖЕЛЕЗНОДОРОЖНОГО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Росжелдора от 27.10.2022 N 578 &quot;О внесении изменений в приложение N 1 &quot;Положение об Общественном совете при Федеральном агентстве железнодорожного транспорта к приказу Росжелдора от 9 сентября 2022 г. N 479 &quot;Об утверждении состава и Положения об Общественном совете при Федеральном агентстве железнодорожного транспорта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 {КонсультантПлюс}">
              <w:r>
                <w:rPr>
                  <w:sz w:val="20"/>
                  <w:color w:val="0000ff"/>
                </w:rPr>
                <w:t xml:space="preserve">Приказа</w:t>
              </w:r>
            </w:hyperlink>
            <w:r>
              <w:rPr>
                <w:sz w:val="20"/>
                <w:color w:val="392c69"/>
              </w:rPr>
              <w:t xml:space="preserve"> Росжелдора от 27.10.2022 N 578)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Федеральном агентстве железнодорожного транспорта (далее - Положение) определяет компетенцию, порядок деятельности и формирования Общественного совета при Федеральном агентстве железнодорожного транспорта (далее - Общественный совет), порядок взаимодействия Федерального агентства железнодорожного транспорта (далее - Росжелдор)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Росжелдора, а также в целях осуществления общественного контроля за деятельностью Росжелдора.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Росжелдор в установленном им порядке.</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Росжелдора,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Росжелдора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Росжелдором;</w:t>
      </w:r>
    </w:p>
    <w:p>
      <w:pPr>
        <w:pStyle w:val="0"/>
        <w:spacing w:before="200" w:line-rule="auto"/>
        <w:ind w:firstLine="540"/>
        <w:jc w:val="both"/>
      </w:pPr>
      <w:r>
        <w:rPr>
          <w:sz w:val="20"/>
        </w:rPr>
        <w:t xml:space="preserve">2.2.2. участвовать в мониторинге качества оказания государственных услуг Росжелдора;</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Росжелдора;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Росжелдора,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Росжелдора и его территориальных подразделений;</w:t>
      </w:r>
    </w:p>
    <w:p>
      <w:pPr>
        <w:pStyle w:val="0"/>
        <w:spacing w:before="200" w:line-rule="auto"/>
        <w:ind w:firstLine="540"/>
        <w:jc w:val="both"/>
      </w:pPr>
      <w:r>
        <w:rPr>
          <w:sz w:val="20"/>
        </w:rPr>
        <w:t xml:space="preserve">2.3.3. участвовать в публичном обсуждении концепции открытости Росжелдора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Росжелдора;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Росжелдором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Концепцией открытости и рекомендациями по реализации принципов открытости в Росжелдоре:</w:t>
      </w:r>
    </w:p>
    <w:p>
      <w:pPr>
        <w:pStyle w:val="0"/>
        <w:spacing w:before="200" w:line-rule="auto"/>
        <w:ind w:firstLine="540"/>
        <w:jc w:val="both"/>
      </w:pPr>
      <w:r>
        <w:rPr>
          <w:sz w:val="20"/>
        </w:rPr>
        <w:t xml:space="preserve">- участвовать в разработке ведомственных планов по реализации Концепции открытости Росжелдора;</w:t>
      </w:r>
    </w:p>
    <w:p>
      <w:pPr>
        <w:pStyle w:val="0"/>
        <w:spacing w:before="200" w:line-rule="auto"/>
        <w:ind w:firstLine="540"/>
        <w:jc w:val="both"/>
      </w:pPr>
      <w:r>
        <w:rPr>
          <w:sz w:val="20"/>
        </w:rPr>
        <w:t xml:space="preserve">- утверждать результаты общественных обсуждений, решений и отчетов Росжелдора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руководителя Росжелдора и (или) публичного плана деятельности Росжелдора,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Росжелдора за отчетный год) доклада Росжелдора;</w:t>
      </w:r>
    </w:p>
    <w:p>
      <w:pPr>
        <w:pStyle w:val="0"/>
        <w:spacing w:before="200" w:line-rule="auto"/>
        <w:ind w:firstLine="540"/>
        <w:jc w:val="both"/>
      </w:pPr>
      <w:r>
        <w:rPr>
          <w:sz w:val="20"/>
        </w:rPr>
        <w:t xml:space="preserve">- осуществлять выборочный анализ качества ответов Росжелдора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Росжелдора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Росжелдора,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Росжелдора.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руководителей, заместителей руководителя, других должностных лиц Росжелдора,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Росжелдора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руководителем Росжелдора создавать в информационно-телекоммуникационной сети "Интернет" (далее - сеть Интернет) собственный сайт,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5"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16"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Росжелдора.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18 (восемнадцать) человек.</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Росжелдора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13"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Росжелдора.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Росжелдора. Росжелдор не позднее одного месяца со дня получения предложения совета Общественной палаты направляет в Общественную палату приказ Росжелдора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bookmarkStart w:id="105" w:name="P105"/>
    <w:bookmarkEnd w:id="105"/>
    <w:p>
      <w:pPr>
        <w:pStyle w:val="0"/>
        <w:spacing w:before="200" w:line-rule="auto"/>
        <w:ind w:firstLine="540"/>
        <w:jc w:val="both"/>
      </w:pPr>
      <w:r>
        <w:rPr>
          <w:sz w:val="20"/>
        </w:rPr>
        <w:t xml:space="preserve">3.9. Проект положения об Общественном совете разрабатывается Росжелдором на основании Стандарта деятельности общественного совета при федеральном органе исполнительной власти (Типового положения) и представляется на согласование в Общественную палату. Общественная палата согласовывает представленный проект или направляет в Росжелдор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приказом Росжелдора.</w:t>
      </w:r>
    </w:p>
    <w:p>
      <w:pPr>
        <w:pStyle w:val="0"/>
        <w:spacing w:before="200" w:line-rule="auto"/>
        <w:ind w:firstLine="540"/>
        <w:jc w:val="both"/>
      </w:pPr>
      <w:r>
        <w:rPr>
          <w:sz w:val="20"/>
        </w:rPr>
        <w:t xml:space="preserve">3.9.1. Внесение изменений (дополнений) в положение об Общественном совете осуществляется в порядке, предусмотренном </w:t>
      </w:r>
      <w:hyperlink w:history="0" w:anchor="P105" w:tooltip="3.9. Проект положения об Общественном совете разрабатывается Росжелдором на основании Стандарта деятельности общественного совета при федеральном органе исполнительной власти (Типового положения) и представляется на согласование в Общественную палату. Общественная палата согласовывает представленный проект или направляет в Росжелдор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приказом...">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Росжелдором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Руководитель Росжелдора вправе выступить с инициативой о создании Общественного совета. В таком случае не позднее тридцати дней с момента издания приказа Росжелдора о созыве Общественного совета руководитель Росжелдора направляет в Общественную палату названный приказ,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Росжелдор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приказа Росжелдора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13" w:name="P113"/>
    <w:bookmarkEnd w:id="113"/>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Росжелдора;</w:t>
      </w:r>
    </w:p>
    <w:p>
      <w:pPr>
        <w:pStyle w:val="0"/>
        <w:spacing w:before="200" w:line-rule="auto"/>
        <w:ind w:firstLine="540"/>
        <w:jc w:val="both"/>
      </w:pPr>
      <w:r>
        <w:rPr>
          <w:sz w:val="20"/>
        </w:rPr>
        <w:t xml:space="preserve">д) осуществлять деятельность в сфере полномочий Росжелдора.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17"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18"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при Росжелдоре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Росжелдора,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19"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руководителем Росжелдора;</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Росжелдоре,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Росжелдоре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 при Росжелдоре.</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Росжелдора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6)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Росжелдора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Росжелдором не допускается.</w:t>
      </w:r>
    </w:p>
    <w:p>
      <w:pPr>
        <w:pStyle w:val="0"/>
        <w:spacing w:before="200" w:line-rule="auto"/>
        <w:ind w:firstLine="540"/>
        <w:jc w:val="both"/>
      </w:pPr>
      <w:r>
        <w:rPr>
          <w:sz w:val="20"/>
        </w:rPr>
        <w:t xml:space="preserve">3.23. Утверждение руководителем Росжелдора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Росжелдор. В тот же срок руководитель Росжелдора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Росжелдора приказа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Росжелдора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54"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54" w:name="P154"/>
    <w:bookmarkEnd w:id="154"/>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60" w:name="P160"/>
    <w:bookmarkEnd w:id="160"/>
    <w:p>
      <w:pPr>
        <w:pStyle w:val="0"/>
        <w:spacing w:before="200" w:line-rule="auto"/>
        <w:ind w:firstLine="540"/>
        <w:jc w:val="both"/>
      </w:pPr>
      <w:r>
        <w:rPr>
          <w:sz w:val="20"/>
        </w:rPr>
        <w:t xml:space="preserve">6) грубого нарушения Кодекса этики члена Общественного совета при Росжелдоре;</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57"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Росжелдора.">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52"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60" w:tooltip="6) грубого нарушения Кодекса этики члена Общественного совета при Росжелдоре;">
        <w:r>
          <w:rPr>
            <w:sz w:val="20"/>
            <w:color w:val="0000ff"/>
          </w:rPr>
          <w:t xml:space="preserve">подпункте 6) пункта 3.27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приказом Росжелдора.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приказа Росжелдора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приказа Росжелдора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Росжелдора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Росжелдора.</w:t>
      </w:r>
    </w:p>
    <w:bookmarkStart w:id="172" w:name="P172"/>
    <w:bookmarkEnd w:id="172"/>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Росжелдора. В течение семи рабочих дней со дня поступления такого решения руководитель Росжелдора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настоящего Положения.</w:t>
      </w:r>
    </w:p>
    <w:p>
      <w:pPr>
        <w:pStyle w:val="0"/>
        <w:spacing w:before="200" w:line-rule="auto"/>
        <w:ind w:firstLine="540"/>
        <w:jc w:val="both"/>
      </w:pPr>
      <w:r>
        <w:rPr>
          <w:sz w:val="20"/>
        </w:rPr>
        <w:t xml:space="preserve">3.30.1. Руководитель Росжелдора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Росжелдора в соответствии с </w:t>
      </w:r>
      <w:hyperlink w:history="0" w:anchor="P172"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желдора. В течение семи рабочих дней со дня поступления такого решения руководитель Росжелдор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настоящего Положения.">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Росжелдора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Росжелдора.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Росжелдора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Росжелдора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Росжелдора в сети Интернет;</w:t>
      </w:r>
    </w:p>
    <w:p>
      <w:pPr>
        <w:pStyle w:val="0"/>
        <w:spacing w:before="200" w:line-rule="auto"/>
        <w:ind w:firstLine="540"/>
        <w:jc w:val="both"/>
      </w:pPr>
      <w:r>
        <w:rPr>
          <w:sz w:val="20"/>
        </w:rPr>
        <w:t xml:space="preserve">- взаимодействует с руководителем Росжелдора и должностными лицами (структурными подразделениями) Росжелдора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Росжелдора,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руководителем Росжелдора, в приеме граждан, осуществляемом должностными лицами Росжелдора;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Росжелдору, а также документы, касающиеся организационно-хозяйственной деятельности Росжелдора;</w:t>
      </w:r>
    </w:p>
    <w:p>
      <w:pPr>
        <w:pStyle w:val="0"/>
        <w:spacing w:before="200" w:line-rule="auto"/>
        <w:ind w:firstLine="540"/>
        <w:jc w:val="both"/>
      </w:pPr>
      <w:r>
        <w:rPr>
          <w:sz w:val="20"/>
        </w:rPr>
        <w:t xml:space="preserve">- оказывать Росжелдору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Росжелдора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w:t>
      </w:r>
      <w:hyperlink w:history="0" r:id="rId20" w:tooltip="&quot;Типовой кодекс этики и служебного поведения государственных служащих Российской Федерации и муниципальных служащих&quot; (одобрен решением президиума Совета при Президенте РФ по противодействию коррупции от 23 декабря 2010 г. (протокол N 21)) {КонсультантПлюс}">
        <w:r>
          <w:rPr>
            <w:sz w:val="20"/>
            <w:color w:val="0000ff"/>
          </w:rPr>
          <w:t xml:space="preserve">кодекса</w:t>
        </w:r>
      </w:hyperlink>
      <w:r>
        <w:rPr>
          <w:sz w:val="20"/>
        </w:rPr>
        <w:t xml:space="preserve"> этики Кодекс этики членов Общественного совета и представляет его на утверждение в Росжелдор.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Росжелдора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52" w:name="P252"/>
    <w:bookmarkEnd w:id="252"/>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57" w:name="P257"/>
    <w:bookmarkEnd w:id="257"/>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Росжелдора.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Федерального агентства</w:t>
      </w:r>
    </w:p>
    <w:p>
      <w:pPr>
        <w:pStyle w:val="0"/>
        <w:jc w:val="right"/>
      </w:pPr>
      <w:r>
        <w:rPr>
          <w:sz w:val="20"/>
        </w:rPr>
        <w:t xml:space="preserve">железнодорожного транспорта</w:t>
      </w:r>
    </w:p>
    <w:p>
      <w:pPr>
        <w:pStyle w:val="0"/>
        <w:jc w:val="right"/>
      </w:pPr>
      <w:r>
        <w:rPr>
          <w:sz w:val="20"/>
        </w:rPr>
        <w:t xml:space="preserve">от 09.09.2022</w:t>
      </w:r>
    </w:p>
    <w:p>
      <w:pPr>
        <w:pStyle w:val="0"/>
        <w:jc w:val="both"/>
      </w:pPr>
      <w:r>
        <w:rPr>
          <w:sz w:val="20"/>
        </w:rPr>
      </w:r>
    </w:p>
    <w:bookmarkStart w:id="269" w:name="P269"/>
    <w:bookmarkEnd w:id="269"/>
    <w:p>
      <w:pPr>
        <w:pStyle w:val="2"/>
        <w:jc w:val="center"/>
      </w:pPr>
      <w:r>
        <w:rPr>
          <w:sz w:val="20"/>
        </w:rPr>
        <w:t xml:space="preserve">ПЕРЕЧЕНЬ</w:t>
      </w:r>
    </w:p>
    <w:p>
      <w:pPr>
        <w:pStyle w:val="2"/>
        <w:jc w:val="center"/>
      </w:pPr>
      <w:r>
        <w:rPr>
          <w:sz w:val="20"/>
        </w:rPr>
        <w:t xml:space="preserve">ОТОБРАННЫХ КАНДИДАТОВ И ОРГАНИЗАЦИЙ, ИХ ВЫДВИГАЮЩИХ,</w:t>
      </w:r>
    </w:p>
    <w:p>
      <w:pPr>
        <w:pStyle w:val="2"/>
        <w:jc w:val="center"/>
      </w:pPr>
      <w:r>
        <w:rPr>
          <w:sz w:val="20"/>
        </w:rPr>
        <w:t xml:space="preserve">В СОСТАВ ОБЩЕСТВЕННОГО СОВЕТА ПРИ ФЕДЕРАЛЬНОМ АГЕНТСТВЕ</w:t>
      </w:r>
    </w:p>
    <w:p>
      <w:pPr>
        <w:pStyle w:val="2"/>
        <w:jc w:val="center"/>
      </w:pPr>
      <w:r>
        <w:rPr>
          <w:sz w:val="20"/>
        </w:rPr>
        <w:t xml:space="preserve">ЖЕЛЕЗНОДОРОЖНОГО ТРАНСПОРТА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2835"/>
        <w:gridCol w:w="5669"/>
      </w:tblGrid>
      <w:tr>
        <w:tc>
          <w:tcPr>
            <w:tcW w:w="567" w:type="dxa"/>
            <w:tcBorders>
              <w:top w:val="nil"/>
              <w:left w:val="nil"/>
              <w:bottom w:val="nil"/>
              <w:right w:val="nil"/>
            </w:tcBorders>
          </w:tcPr>
          <w:p>
            <w:pPr>
              <w:pStyle w:val="0"/>
              <w:jc w:val="center"/>
            </w:pPr>
            <w:r>
              <w:rPr>
                <w:sz w:val="20"/>
              </w:rPr>
              <w:t xml:space="preserve">N</w:t>
            </w:r>
          </w:p>
        </w:tc>
        <w:tc>
          <w:tcPr>
            <w:tcW w:w="2835" w:type="dxa"/>
            <w:tcBorders>
              <w:top w:val="nil"/>
              <w:left w:val="nil"/>
              <w:bottom w:val="nil"/>
              <w:right w:val="nil"/>
            </w:tcBorders>
          </w:tcPr>
          <w:p>
            <w:pPr>
              <w:pStyle w:val="0"/>
              <w:jc w:val="center"/>
            </w:pPr>
            <w:r>
              <w:rPr>
                <w:sz w:val="20"/>
              </w:rPr>
              <w:t xml:space="preserve">Фамилия, имя, отчество кандидата</w:t>
            </w:r>
          </w:p>
        </w:tc>
        <w:tc>
          <w:tcPr>
            <w:tcW w:w="5669" w:type="dxa"/>
            <w:tcBorders>
              <w:top w:val="nil"/>
              <w:left w:val="nil"/>
              <w:bottom w:val="nil"/>
              <w:right w:val="nil"/>
            </w:tcBorders>
          </w:tcPr>
          <w:p>
            <w:pPr>
              <w:pStyle w:val="0"/>
              <w:jc w:val="center"/>
            </w:pPr>
            <w:r>
              <w:rPr>
                <w:sz w:val="20"/>
              </w:rPr>
              <w:t xml:space="preserve">Организация, выдвигающая кандидата</w:t>
            </w:r>
          </w:p>
        </w:tc>
      </w:tr>
      <w:tr>
        <w:tc>
          <w:tcPr>
            <w:tcW w:w="567" w:type="dxa"/>
            <w:tcBorders>
              <w:top w:val="nil"/>
              <w:left w:val="nil"/>
              <w:bottom w:val="nil"/>
              <w:right w:val="nil"/>
            </w:tcBorders>
          </w:tcPr>
          <w:p>
            <w:pPr>
              <w:pStyle w:val="0"/>
            </w:pPr>
            <w:r>
              <w:rPr>
                <w:sz w:val="20"/>
              </w:rPr>
              <w:t xml:space="preserve">1.</w:t>
            </w:r>
          </w:p>
        </w:tc>
        <w:tc>
          <w:tcPr>
            <w:tcW w:w="2835" w:type="dxa"/>
            <w:tcBorders>
              <w:top w:val="nil"/>
              <w:left w:val="nil"/>
              <w:bottom w:val="nil"/>
              <w:right w:val="nil"/>
            </w:tcBorders>
          </w:tcPr>
          <w:p>
            <w:pPr>
              <w:pStyle w:val="0"/>
            </w:pPr>
            <w:r>
              <w:rPr>
                <w:sz w:val="20"/>
              </w:rPr>
              <w:t xml:space="preserve">АРУТЮНОВ</w:t>
            </w:r>
          </w:p>
          <w:p>
            <w:pPr>
              <w:pStyle w:val="0"/>
            </w:pPr>
            <w:r>
              <w:rPr>
                <w:sz w:val="20"/>
              </w:rPr>
              <w:t xml:space="preserve">Тимур Эрнестович</w:t>
            </w:r>
          </w:p>
        </w:tc>
        <w:tc>
          <w:tcPr>
            <w:tcW w:w="5669" w:type="dxa"/>
            <w:vAlign w:val="center"/>
            <w:tcBorders>
              <w:top w:val="nil"/>
              <w:left w:val="nil"/>
              <w:bottom w:val="nil"/>
              <w:right w:val="nil"/>
            </w:tcBorders>
          </w:tcPr>
          <w:p>
            <w:pPr>
              <w:pStyle w:val="0"/>
            </w:pPr>
            <w:r>
              <w:rPr>
                <w:sz w:val="20"/>
              </w:rPr>
              <w:t xml:space="preserve">НАЦИОНАЛЬНАЯ АССОЦИАЦИЯ ОПТОВО-РАСПРЕДЕЛИТЕЛЬНЫХ ЦЕНТРОВ</w:t>
            </w:r>
          </w:p>
        </w:tc>
      </w:tr>
      <w:tr>
        <w:tc>
          <w:tcPr>
            <w:tcW w:w="567" w:type="dxa"/>
            <w:tcBorders>
              <w:top w:val="nil"/>
              <w:left w:val="nil"/>
              <w:bottom w:val="nil"/>
              <w:right w:val="nil"/>
            </w:tcBorders>
          </w:tcPr>
          <w:p>
            <w:pPr>
              <w:pStyle w:val="0"/>
            </w:pPr>
            <w:r>
              <w:rPr>
                <w:sz w:val="20"/>
              </w:rPr>
              <w:t xml:space="preserve">2.</w:t>
            </w:r>
          </w:p>
        </w:tc>
        <w:tc>
          <w:tcPr>
            <w:tcW w:w="2835" w:type="dxa"/>
            <w:tcBorders>
              <w:top w:val="nil"/>
              <w:left w:val="nil"/>
              <w:bottom w:val="nil"/>
              <w:right w:val="nil"/>
            </w:tcBorders>
          </w:tcPr>
          <w:p>
            <w:pPr>
              <w:pStyle w:val="0"/>
            </w:pPr>
            <w:r>
              <w:rPr>
                <w:sz w:val="20"/>
              </w:rPr>
              <w:t xml:space="preserve">БЕРЕЗИН</w:t>
            </w:r>
          </w:p>
          <w:p>
            <w:pPr>
              <w:pStyle w:val="0"/>
            </w:pPr>
            <w:r>
              <w:rPr>
                <w:sz w:val="20"/>
              </w:rPr>
              <w:t xml:space="preserve">Николай Леонидович</w:t>
            </w:r>
          </w:p>
        </w:tc>
        <w:tc>
          <w:tcPr>
            <w:tcW w:w="5669" w:type="dxa"/>
            <w:vAlign w:val="center"/>
            <w:tcBorders>
              <w:top w:val="nil"/>
              <w:left w:val="nil"/>
              <w:bottom w:val="nil"/>
              <w:right w:val="nil"/>
            </w:tcBorders>
          </w:tcPr>
          <w:p>
            <w:pPr>
              <w:pStyle w:val="0"/>
            </w:pPr>
            <w:r>
              <w:rPr>
                <w:sz w:val="20"/>
              </w:rPr>
              <w:t xml:space="preserve">АССОЦИАЦИЯ УЧАСТНИКОВ РЫНКА ПАССАЖИРСКИХ ПЕРЕВОЗОК, СЕРВИСА, ТУРИЗМА, ЖЕЛЕЗНОДОРОЖНОЙ ТЕХНИКИ И ТЕХНОЛОГИЙ "ЖЕЛДОРРАЗВИТИЕ"</w:t>
            </w:r>
          </w:p>
        </w:tc>
      </w:tr>
      <w:tr>
        <w:tc>
          <w:tcPr>
            <w:tcW w:w="567" w:type="dxa"/>
            <w:tcBorders>
              <w:top w:val="nil"/>
              <w:left w:val="nil"/>
              <w:bottom w:val="nil"/>
              <w:right w:val="nil"/>
            </w:tcBorders>
          </w:tcPr>
          <w:p>
            <w:pPr>
              <w:pStyle w:val="0"/>
            </w:pPr>
            <w:r>
              <w:rPr>
                <w:sz w:val="20"/>
              </w:rPr>
              <w:t xml:space="preserve">3.</w:t>
            </w:r>
          </w:p>
        </w:tc>
        <w:tc>
          <w:tcPr>
            <w:tcW w:w="2835" w:type="dxa"/>
            <w:tcBorders>
              <w:top w:val="nil"/>
              <w:left w:val="nil"/>
              <w:bottom w:val="nil"/>
              <w:right w:val="nil"/>
            </w:tcBorders>
          </w:tcPr>
          <w:p>
            <w:pPr>
              <w:pStyle w:val="0"/>
            </w:pPr>
            <w:r>
              <w:rPr>
                <w:sz w:val="20"/>
              </w:rPr>
              <w:t xml:space="preserve">ГОЛОПОЛОСОВ</w:t>
            </w:r>
          </w:p>
          <w:p>
            <w:pPr>
              <w:pStyle w:val="0"/>
            </w:pPr>
            <w:r>
              <w:rPr>
                <w:sz w:val="20"/>
              </w:rPr>
              <w:t xml:space="preserve">Дмитрий Владимирович</w:t>
            </w:r>
          </w:p>
        </w:tc>
        <w:tc>
          <w:tcPr>
            <w:tcW w:w="5669" w:type="dxa"/>
            <w:vAlign w:val="center"/>
            <w:tcBorders>
              <w:top w:val="nil"/>
              <w:left w:val="nil"/>
              <w:bottom w:val="nil"/>
              <w:right w:val="nil"/>
            </w:tcBorders>
          </w:tcPr>
          <w:p>
            <w:pPr>
              <w:pStyle w:val="0"/>
            </w:pPr>
            <w:r>
              <w:rPr>
                <w:sz w:val="20"/>
              </w:rPr>
              <w:t xml:space="preserve">АССОЦИАЦИЯ НЕКОММЕРЧЕСКАЯ ОРГАНИЗАЦИЯ "РУССКАЯ ИНТЕРМОДАЛЬНАЯ ЛОГИСТИЧЕСКАЯ АССОЦИАЦИЯ"</w:t>
            </w:r>
          </w:p>
        </w:tc>
      </w:tr>
      <w:tr>
        <w:tc>
          <w:tcPr>
            <w:tcW w:w="567" w:type="dxa"/>
            <w:tcBorders>
              <w:top w:val="nil"/>
              <w:left w:val="nil"/>
              <w:bottom w:val="nil"/>
              <w:right w:val="nil"/>
            </w:tcBorders>
          </w:tcPr>
          <w:p>
            <w:pPr>
              <w:pStyle w:val="0"/>
            </w:pPr>
            <w:r>
              <w:rPr>
                <w:sz w:val="20"/>
              </w:rPr>
              <w:t xml:space="preserve">4.</w:t>
            </w:r>
          </w:p>
        </w:tc>
        <w:tc>
          <w:tcPr>
            <w:tcW w:w="2835" w:type="dxa"/>
            <w:tcBorders>
              <w:top w:val="nil"/>
              <w:left w:val="nil"/>
              <w:bottom w:val="nil"/>
              <w:right w:val="nil"/>
            </w:tcBorders>
          </w:tcPr>
          <w:p>
            <w:pPr>
              <w:pStyle w:val="0"/>
            </w:pPr>
            <w:r>
              <w:rPr>
                <w:sz w:val="20"/>
              </w:rPr>
              <w:t xml:space="preserve">ДАНИЛОВ</w:t>
            </w:r>
          </w:p>
          <w:p>
            <w:pPr>
              <w:pStyle w:val="0"/>
            </w:pPr>
            <w:r>
              <w:rPr>
                <w:sz w:val="20"/>
              </w:rPr>
              <w:t xml:space="preserve">Юрий Вячеславович</w:t>
            </w:r>
          </w:p>
        </w:tc>
        <w:tc>
          <w:tcPr>
            <w:tcW w:w="5669" w:type="dxa"/>
            <w:vAlign w:val="center"/>
            <w:tcBorders>
              <w:top w:val="nil"/>
              <w:left w:val="nil"/>
              <w:bottom w:val="nil"/>
              <w:right w:val="nil"/>
            </w:tcBorders>
          </w:tcPr>
          <w:p>
            <w:pPr>
              <w:pStyle w:val="0"/>
            </w:pPr>
            <w:r>
              <w:rPr>
                <w:sz w:val="20"/>
              </w:rPr>
              <w:t xml:space="preserve">ОБЩЕРОССИЙСКАЯ ОБЩЕСТВЕННАЯ ОРГАНИЗАЦИЯ "ДЕЛОВАЯ РОССИЯ"</w:t>
            </w:r>
          </w:p>
        </w:tc>
      </w:tr>
      <w:tr>
        <w:tc>
          <w:tcPr>
            <w:tcW w:w="567" w:type="dxa"/>
            <w:tcBorders>
              <w:top w:val="nil"/>
              <w:left w:val="nil"/>
              <w:bottom w:val="nil"/>
              <w:right w:val="nil"/>
            </w:tcBorders>
          </w:tcPr>
          <w:p>
            <w:pPr>
              <w:pStyle w:val="0"/>
            </w:pPr>
            <w:r>
              <w:rPr>
                <w:sz w:val="20"/>
              </w:rPr>
              <w:t xml:space="preserve">5.</w:t>
            </w:r>
          </w:p>
        </w:tc>
        <w:tc>
          <w:tcPr>
            <w:tcW w:w="2835" w:type="dxa"/>
            <w:tcBorders>
              <w:top w:val="nil"/>
              <w:left w:val="nil"/>
              <w:bottom w:val="nil"/>
              <w:right w:val="nil"/>
            </w:tcBorders>
          </w:tcPr>
          <w:p>
            <w:pPr>
              <w:pStyle w:val="0"/>
            </w:pPr>
            <w:r>
              <w:rPr>
                <w:sz w:val="20"/>
              </w:rPr>
              <w:t xml:space="preserve">КИМ</w:t>
            </w:r>
          </w:p>
          <w:p>
            <w:pPr>
              <w:pStyle w:val="0"/>
            </w:pPr>
            <w:r>
              <w:rPr>
                <w:sz w:val="20"/>
              </w:rPr>
              <w:t xml:space="preserve">Константин Константинович</w:t>
            </w:r>
          </w:p>
        </w:tc>
        <w:tc>
          <w:tcPr>
            <w:tcW w:w="5669" w:type="dxa"/>
            <w:vAlign w:val="center"/>
            <w:tcBorders>
              <w:top w:val="nil"/>
              <w:left w:val="nil"/>
              <w:bottom w:val="nil"/>
              <w:right w:val="nil"/>
            </w:tcBorders>
          </w:tcPr>
          <w:p>
            <w:pPr>
              <w:pStyle w:val="0"/>
            </w:pPr>
            <w:r>
              <w:rPr>
                <w:sz w:val="20"/>
              </w:rPr>
              <w:t xml:space="preserve">ПЕРВИЧНАЯ ПРОФСОЮЗНАЯ ОРГАНИЗАЦИЯ СОТРУДНИКОВ ПЕТЕРБУРГСКОГО ГОСУДАРСТВЕННОГО УНИВЕРСИТЕТА ПУТЕЙ СООБЩЕНИЯ РОССИЙСКОГО ПРОФЕССИОНАЛЬНОГО СОЮЗА ЖЕЛЕЗНОДОРОЖНИКОВ И ТРАНСПОРТНЫХ СТРОИТЕЛЕЙ</w:t>
            </w:r>
          </w:p>
        </w:tc>
      </w:tr>
      <w:tr>
        <w:tc>
          <w:tcPr>
            <w:tcW w:w="567" w:type="dxa"/>
            <w:tcBorders>
              <w:top w:val="nil"/>
              <w:left w:val="nil"/>
              <w:bottom w:val="nil"/>
              <w:right w:val="nil"/>
            </w:tcBorders>
          </w:tcPr>
          <w:p>
            <w:pPr>
              <w:pStyle w:val="0"/>
            </w:pPr>
            <w:r>
              <w:rPr>
                <w:sz w:val="20"/>
              </w:rPr>
              <w:t xml:space="preserve">6.</w:t>
            </w:r>
          </w:p>
        </w:tc>
        <w:tc>
          <w:tcPr>
            <w:tcW w:w="2835" w:type="dxa"/>
            <w:tcBorders>
              <w:top w:val="nil"/>
              <w:left w:val="nil"/>
              <w:bottom w:val="nil"/>
              <w:right w:val="nil"/>
            </w:tcBorders>
          </w:tcPr>
          <w:p>
            <w:pPr>
              <w:pStyle w:val="0"/>
            </w:pPr>
            <w:r>
              <w:rPr>
                <w:sz w:val="20"/>
              </w:rPr>
              <w:t xml:space="preserve">МАНЯХИН</w:t>
            </w:r>
          </w:p>
          <w:p>
            <w:pPr>
              <w:pStyle w:val="0"/>
            </w:pPr>
            <w:r>
              <w:rPr>
                <w:sz w:val="20"/>
              </w:rPr>
              <w:t xml:space="preserve">Александр Юрьевич</w:t>
            </w:r>
          </w:p>
        </w:tc>
        <w:tc>
          <w:tcPr>
            <w:tcW w:w="5669" w:type="dxa"/>
            <w:vAlign w:val="center"/>
            <w:tcBorders>
              <w:top w:val="nil"/>
              <w:left w:val="nil"/>
              <w:bottom w:val="nil"/>
              <w:right w:val="nil"/>
            </w:tcBorders>
          </w:tcPr>
          <w:p>
            <w:pPr>
              <w:pStyle w:val="0"/>
            </w:pPr>
            <w:r>
              <w:rPr>
                <w:sz w:val="20"/>
              </w:rPr>
              <w:t xml:space="preserve">ТОРГОВО-ПРОМЫШЛЕННАЯ ПАЛАТА РОССИЙСКОЙ ФЕДЕРАЦИИ</w:t>
            </w:r>
          </w:p>
        </w:tc>
      </w:tr>
      <w:tr>
        <w:tc>
          <w:tcPr>
            <w:tcW w:w="567" w:type="dxa"/>
            <w:tcBorders>
              <w:top w:val="nil"/>
              <w:left w:val="nil"/>
              <w:bottom w:val="nil"/>
              <w:right w:val="nil"/>
            </w:tcBorders>
          </w:tcPr>
          <w:p>
            <w:pPr>
              <w:pStyle w:val="0"/>
            </w:pPr>
            <w:r>
              <w:rPr>
                <w:sz w:val="20"/>
              </w:rPr>
              <w:t xml:space="preserve">7.</w:t>
            </w:r>
          </w:p>
        </w:tc>
        <w:tc>
          <w:tcPr>
            <w:tcW w:w="2835" w:type="dxa"/>
            <w:tcBorders>
              <w:top w:val="nil"/>
              <w:left w:val="nil"/>
              <w:bottom w:val="nil"/>
              <w:right w:val="nil"/>
            </w:tcBorders>
          </w:tcPr>
          <w:p>
            <w:pPr>
              <w:pStyle w:val="0"/>
            </w:pPr>
            <w:r>
              <w:rPr>
                <w:sz w:val="20"/>
              </w:rPr>
              <w:t xml:space="preserve">ПИНДЮРИНА</w:t>
            </w:r>
          </w:p>
          <w:p>
            <w:pPr>
              <w:pStyle w:val="0"/>
            </w:pPr>
            <w:r>
              <w:rPr>
                <w:sz w:val="20"/>
              </w:rPr>
              <w:t xml:space="preserve">Юлия Владимировна</w:t>
            </w:r>
          </w:p>
        </w:tc>
        <w:tc>
          <w:tcPr>
            <w:tcW w:w="5669" w:type="dxa"/>
            <w:vAlign w:val="center"/>
            <w:tcBorders>
              <w:top w:val="nil"/>
              <w:left w:val="nil"/>
              <w:bottom w:val="nil"/>
              <w:right w:val="nil"/>
            </w:tcBorders>
          </w:tcPr>
          <w:p>
            <w:pPr>
              <w:pStyle w:val="0"/>
            </w:pPr>
            <w:r>
              <w:rPr>
                <w:sz w:val="20"/>
              </w:rPr>
              <w:t xml:space="preserve">АССОЦИАЦИЯ ПРОФЕССИОНАЛЬНЫХ ДИРЕКТОРОВ АНД</w:t>
            </w:r>
          </w:p>
        </w:tc>
      </w:tr>
      <w:tr>
        <w:tc>
          <w:tcPr>
            <w:tcW w:w="567" w:type="dxa"/>
            <w:tcBorders>
              <w:top w:val="nil"/>
              <w:left w:val="nil"/>
              <w:bottom w:val="nil"/>
              <w:right w:val="nil"/>
            </w:tcBorders>
          </w:tcPr>
          <w:p>
            <w:pPr>
              <w:pStyle w:val="0"/>
            </w:pPr>
            <w:r>
              <w:rPr>
                <w:sz w:val="20"/>
              </w:rPr>
              <w:t xml:space="preserve">8.</w:t>
            </w:r>
          </w:p>
        </w:tc>
        <w:tc>
          <w:tcPr>
            <w:tcW w:w="2835" w:type="dxa"/>
            <w:tcBorders>
              <w:top w:val="nil"/>
              <w:left w:val="nil"/>
              <w:bottom w:val="nil"/>
              <w:right w:val="nil"/>
            </w:tcBorders>
          </w:tcPr>
          <w:p>
            <w:pPr>
              <w:pStyle w:val="0"/>
            </w:pPr>
            <w:r>
              <w:rPr>
                <w:sz w:val="20"/>
              </w:rPr>
              <w:t xml:space="preserve">РОЕНКОВ</w:t>
            </w:r>
          </w:p>
          <w:p>
            <w:pPr>
              <w:pStyle w:val="0"/>
            </w:pPr>
            <w:r>
              <w:rPr>
                <w:sz w:val="20"/>
              </w:rPr>
              <w:t xml:space="preserve">Дмитрий Николаевич</w:t>
            </w:r>
          </w:p>
        </w:tc>
        <w:tc>
          <w:tcPr>
            <w:tcW w:w="5669" w:type="dxa"/>
            <w:vAlign w:val="center"/>
            <w:tcBorders>
              <w:top w:val="nil"/>
              <w:left w:val="nil"/>
              <w:bottom w:val="nil"/>
              <w:right w:val="nil"/>
            </w:tcBorders>
          </w:tcPr>
          <w:p>
            <w:pPr>
              <w:pStyle w:val="0"/>
            </w:pPr>
            <w:r>
              <w:rPr>
                <w:sz w:val="20"/>
              </w:rPr>
              <w:t xml:space="preserve">ДОРОЖНАЯ ТЕРРИТОРИАЛЬНАЯ ОРГАНИЗАЦИЯ РОССИЙСКОГО ПРОФСОЮЗА ЖЕЛЕЗНОДОРОЖНИКОВ И ТРАНСПОРТНЫХ СТРОИТЕЛЕЙ (РОСПРОФЖЕЛ) НА ОКТЯБРЬСКОЙ ЖЕЛЕЗНОЙ ДОРОГЕ</w:t>
            </w:r>
          </w:p>
        </w:tc>
      </w:tr>
      <w:tr>
        <w:tc>
          <w:tcPr>
            <w:tcW w:w="567" w:type="dxa"/>
            <w:tcBorders>
              <w:top w:val="nil"/>
              <w:left w:val="nil"/>
              <w:bottom w:val="nil"/>
              <w:right w:val="nil"/>
            </w:tcBorders>
          </w:tcPr>
          <w:p>
            <w:pPr>
              <w:pStyle w:val="0"/>
            </w:pPr>
            <w:r>
              <w:rPr>
                <w:sz w:val="20"/>
              </w:rPr>
              <w:t xml:space="preserve">9.</w:t>
            </w:r>
          </w:p>
        </w:tc>
        <w:tc>
          <w:tcPr>
            <w:tcW w:w="2835" w:type="dxa"/>
            <w:tcBorders>
              <w:top w:val="nil"/>
              <w:left w:val="nil"/>
              <w:bottom w:val="nil"/>
              <w:right w:val="nil"/>
            </w:tcBorders>
          </w:tcPr>
          <w:p>
            <w:pPr>
              <w:pStyle w:val="0"/>
            </w:pPr>
            <w:r>
              <w:rPr>
                <w:sz w:val="20"/>
              </w:rPr>
              <w:t xml:space="preserve">САНКОВСКИЙ</w:t>
            </w:r>
          </w:p>
          <w:p>
            <w:pPr>
              <w:pStyle w:val="0"/>
            </w:pPr>
            <w:r>
              <w:rPr>
                <w:sz w:val="20"/>
              </w:rPr>
              <w:t xml:space="preserve">Игорь Святославович</w:t>
            </w:r>
          </w:p>
        </w:tc>
        <w:tc>
          <w:tcPr>
            <w:tcW w:w="5669" w:type="dxa"/>
            <w:vAlign w:val="center"/>
            <w:tcBorders>
              <w:top w:val="nil"/>
              <w:left w:val="nil"/>
              <w:bottom w:val="nil"/>
              <w:right w:val="nil"/>
            </w:tcBorders>
          </w:tcPr>
          <w:p>
            <w:pPr>
              <w:pStyle w:val="0"/>
            </w:pPr>
            <w:r>
              <w:rPr>
                <w:sz w:val="20"/>
              </w:rPr>
              <w:t xml:space="preserve">ТОРГОВО-ПРОМЫШЛЕННАЯ ПАЛАТА РОССИЙСКОЙ ФЕДЕРАЦИИ</w:t>
            </w:r>
          </w:p>
        </w:tc>
      </w:tr>
      <w:tr>
        <w:tc>
          <w:tcPr>
            <w:tcW w:w="567" w:type="dxa"/>
            <w:tcBorders>
              <w:top w:val="nil"/>
              <w:left w:val="nil"/>
              <w:bottom w:val="nil"/>
              <w:right w:val="nil"/>
            </w:tcBorders>
          </w:tcPr>
          <w:p>
            <w:pPr>
              <w:pStyle w:val="0"/>
            </w:pPr>
            <w:r>
              <w:rPr>
                <w:sz w:val="20"/>
              </w:rPr>
              <w:t xml:space="preserve">10.</w:t>
            </w:r>
          </w:p>
        </w:tc>
        <w:tc>
          <w:tcPr>
            <w:tcW w:w="2835" w:type="dxa"/>
            <w:tcBorders>
              <w:top w:val="nil"/>
              <w:left w:val="nil"/>
              <w:bottom w:val="nil"/>
              <w:right w:val="nil"/>
            </w:tcBorders>
          </w:tcPr>
          <w:p>
            <w:pPr>
              <w:pStyle w:val="0"/>
            </w:pPr>
            <w:r>
              <w:rPr>
                <w:sz w:val="20"/>
              </w:rPr>
              <w:t xml:space="preserve">СЕРГЕВНИН</w:t>
            </w:r>
          </w:p>
          <w:p>
            <w:pPr>
              <w:pStyle w:val="0"/>
            </w:pPr>
            <w:r>
              <w:rPr>
                <w:sz w:val="20"/>
              </w:rPr>
              <w:t xml:space="preserve">Григорий Геннадьевич</w:t>
            </w:r>
          </w:p>
        </w:tc>
        <w:tc>
          <w:tcPr>
            <w:tcW w:w="5669" w:type="dxa"/>
            <w:vAlign w:val="center"/>
            <w:tcBorders>
              <w:top w:val="nil"/>
              <w:left w:val="nil"/>
              <w:bottom w:val="nil"/>
              <w:right w:val="nil"/>
            </w:tcBorders>
          </w:tcPr>
          <w:p>
            <w:pPr>
              <w:pStyle w:val="0"/>
            </w:pPr>
            <w:r>
              <w:rPr>
                <w:sz w:val="20"/>
              </w:rPr>
              <w:t xml:space="preserve">ОБЩЕРОССИЙСКАЯ ОБЩЕСТВЕННАЯ ОРГАНИЗАЦИЯ "РОССИЙСКИЙ СОЮЗ ПРОМЫШЛЕННИКОВ И ПРЕДПРИНИМАТЕЛЕЙ"</w:t>
            </w:r>
          </w:p>
        </w:tc>
      </w:tr>
      <w:tr>
        <w:tc>
          <w:tcPr>
            <w:tcW w:w="567" w:type="dxa"/>
            <w:tcBorders>
              <w:top w:val="nil"/>
              <w:left w:val="nil"/>
              <w:bottom w:val="nil"/>
              <w:right w:val="nil"/>
            </w:tcBorders>
          </w:tcPr>
          <w:p>
            <w:pPr>
              <w:pStyle w:val="0"/>
            </w:pPr>
            <w:r>
              <w:rPr>
                <w:sz w:val="20"/>
              </w:rPr>
              <w:t xml:space="preserve">11.</w:t>
            </w:r>
          </w:p>
        </w:tc>
        <w:tc>
          <w:tcPr>
            <w:tcW w:w="2835" w:type="dxa"/>
            <w:tcBorders>
              <w:top w:val="nil"/>
              <w:left w:val="nil"/>
              <w:bottom w:val="nil"/>
              <w:right w:val="nil"/>
            </w:tcBorders>
          </w:tcPr>
          <w:p>
            <w:pPr>
              <w:pStyle w:val="0"/>
            </w:pPr>
            <w:r>
              <w:rPr>
                <w:sz w:val="20"/>
              </w:rPr>
              <w:t xml:space="preserve">СТЕПАНЕНКО</w:t>
            </w:r>
          </w:p>
          <w:p>
            <w:pPr>
              <w:pStyle w:val="0"/>
            </w:pPr>
            <w:r>
              <w:rPr>
                <w:sz w:val="20"/>
              </w:rPr>
              <w:t xml:space="preserve">Алексей Витальевич</w:t>
            </w:r>
          </w:p>
        </w:tc>
        <w:tc>
          <w:tcPr>
            <w:tcW w:w="5669" w:type="dxa"/>
            <w:vAlign w:val="center"/>
            <w:tcBorders>
              <w:top w:val="nil"/>
              <w:left w:val="nil"/>
              <w:bottom w:val="nil"/>
              <w:right w:val="nil"/>
            </w:tcBorders>
          </w:tcPr>
          <w:p>
            <w:pPr>
              <w:pStyle w:val="0"/>
            </w:pPr>
            <w:r>
              <w:rPr>
                <w:sz w:val="20"/>
              </w:rPr>
              <w:t xml:space="preserve">СОЮЗ СТРОИТЕЛЕЙ ЖЕЛЕЗНЫХ ДОРОГ</w:t>
            </w:r>
          </w:p>
        </w:tc>
      </w:tr>
      <w:tr>
        <w:tc>
          <w:tcPr>
            <w:tcW w:w="567" w:type="dxa"/>
            <w:tcBorders>
              <w:top w:val="nil"/>
              <w:left w:val="nil"/>
              <w:bottom w:val="nil"/>
              <w:right w:val="nil"/>
            </w:tcBorders>
          </w:tcPr>
          <w:p>
            <w:pPr>
              <w:pStyle w:val="0"/>
            </w:pPr>
            <w:r>
              <w:rPr>
                <w:sz w:val="20"/>
              </w:rPr>
              <w:t xml:space="preserve">12.</w:t>
            </w:r>
          </w:p>
        </w:tc>
        <w:tc>
          <w:tcPr>
            <w:tcW w:w="2835" w:type="dxa"/>
            <w:tcBorders>
              <w:top w:val="nil"/>
              <w:left w:val="nil"/>
              <w:bottom w:val="nil"/>
              <w:right w:val="nil"/>
            </w:tcBorders>
          </w:tcPr>
          <w:p>
            <w:pPr>
              <w:pStyle w:val="0"/>
            </w:pPr>
            <w:r>
              <w:rPr>
                <w:sz w:val="20"/>
              </w:rPr>
              <w:t xml:space="preserve">СТРОКОВА</w:t>
            </w:r>
          </w:p>
          <w:p>
            <w:pPr>
              <w:pStyle w:val="0"/>
            </w:pPr>
            <w:r>
              <w:rPr>
                <w:sz w:val="20"/>
              </w:rPr>
              <w:t xml:space="preserve">Валерия Валерьевна</w:t>
            </w:r>
          </w:p>
        </w:tc>
        <w:tc>
          <w:tcPr>
            <w:tcW w:w="5669" w:type="dxa"/>
            <w:vAlign w:val="center"/>
            <w:tcBorders>
              <w:top w:val="nil"/>
              <w:left w:val="nil"/>
              <w:bottom w:val="nil"/>
              <w:right w:val="nil"/>
            </w:tcBorders>
          </w:tcPr>
          <w:p>
            <w:pPr>
              <w:pStyle w:val="0"/>
            </w:pPr>
            <w:r>
              <w:rPr>
                <w:sz w:val="20"/>
              </w:rPr>
              <w:t xml:space="preserve">ПЕРВИЧНАЯ ПРОФСОЮЗНАЯ ОРГАНИЗАЦИЯ БГТУ ИМ. ВТ. ШУХОВА БЕЛГОРОДСКОЙ РЕГИОНАЛЬНОЙ ОРГАНИЗАЦИИ ПРОФЕССИОНАЛЬНОГО СОЮЗА РАБОТНИКОВ НАРОДНОГО ОБРАЗОВАНИЯ И НАУКИ РОССИЙСКОЙ ФЕДЕРАЦИИ</w:t>
            </w:r>
          </w:p>
        </w:tc>
      </w:tr>
      <w:tr>
        <w:tc>
          <w:tcPr>
            <w:tcW w:w="567" w:type="dxa"/>
            <w:tcBorders>
              <w:top w:val="nil"/>
              <w:left w:val="nil"/>
              <w:bottom w:val="nil"/>
              <w:right w:val="nil"/>
            </w:tcBorders>
          </w:tcPr>
          <w:p>
            <w:pPr>
              <w:pStyle w:val="0"/>
            </w:pPr>
            <w:r>
              <w:rPr>
                <w:sz w:val="20"/>
              </w:rPr>
              <w:t xml:space="preserve">13.</w:t>
            </w:r>
          </w:p>
        </w:tc>
        <w:tc>
          <w:tcPr>
            <w:tcW w:w="2835" w:type="dxa"/>
            <w:tcBorders>
              <w:top w:val="nil"/>
              <w:left w:val="nil"/>
              <w:bottom w:val="nil"/>
              <w:right w:val="nil"/>
            </w:tcBorders>
          </w:tcPr>
          <w:p>
            <w:pPr>
              <w:pStyle w:val="0"/>
            </w:pPr>
            <w:r>
              <w:rPr>
                <w:sz w:val="20"/>
              </w:rPr>
              <w:t xml:space="preserve">ТАЛАШКИН</w:t>
            </w:r>
          </w:p>
          <w:p>
            <w:pPr>
              <w:pStyle w:val="0"/>
            </w:pPr>
            <w:r>
              <w:rPr>
                <w:sz w:val="20"/>
              </w:rPr>
              <w:t xml:space="preserve">Геннадий Николаевич</w:t>
            </w:r>
          </w:p>
        </w:tc>
        <w:tc>
          <w:tcPr>
            <w:tcW w:w="5669" w:type="dxa"/>
            <w:vAlign w:val="center"/>
            <w:tcBorders>
              <w:top w:val="nil"/>
              <w:left w:val="nil"/>
              <w:bottom w:val="nil"/>
              <w:right w:val="nil"/>
            </w:tcBorders>
          </w:tcPr>
          <w:p>
            <w:pPr>
              <w:pStyle w:val="0"/>
            </w:pPr>
            <w:r>
              <w:rPr>
                <w:sz w:val="20"/>
              </w:rPr>
              <w:t xml:space="preserve">СОЮЗ СТРОИТЕЛЕЙ ЖЕЛЕЗНЫХ ДОРОГ</w:t>
            </w:r>
          </w:p>
        </w:tc>
      </w:tr>
      <w:tr>
        <w:tc>
          <w:tcPr>
            <w:tcW w:w="567" w:type="dxa"/>
            <w:tcBorders>
              <w:top w:val="nil"/>
              <w:left w:val="nil"/>
              <w:bottom w:val="nil"/>
              <w:right w:val="nil"/>
            </w:tcBorders>
          </w:tcPr>
          <w:p>
            <w:pPr>
              <w:pStyle w:val="0"/>
            </w:pPr>
            <w:r>
              <w:rPr>
                <w:sz w:val="20"/>
              </w:rPr>
              <w:t xml:space="preserve">14.</w:t>
            </w:r>
          </w:p>
        </w:tc>
        <w:tc>
          <w:tcPr>
            <w:tcW w:w="2835" w:type="dxa"/>
            <w:tcBorders>
              <w:top w:val="nil"/>
              <w:left w:val="nil"/>
              <w:bottom w:val="nil"/>
              <w:right w:val="nil"/>
            </w:tcBorders>
          </w:tcPr>
          <w:p>
            <w:pPr>
              <w:pStyle w:val="0"/>
            </w:pPr>
            <w:r>
              <w:rPr>
                <w:sz w:val="20"/>
              </w:rPr>
              <w:t xml:space="preserve">ТАРАСОВ</w:t>
            </w:r>
          </w:p>
          <w:p>
            <w:pPr>
              <w:pStyle w:val="0"/>
            </w:pPr>
            <w:r>
              <w:rPr>
                <w:sz w:val="20"/>
              </w:rPr>
              <w:t xml:space="preserve">Михаил Валерьевич</w:t>
            </w:r>
          </w:p>
        </w:tc>
        <w:tc>
          <w:tcPr>
            <w:tcW w:w="5669" w:type="dxa"/>
            <w:vAlign w:val="center"/>
            <w:tcBorders>
              <w:top w:val="nil"/>
              <w:left w:val="nil"/>
              <w:bottom w:val="nil"/>
              <w:right w:val="nil"/>
            </w:tcBorders>
          </w:tcPr>
          <w:p>
            <w:pPr>
              <w:pStyle w:val="0"/>
            </w:pPr>
            <w:r>
              <w:rPr>
                <w:sz w:val="20"/>
              </w:rPr>
              <w:t xml:space="preserve">СОЮЗ "КАЛИНИНГРАДСКАЯ ТОРГОВО-ПРОМЫШЛЕННАЯ ПАЛАТА"</w:t>
            </w:r>
          </w:p>
        </w:tc>
      </w:tr>
      <w:tr>
        <w:tc>
          <w:tcPr>
            <w:tcW w:w="567" w:type="dxa"/>
            <w:tcBorders>
              <w:top w:val="nil"/>
              <w:left w:val="nil"/>
              <w:bottom w:val="nil"/>
              <w:right w:val="nil"/>
            </w:tcBorders>
          </w:tcPr>
          <w:p>
            <w:pPr>
              <w:pStyle w:val="0"/>
            </w:pPr>
            <w:r>
              <w:rPr>
                <w:sz w:val="20"/>
              </w:rPr>
              <w:t xml:space="preserve">15.</w:t>
            </w:r>
          </w:p>
        </w:tc>
        <w:tc>
          <w:tcPr>
            <w:tcW w:w="2835" w:type="dxa"/>
            <w:tcBorders>
              <w:top w:val="nil"/>
              <w:left w:val="nil"/>
              <w:bottom w:val="nil"/>
              <w:right w:val="nil"/>
            </w:tcBorders>
          </w:tcPr>
          <w:p>
            <w:pPr>
              <w:pStyle w:val="0"/>
            </w:pPr>
            <w:r>
              <w:rPr>
                <w:sz w:val="20"/>
              </w:rPr>
              <w:t xml:space="preserve">ТЕРЕШИНА</w:t>
            </w:r>
          </w:p>
          <w:p>
            <w:pPr>
              <w:pStyle w:val="0"/>
            </w:pPr>
            <w:r>
              <w:rPr>
                <w:sz w:val="20"/>
              </w:rPr>
              <w:t xml:space="preserve">Наталья Петровна</w:t>
            </w:r>
          </w:p>
        </w:tc>
        <w:tc>
          <w:tcPr>
            <w:tcW w:w="5669" w:type="dxa"/>
            <w:vAlign w:val="center"/>
            <w:tcBorders>
              <w:top w:val="nil"/>
              <w:left w:val="nil"/>
              <w:bottom w:val="nil"/>
              <w:right w:val="nil"/>
            </w:tcBorders>
          </w:tcPr>
          <w:p>
            <w:pPr>
              <w:pStyle w:val="0"/>
            </w:pPr>
            <w:r>
              <w:rPr>
                <w:sz w:val="20"/>
              </w:rPr>
              <w:t xml:space="preserve">МЕСТНАЯ ОБЩЕСТВЕННАЯ ОРГАНИЗАЦИЯ - ПЕРВИЧНАЯ ПРОФСОЮЗНАЯ ОРГАНИЗАЦИЯ СОТРУДНИКОВ МОСКОВСКОГО ГОСУДАРСТВЕННОГО УНИВЕРСИТЕТА ПУТЕЙ СООБЩЕНИЯ МИИТ ОБЩЕСТВЕННОЙ ОРГАНИЗАЦИИ - РОССИЙСКОГО ПРОФЕССИОНАЛЬНОГО СОЮЗА ЖЕЛЕЗНОДОРОЖНИКОВ И ТРАНСПОРТНЫХ СТРОИТЕЛЕЙ (РОСПРОФЖЕЛ)</w:t>
            </w:r>
          </w:p>
        </w:tc>
      </w:tr>
      <w:tr>
        <w:tc>
          <w:tcPr>
            <w:tcW w:w="567" w:type="dxa"/>
            <w:tcBorders>
              <w:top w:val="nil"/>
              <w:left w:val="nil"/>
              <w:bottom w:val="nil"/>
              <w:right w:val="nil"/>
            </w:tcBorders>
          </w:tcPr>
          <w:p>
            <w:pPr>
              <w:pStyle w:val="0"/>
            </w:pPr>
            <w:r>
              <w:rPr>
                <w:sz w:val="20"/>
              </w:rPr>
              <w:t xml:space="preserve">16.</w:t>
            </w:r>
          </w:p>
        </w:tc>
        <w:tc>
          <w:tcPr>
            <w:tcW w:w="2835" w:type="dxa"/>
            <w:tcBorders>
              <w:top w:val="nil"/>
              <w:left w:val="nil"/>
              <w:bottom w:val="nil"/>
              <w:right w:val="nil"/>
            </w:tcBorders>
          </w:tcPr>
          <w:p>
            <w:pPr>
              <w:pStyle w:val="0"/>
            </w:pPr>
            <w:r>
              <w:rPr>
                <w:sz w:val="20"/>
              </w:rPr>
              <w:t xml:space="preserve">ФАРХУТДИНОВ</w:t>
            </w:r>
          </w:p>
          <w:p>
            <w:pPr>
              <w:pStyle w:val="0"/>
            </w:pPr>
            <w:r>
              <w:rPr>
                <w:sz w:val="20"/>
              </w:rPr>
              <w:t xml:space="preserve">Игорь Александрович</w:t>
            </w:r>
          </w:p>
        </w:tc>
        <w:tc>
          <w:tcPr>
            <w:tcW w:w="5669" w:type="dxa"/>
            <w:vAlign w:val="center"/>
            <w:tcBorders>
              <w:top w:val="nil"/>
              <w:left w:val="nil"/>
              <w:bottom w:val="nil"/>
              <w:right w:val="nil"/>
            </w:tcBorders>
          </w:tcPr>
          <w:p>
            <w:pPr>
              <w:pStyle w:val="0"/>
            </w:pPr>
            <w:r>
              <w:rPr>
                <w:sz w:val="20"/>
              </w:rPr>
              <w:t xml:space="preserve">ОБЩЕРОССИЙСКАЯ ОБЩЕСТВЕННАЯ ОРГАНИЗАЦИЯ "ВСЕРОССИЙСКОЕ ОБЩЕСТВО РЕДКИХ (ОРФАННЫХ) ЗАБОЛЕВАНИЙ"</w:t>
            </w:r>
          </w:p>
        </w:tc>
      </w:tr>
      <w:tr>
        <w:tc>
          <w:tcPr>
            <w:tcW w:w="567" w:type="dxa"/>
            <w:tcBorders>
              <w:top w:val="nil"/>
              <w:left w:val="nil"/>
              <w:bottom w:val="nil"/>
              <w:right w:val="nil"/>
            </w:tcBorders>
          </w:tcPr>
          <w:p>
            <w:pPr>
              <w:pStyle w:val="0"/>
            </w:pPr>
            <w:r>
              <w:rPr>
                <w:sz w:val="20"/>
              </w:rPr>
              <w:t xml:space="preserve">17.</w:t>
            </w:r>
          </w:p>
        </w:tc>
        <w:tc>
          <w:tcPr>
            <w:tcW w:w="2835" w:type="dxa"/>
            <w:tcBorders>
              <w:top w:val="nil"/>
              <w:left w:val="nil"/>
              <w:bottom w:val="nil"/>
              <w:right w:val="nil"/>
            </w:tcBorders>
          </w:tcPr>
          <w:p>
            <w:pPr>
              <w:pStyle w:val="0"/>
            </w:pPr>
            <w:r>
              <w:rPr>
                <w:sz w:val="20"/>
              </w:rPr>
              <w:t xml:space="preserve">ЧЕРКАСОВ</w:t>
            </w:r>
          </w:p>
          <w:p>
            <w:pPr>
              <w:pStyle w:val="0"/>
            </w:pPr>
            <w:r>
              <w:rPr>
                <w:sz w:val="20"/>
              </w:rPr>
              <w:t xml:space="preserve">Александр Михайлович</w:t>
            </w:r>
          </w:p>
        </w:tc>
        <w:tc>
          <w:tcPr>
            <w:tcW w:w="5669" w:type="dxa"/>
            <w:vAlign w:val="center"/>
            <w:tcBorders>
              <w:top w:val="nil"/>
              <w:left w:val="nil"/>
              <w:bottom w:val="nil"/>
              <w:right w:val="nil"/>
            </w:tcBorders>
          </w:tcPr>
          <w:p>
            <w:pPr>
              <w:pStyle w:val="0"/>
            </w:pPr>
            <w:r>
              <w:rPr>
                <w:sz w:val="20"/>
              </w:rPr>
              <w:t xml:space="preserve">НЕКОММЕРЧЕСКАЯ ОРГАНИЗАЦИЯ "АССОЦИАЦИЯ ПРОИЗВОДИТЕЛЕЙ ЭКСТРУДИРОВАННОГО ПЕНОПОЛИСТИРОЛА "РАПЭКС"</w:t>
            </w:r>
          </w:p>
        </w:tc>
      </w:tr>
      <w:tr>
        <w:tc>
          <w:tcPr>
            <w:tcW w:w="567" w:type="dxa"/>
            <w:tcBorders>
              <w:top w:val="nil"/>
              <w:left w:val="nil"/>
              <w:bottom w:val="nil"/>
              <w:right w:val="nil"/>
            </w:tcBorders>
          </w:tcPr>
          <w:p>
            <w:pPr>
              <w:pStyle w:val="0"/>
            </w:pPr>
            <w:r>
              <w:rPr>
                <w:sz w:val="20"/>
              </w:rPr>
              <w:t xml:space="preserve">18.</w:t>
            </w:r>
          </w:p>
        </w:tc>
        <w:tc>
          <w:tcPr>
            <w:tcW w:w="2835" w:type="dxa"/>
            <w:tcBorders>
              <w:top w:val="nil"/>
              <w:left w:val="nil"/>
              <w:bottom w:val="nil"/>
              <w:right w:val="nil"/>
            </w:tcBorders>
          </w:tcPr>
          <w:p>
            <w:pPr>
              <w:pStyle w:val="0"/>
            </w:pPr>
            <w:r>
              <w:rPr>
                <w:sz w:val="20"/>
              </w:rPr>
              <w:t xml:space="preserve">ЧЕРНОВ</w:t>
            </w:r>
          </w:p>
          <w:p>
            <w:pPr>
              <w:pStyle w:val="0"/>
            </w:pPr>
            <w:r>
              <w:rPr>
                <w:sz w:val="20"/>
              </w:rPr>
              <w:t xml:space="preserve">Сергей Иванович</w:t>
            </w:r>
          </w:p>
        </w:tc>
        <w:tc>
          <w:tcPr>
            <w:tcW w:w="5669" w:type="dxa"/>
            <w:vAlign w:val="center"/>
            <w:tcBorders>
              <w:top w:val="nil"/>
              <w:left w:val="nil"/>
              <w:bottom w:val="nil"/>
              <w:right w:val="nil"/>
            </w:tcBorders>
          </w:tcPr>
          <w:p>
            <w:pPr>
              <w:pStyle w:val="0"/>
            </w:pPr>
            <w:r>
              <w:rPr>
                <w:sz w:val="20"/>
              </w:rPr>
              <w:t xml:space="preserve">ОБЩЕСТВЕННАЯ ОРГАНИЗАЦИЯ - РОССИЙСКИЙ ПРОФЕССИОНАЛЬНЫЙ</w:t>
            </w:r>
          </w:p>
          <w:p>
            <w:pPr>
              <w:pStyle w:val="0"/>
            </w:pPr>
            <w:r>
              <w:rPr>
                <w:sz w:val="20"/>
              </w:rPr>
              <w:t xml:space="preserve">СОЮЗ ЖЕЛЕЗНОДОРОЖНИКОВ И ТРАНСПОРТНЫХ СТРОИТЕЛЕЙ (РОСПРОФЖЕЛ)</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Федерального агентства</w:t>
      </w:r>
    </w:p>
    <w:p>
      <w:pPr>
        <w:pStyle w:val="0"/>
        <w:jc w:val="right"/>
      </w:pPr>
      <w:r>
        <w:rPr>
          <w:sz w:val="20"/>
        </w:rPr>
        <w:t xml:space="preserve">железнодорожного транспорта</w:t>
      </w:r>
    </w:p>
    <w:p>
      <w:pPr>
        <w:pStyle w:val="0"/>
        <w:jc w:val="right"/>
      </w:pPr>
      <w:r>
        <w:rPr>
          <w:sz w:val="20"/>
        </w:rPr>
        <w:t xml:space="preserve">от 09.09.2022</w:t>
      </w:r>
    </w:p>
    <w:p>
      <w:pPr>
        <w:pStyle w:val="0"/>
        <w:jc w:val="both"/>
      </w:pPr>
      <w:r>
        <w:rPr>
          <w:sz w:val="20"/>
        </w:rPr>
      </w:r>
    </w:p>
    <w:bookmarkStart w:id="360" w:name="P360"/>
    <w:bookmarkEnd w:id="360"/>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ФЕДЕРАЛЬНОМ</w:t>
      </w:r>
    </w:p>
    <w:p>
      <w:pPr>
        <w:pStyle w:val="2"/>
        <w:jc w:val="center"/>
      </w:pPr>
      <w:r>
        <w:rPr>
          <w:sz w:val="20"/>
        </w:rPr>
        <w:t xml:space="preserve">АГЕНТСТВЕ ЖЕЛЕЗНОДОРОЖНОГО ТРАНСПОРТА И КАНДИДАТАМ В ЧЛЕНЫ</w:t>
      </w:r>
    </w:p>
    <w:p>
      <w:pPr>
        <w:pStyle w:val="2"/>
        <w:jc w:val="center"/>
      </w:pPr>
      <w:r>
        <w:rPr>
          <w:sz w:val="20"/>
        </w:rPr>
        <w:t xml:space="preserve">ОБЩЕСТВЕННОГО СОВЕТА ПРИ ФЕДЕРАЛЬНОМ АГЕНТСТВЕ</w:t>
      </w:r>
    </w:p>
    <w:p>
      <w:pPr>
        <w:pStyle w:val="2"/>
        <w:jc w:val="center"/>
      </w:pPr>
      <w:r>
        <w:rPr>
          <w:sz w:val="20"/>
        </w:rPr>
        <w:t xml:space="preserve">ЖЕЛЕЗНОДОРОЖНОГО ТРАНСПОРТА</w:t>
      </w:r>
    </w:p>
    <w:p>
      <w:pPr>
        <w:pStyle w:val="0"/>
        <w:jc w:val="both"/>
      </w:pPr>
      <w:r>
        <w:rPr>
          <w:sz w:val="20"/>
        </w:rPr>
      </w:r>
    </w:p>
    <w:p>
      <w:pPr>
        <w:pStyle w:val="0"/>
        <w:ind w:firstLine="540"/>
        <w:jc w:val="both"/>
      </w:pPr>
      <w:r>
        <w:rPr>
          <w:sz w:val="20"/>
        </w:rPr>
        <w:t xml:space="preserve">1.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Росжелдоре, соответствуют требованиям </w:t>
      </w:r>
      <w:hyperlink w:history="0" r:id="rId21"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пункта 3.16.1</w:t>
        </w:r>
      </w:hyperlink>
      <w:r>
        <w:rPr>
          <w:sz w:val="20"/>
        </w:rPr>
        <w:t xml:space="preserve"> Стандарта деятельности общественных советов при федеральных органах исполнительной власти Общественной палаты Российской Федерации.</w:t>
      </w:r>
    </w:p>
    <w:p>
      <w:pPr>
        <w:pStyle w:val="0"/>
        <w:spacing w:before="200" w:line-rule="auto"/>
        <w:ind w:firstLine="540"/>
        <w:jc w:val="both"/>
      </w:pPr>
      <w:r>
        <w:rPr>
          <w:sz w:val="20"/>
        </w:rPr>
        <w:t xml:space="preserve">2. Дополнительным (специфическим) требованием к кандидатам в члены Общественного совета при Росжелдоре в соответствии с </w:t>
      </w:r>
      <w:hyperlink w:history="0" r:id="rId22"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 3.16.3</w:t>
        </w:r>
      </w:hyperlink>
      <w:r>
        <w:rPr>
          <w:sz w:val="20"/>
        </w:rPr>
        <w:t xml:space="preserve"> Стандарта деятельности общественного совета при федеральном органе исполнительной власти Общественной палаты Российской Федерации является наличие опыта общественной деятельности, в том числе в сфере ведения Росжелдора.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Росжелдора от 09.09.2022 N 479</w:t>
            <w:br/>
            <w:t>(ред. от 27.10.2022)</w:t>
            <w:br/>
            <w:t>"Об утверждении состава и Положения 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859F2F0AEA55B674450447CA3FC33B4A7E7FBC713681998541B51442A5EC0D113CB60011F2079B174082CCB8EE4306654E9AAD8662E6301A2UCG" TargetMode = "External"/>
	<Relationship Id="rId8" Type="http://schemas.openxmlformats.org/officeDocument/2006/relationships/hyperlink" Target="consultantplus://offline/ref=3859F2F0AEA55B674450447CA3FC33B4A0EDF9CA1B6D1998541B51442A5EC0D113CB60011F2079B671082CCB8EE4306654E9AAD8662E6301A2UCG" TargetMode = "External"/>
	<Relationship Id="rId9" Type="http://schemas.openxmlformats.org/officeDocument/2006/relationships/hyperlink" Target="consultantplus://offline/ref=3859F2F0AEA55B674450447CA3FC33B4A0EDF9CA1B6D1998541B51442A5EC0D101CB380D1D2567B0731D7A9AC8ABU3G" TargetMode = "External"/>
	<Relationship Id="rId10" Type="http://schemas.openxmlformats.org/officeDocument/2006/relationships/hyperlink" Target="consultantplus://offline/ref=3859F2F0AEA55B674450447CA3FC33B4A0EDF9CD126E1998541B51442A5EC0D101CB380D1D2567B0731D7A9AC8ABU3G" TargetMode = "External"/>
	<Relationship Id="rId11" Type="http://schemas.openxmlformats.org/officeDocument/2006/relationships/hyperlink" Target="consultantplus://offline/ref=3859F2F0AEA55B674450447CA3FC33B4A7E7FBC713681998541B51442A5EC0D113CB60011F2079B174082CCB8EE4306654E9AAD8662E6301A2UCG" TargetMode = "External"/>
	<Relationship Id="rId12" Type="http://schemas.openxmlformats.org/officeDocument/2006/relationships/hyperlink" Target="consultantplus://offline/ref=3859F2F0AEA55B674450447CA3FC33B4A1ECFCCB183B4E9A054E5F41220E9AC105826F05012178AF70037AA9U8G" TargetMode = "External"/>
	<Relationship Id="rId13" Type="http://schemas.openxmlformats.org/officeDocument/2006/relationships/hyperlink" Target="consultantplus://offline/ref=3859F2F0AEA55B674450447CA3FC33B4A0E5FFC6106B1998541B51442A5EC0D101CB380D1D2567B0731D7A9AC8ABU3G" TargetMode = "External"/>
	<Relationship Id="rId14" Type="http://schemas.openxmlformats.org/officeDocument/2006/relationships/hyperlink" Target="consultantplus://offline/ref=3859F2F0AEA55B674450447CA3FC33B4A0E5FFC6106B1998541B51442A5EC0D113CB60011F2079B87B082CCB8EE4306654E9AAD8662E6301A2UCG" TargetMode = "External"/>
	<Relationship Id="rId15" Type="http://schemas.openxmlformats.org/officeDocument/2006/relationships/hyperlink" Target="consultantplus://offline/ref=3859F2F0AEA55B674450447CA3FC33B4A0ECFCCC13641998541B51442A5EC0D113CB60011F2078B570082CCB8EE4306654E9AAD8662E6301A2UCG" TargetMode = "External"/>
	<Relationship Id="rId16" Type="http://schemas.openxmlformats.org/officeDocument/2006/relationships/hyperlink" Target="consultantplus://offline/ref=3859F2F0AEA55B674450447CA3FC33B4A0E6FCC9166E1998541B51442A5EC0D113CB60011F2079B373082CCB8EE4306654E9AAD8662E6301A2UCG" TargetMode = "External"/>
	<Relationship Id="rId17" Type="http://schemas.openxmlformats.org/officeDocument/2006/relationships/hyperlink" Target="consultantplus://offline/ref=3859F2F0AEA55B674450447CA3FC33B4A7E6F9CF126C1998541B51442A5EC0D101CB380D1D2567B0731D7A9AC8ABU3G" TargetMode = "External"/>
	<Relationship Id="rId18" Type="http://schemas.openxmlformats.org/officeDocument/2006/relationships/hyperlink" Target="consultantplus://offline/ref=3859F2F0AEA55B674450447CA3FC33B4A7E6F9CF126C1998541B51442A5EC0D101CB380D1D2567B0731D7A9AC8ABU3G" TargetMode = "External"/>
	<Relationship Id="rId19" Type="http://schemas.openxmlformats.org/officeDocument/2006/relationships/hyperlink" Target="consultantplus://offline/ref=3859F2F0AEA55B674450447CA3FC33B4A0ECFCCC13641998541B51442A5EC0D101CB380D1D2567B0731D7A9AC8ABU3G" TargetMode = "External"/>
	<Relationship Id="rId20" Type="http://schemas.openxmlformats.org/officeDocument/2006/relationships/hyperlink" Target="consultantplus://offline/ref=3859F2F0AEA55B674450447CA3FC33B4A2E5F8CB13681998541B51442A5EC0D101CB380D1D2567B0731D7A9AC8ABU3G" TargetMode = "External"/>
	<Relationship Id="rId21" Type="http://schemas.openxmlformats.org/officeDocument/2006/relationships/hyperlink" Target="consultantplus://offline/ref=3859F2F0AEA55B674450447CA3FC33B4A0E3FFCC106D1998541B51442A5EC0D113CB60011F2079B774082CCB8EE4306654E9AAD8662E6301A2UCG" TargetMode = "External"/>
	<Relationship Id="rId22" Type="http://schemas.openxmlformats.org/officeDocument/2006/relationships/hyperlink" Target="consultantplus://offline/ref=3859F2F0AEA55B674450447CA3FC33B4A0E3FFCC106D1998541B51442A5EC0D113CB60011F2079B677082CCB8EE4306654E9AAD8662E6301A2U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Росжелдора от 09.09.2022 N 479
(ред. от 27.10.2022)
"Об утверждении состава и Положения об Общественном совете при Федеральном агентстве железнодорожного транспорта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железнодорожного транспорта, и кандидатам в члены общественного совета при Федеральном агентстве железнодорожного транс</dc:title>
  <dcterms:created xsi:type="dcterms:W3CDTF">2022-11-25T06:20:00Z</dcterms:created>
</cp:coreProperties>
</file>