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Алтайского края от 20.01.2025 N 7</w:t>
              <w:br/>
              <w:t xml:space="preserve">"Об утверждении Положения об общественно-экспертном совете по вопросам экологии при Губернаторе Алтайского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20 января 2025 года</w:t>
            </w:r>
          </w:p>
        </w:tc>
        <w:tc>
          <w:tcPr>
            <w:tcW w:w="5103" w:type="dxa"/>
            <w:tcBorders>
              <w:top w:val="nil"/>
              <w:left w:val="nil"/>
              <w:bottom w:val="nil"/>
              <w:right w:val="nil"/>
            </w:tcBorders>
          </w:tcPr>
          <w:p>
            <w:pPr>
              <w:pStyle w:val="0"/>
              <w:outlineLvl w:val="0"/>
              <w:jc w:val="right"/>
            </w:pPr>
            <w:r>
              <w:rPr>
                <w:sz w:val="20"/>
              </w:rPr>
              <w:t xml:space="preserve">N 7</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both"/>
      </w:pPr>
      <w:r>
        <w:rPr>
          <w:sz w:val="20"/>
        </w:rPr>
      </w:r>
    </w:p>
    <w:p>
      <w:pPr>
        <w:pStyle w:val="2"/>
        <w:jc w:val="center"/>
      </w:pPr>
      <w:r>
        <w:rPr>
          <w:sz w:val="20"/>
        </w:rPr>
        <w:t xml:space="preserve">ГУБЕРНАТОРА АЛТАЙСКОГО КРАЯ</w:t>
      </w:r>
    </w:p>
    <w:p>
      <w:pPr>
        <w:pStyle w:val="2"/>
        <w:jc w:val="both"/>
      </w:pPr>
      <w:r>
        <w:rPr>
          <w:sz w:val="20"/>
        </w:rPr>
      </w:r>
    </w:p>
    <w:p>
      <w:pPr>
        <w:pStyle w:val="2"/>
        <w:jc w:val="center"/>
      </w:pPr>
      <w:r>
        <w:rPr>
          <w:sz w:val="20"/>
        </w:rPr>
        <w:t xml:space="preserve">ОБ УТВЕРЖДЕНИИ ПОЛОЖЕНИЯ ОБ ОБЩЕСТВЕННО-ЭКСПЕРТНОМ СОВЕТЕ</w:t>
      </w:r>
    </w:p>
    <w:p>
      <w:pPr>
        <w:pStyle w:val="2"/>
        <w:jc w:val="center"/>
      </w:pPr>
      <w:r>
        <w:rPr>
          <w:sz w:val="20"/>
        </w:rPr>
        <w:t xml:space="preserve">ПО ВОПРОСАМ ЭКОЛОГИИ ПРИ ГУБЕРНАТОРЕ АЛТАЙСКОГО КРАЯ</w:t>
      </w:r>
    </w:p>
    <w:p>
      <w:pPr>
        <w:pStyle w:val="0"/>
        <w:jc w:val="both"/>
      </w:pPr>
      <w:r>
        <w:rPr>
          <w:sz w:val="20"/>
        </w:rPr>
      </w:r>
    </w:p>
    <w:p>
      <w:pPr>
        <w:pStyle w:val="0"/>
        <w:ind w:firstLine="540"/>
        <w:jc w:val="both"/>
      </w:pPr>
      <w:r>
        <w:rPr>
          <w:sz w:val="20"/>
        </w:rPr>
        <w:t xml:space="preserve">В целях содействия реализации государственной политики в сфере охраны окружающей среды и природопользования, повышения эффективности мероприятий по обеспечению экологической безопасности, реализации природоохранных программ и проектов на территории Алтайского края постановляю:</w:t>
      </w:r>
    </w:p>
    <w:p>
      <w:pPr>
        <w:pStyle w:val="0"/>
        <w:spacing w:before="200" w:line-rule="auto"/>
        <w:ind w:firstLine="540"/>
        <w:jc w:val="both"/>
      </w:pPr>
      <w:r>
        <w:rPr>
          <w:sz w:val="20"/>
        </w:rPr>
        <w:t xml:space="preserve">Утвердить </w:t>
      </w:r>
      <w:hyperlink w:history="0" w:anchor="P32" w:tooltip="ПОЛОЖЕНИЕ">
        <w:r>
          <w:rPr>
            <w:sz w:val="20"/>
            <w:color w:val="0000ff"/>
          </w:rPr>
          <w:t xml:space="preserve">Положение</w:t>
        </w:r>
      </w:hyperlink>
      <w:r>
        <w:rPr>
          <w:sz w:val="20"/>
        </w:rPr>
        <w:t xml:space="preserve"> об общественно-экспертном совете по вопросам экологии при Губернаторе Алтайского края (приложение).</w:t>
      </w:r>
    </w:p>
    <w:p>
      <w:pPr>
        <w:pStyle w:val="0"/>
        <w:jc w:val="both"/>
      </w:pPr>
      <w:r>
        <w:rPr>
          <w:sz w:val="20"/>
        </w:rPr>
      </w:r>
    </w:p>
    <w:p>
      <w:pPr>
        <w:pStyle w:val="0"/>
        <w:jc w:val="right"/>
      </w:pPr>
      <w:r>
        <w:rPr>
          <w:sz w:val="20"/>
        </w:rPr>
        <w:t xml:space="preserve">Губернатор</w:t>
      </w:r>
    </w:p>
    <w:p>
      <w:pPr>
        <w:pStyle w:val="0"/>
        <w:jc w:val="right"/>
      </w:pPr>
      <w:r>
        <w:rPr>
          <w:sz w:val="20"/>
        </w:rPr>
        <w:t xml:space="preserve">Алтайского края</w:t>
      </w:r>
    </w:p>
    <w:p>
      <w:pPr>
        <w:pStyle w:val="0"/>
        <w:jc w:val="right"/>
      </w:pPr>
      <w:r>
        <w:rPr>
          <w:sz w:val="20"/>
        </w:rPr>
        <w:t xml:space="preserve">В.П.ТОМЕНКО</w:t>
      </w:r>
    </w:p>
    <w:p>
      <w:pPr>
        <w:pStyle w:val="0"/>
      </w:pPr>
      <w:r>
        <w:rPr>
          <w:sz w:val="20"/>
        </w:rPr>
        <w:t xml:space="preserve">г. Барнаул</w:t>
      </w:r>
    </w:p>
    <w:p>
      <w:pPr>
        <w:pStyle w:val="0"/>
        <w:spacing w:before="200" w:line-rule="auto"/>
      </w:pPr>
      <w:r>
        <w:rPr>
          <w:sz w:val="20"/>
        </w:rPr>
        <w:t xml:space="preserve">20 января 2025 года</w:t>
      </w:r>
    </w:p>
    <w:p>
      <w:pPr>
        <w:pStyle w:val="0"/>
        <w:spacing w:before="200" w:line-rule="auto"/>
      </w:pPr>
      <w:r>
        <w:rPr>
          <w:sz w:val="20"/>
        </w:rPr>
        <w:t xml:space="preserve">N 7</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Губернатора Алтайского края</w:t>
      </w:r>
    </w:p>
    <w:p>
      <w:pPr>
        <w:pStyle w:val="0"/>
        <w:jc w:val="right"/>
      </w:pPr>
      <w:r>
        <w:rPr>
          <w:sz w:val="20"/>
        </w:rPr>
        <w:t xml:space="preserve">от 20 января 2025 г. N 7</w:t>
      </w:r>
    </w:p>
    <w:p>
      <w:pPr>
        <w:pStyle w:val="0"/>
        <w:jc w:val="both"/>
      </w:pPr>
      <w:r>
        <w:rPr>
          <w:sz w:val="20"/>
        </w:rPr>
      </w:r>
    </w:p>
    <w:bookmarkStart w:id="32" w:name="P32"/>
    <w:bookmarkEnd w:id="32"/>
    <w:p>
      <w:pPr>
        <w:pStyle w:val="2"/>
        <w:jc w:val="center"/>
      </w:pPr>
      <w:r>
        <w:rPr>
          <w:sz w:val="20"/>
        </w:rPr>
        <w:t xml:space="preserve">ПОЛОЖЕНИЕ</w:t>
      </w:r>
    </w:p>
    <w:p>
      <w:pPr>
        <w:pStyle w:val="2"/>
        <w:jc w:val="center"/>
      </w:pPr>
      <w:r>
        <w:rPr>
          <w:sz w:val="20"/>
        </w:rPr>
        <w:t xml:space="preserve">ОБ ОБЩЕСТВЕННО-ЭКСПЕРТНОМ СОВЕТЕ ПО ВОПРОСАМ ЭКОЛОГИИ</w:t>
      </w:r>
    </w:p>
    <w:p>
      <w:pPr>
        <w:pStyle w:val="2"/>
        <w:jc w:val="center"/>
      </w:pPr>
      <w:r>
        <w:rPr>
          <w:sz w:val="20"/>
        </w:rPr>
        <w:t xml:space="preserve">ПРИ ГУБЕРНАТОРЕ АЛТАЙСКОГО КРАЯ</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Общественно-экспертный совет по вопросам экологии при Губернаторе Алтайского края (далее - "экспертный совет") является постоянно действующим коллегиальным совещательным органом при Губернаторе Алтайского края, образованным в целях обеспечения взаимодействия органов государственной власти Алтайского края, органов местного самоуправления муниципальных образований Алтайского края и природоохранных организаций для рассмотрения вопросов в сфере охраны окружающей среды, рационального использования природных ресурсов, обеспечения экологической безопасности в Алтайском крае и подготовки по ним предложений, носящих рекомендательный характер.</w:t>
      </w:r>
    </w:p>
    <w:p>
      <w:pPr>
        <w:pStyle w:val="0"/>
        <w:spacing w:before="200" w:line-rule="auto"/>
        <w:ind w:firstLine="540"/>
        <w:jc w:val="both"/>
      </w:pPr>
      <w:r>
        <w:rPr>
          <w:sz w:val="20"/>
        </w:rPr>
        <w:t xml:space="preserve">1.2. В своей деятельности экспертный совет руководствуется </w:t>
      </w:r>
      <w:hyperlink w:history="0" r:id="rId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Алтайского края, указами и распоряжениями Губернатора Алтайского края, постановлениями и распоряжениями Правительства Алтайского края, а также настоящим Положением.</w:t>
      </w:r>
    </w:p>
    <w:p>
      <w:pPr>
        <w:pStyle w:val="0"/>
        <w:spacing w:before="200" w:line-rule="auto"/>
        <w:ind w:firstLine="540"/>
        <w:jc w:val="both"/>
      </w:pPr>
      <w:r>
        <w:rPr>
          <w:sz w:val="20"/>
        </w:rPr>
        <w:t xml:space="preserve">1.3. Экспертный совет формируется на основе добровольного участия.</w:t>
      </w:r>
    </w:p>
    <w:p>
      <w:pPr>
        <w:pStyle w:val="0"/>
        <w:spacing w:before="200" w:line-rule="auto"/>
        <w:ind w:firstLine="540"/>
        <w:jc w:val="both"/>
      </w:pPr>
      <w:r>
        <w:rPr>
          <w:sz w:val="20"/>
        </w:rPr>
        <w:t xml:space="preserve">1.4. Члены экспертного совета исполняют свои обязанности на общественных началах.</w:t>
      </w:r>
    </w:p>
    <w:p>
      <w:pPr>
        <w:pStyle w:val="0"/>
        <w:spacing w:before="200" w:line-rule="auto"/>
        <w:ind w:firstLine="540"/>
        <w:jc w:val="both"/>
      </w:pPr>
      <w:r>
        <w:rPr>
          <w:sz w:val="20"/>
        </w:rPr>
        <w:t xml:space="preserve">1.5. Решения экспертного совета носят рекомендательный характер.</w:t>
      </w:r>
    </w:p>
    <w:p>
      <w:pPr>
        <w:pStyle w:val="0"/>
        <w:jc w:val="both"/>
      </w:pPr>
      <w:r>
        <w:rPr>
          <w:sz w:val="20"/>
        </w:rPr>
      </w:r>
    </w:p>
    <w:p>
      <w:pPr>
        <w:pStyle w:val="2"/>
        <w:outlineLvl w:val="1"/>
        <w:jc w:val="center"/>
      </w:pPr>
      <w:r>
        <w:rPr>
          <w:sz w:val="20"/>
        </w:rPr>
        <w:t xml:space="preserve">2. Основные задачи экспертного совета</w:t>
      </w:r>
    </w:p>
    <w:p>
      <w:pPr>
        <w:pStyle w:val="0"/>
        <w:jc w:val="both"/>
      </w:pPr>
      <w:r>
        <w:rPr>
          <w:sz w:val="20"/>
        </w:rPr>
      </w:r>
    </w:p>
    <w:p>
      <w:pPr>
        <w:pStyle w:val="0"/>
        <w:ind w:firstLine="540"/>
        <w:jc w:val="both"/>
      </w:pPr>
      <w:r>
        <w:rPr>
          <w:sz w:val="20"/>
        </w:rPr>
        <w:t xml:space="preserve">2.1. Основными задачами экспертного совета являются:</w:t>
      </w:r>
    </w:p>
    <w:p>
      <w:pPr>
        <w:pStyle w:val="0"/>
        <w:spacing w:before="200" w:line-rule="auto"/>
        <w:ind w:firstLine="540"/>
        <w:jc w:val="both"/>
      </w:pPr>
      <w:r>
        <w:rPr>
          <w:sz w:val="20"/>
        </w:rPr>
        <w:t xml:space="preserve">рассмотрение вопросов в области охраны окружающей среды и экологической безопасности на территории Алтайского края;</w:t>
      </w:r>
    </w:p>
    <w:p>
      <w:pPr>
        <w:pStyle w:val="0"/>
        <w:spacing w:before="200" w:line-rule="auto"/>
        <w:ind w:firstLine="540"/>
        <w:jc w:val="both"/>
      </w:pPr>
      <w:r>
        <w:rPr>
          <w:sz w:val="20"/>
        </w:rPr>
        <w:t xml:space="preserve">подготовка предложений по совершенствованию государственной политики в сфере охраны окружающей среды;</w:t>
      </w:r>
    </w:p>
    <w:p>
      <w:pPr>
        <w:pStyle w:val="0"/>
        <w:spacing w:before="200" w:line-rule="auto"/>
        <w:ind w:firstLine="540"/>
        <w:jc w:val="both"/>
      </w:pPr>
      <w:r>
        <w:rPr>
          <w:sz w:val="20"/>
        </w:rPr>
        <w:t xml:space="preserve">подготовка предложений по разработке и реализации природоохранных программ, проектов, инициатив;</w:t>
      </w:r>
    </w:p>
    <w:p>
      <w:pPr>
        <w:pStyle w:val="0"/>
        <w:spacing w:before="200" w:line-rule="auto"/>
        <w:ind w:firstLine="540"/>
        <w:jc w:val="both"/>
      </w:pPr>
      <w:r>
        <w:rPr>
          <w:sz w:val="20"/>
        </w:rPr>
        <w:t xml:space="preserve">подготовка предложений по совершенствованию законодательства в области охраны окружающей среды, обеспечения экологической безопасности и рационального природопользования;</w:t>
      </w:r>
    </w:p>
    <w:p>
      <w:pPr>
        <w:pStyle w:val="0"/>
        <w:spacing w:before="200" w:line-rule="auto"/>
        <w:ind w:firstLine="540"/>
        <w:jc w:val="both"/>
      </w:pPr>
      <w:r>
        <w:rPr>
          <w:sz w:val="20"/>
        </w:rPr>
        <w:t xml:space="preserve">содействие организации мероприятий, направленных на решение вопросов по экологии и природопользованию на территории Алтайского края;</w:t>
      </w:r>
    </w:p>
    <w:p>
      <w:pPr>
        <w:pStyle w:val="0"/>
        <w:spacing w:before="200" w:line-rule="auto"/>
        <w:ind w:firstLine="540"/>
        <w:jc w:val="both"/>
      </w:pPr>
      <w:r>
        <w:rPr>
          <w:sz w:val="20"/>
        </w:rPr>
        <w:t xml:space="preserve">рассмотрение вопросов, связанных с выявлением положительного опыта работы, успешных практик по реализации природоохранных мероприятий в других субъектах Российской Федерации и их тиражированием на территории Алтайского края;</w:t>
      </w:r>
    </w:p>
    <w:p>
      <w:pPr>
        <w:pStyle w:val="0"/>
        <w:spacing w:before="200" w:line-rule="auto"/>
        <w:ind w:firstLine="540"/>
        <w:jc w:val="both"/>
      </w:pPr>
      <w:r>
        <w:rPr>
          <w:sz w:val="20"/>
        </w:rPr>
        <w:t xml:space="preserve">подготовка предложений по вопросам экологического воспитания и просвещения населения, развития системы экологического образования и формирования экологической культуры на территории Алтайского края;</w:t>
      </w:r>
    </w:p>
    <w:p>
      <w:pPr>
        <w:pStyle w:val="0"/>
        <w:spacing w:before="200" w:line-rule="auto"/>
        <w:ind w:firstLine="540"/>
        <w:jc w:val="both"/>
      </w:pPr>
      <w:r>
        <w:rPr>
          <w:sz w:val="20"/>
        </w:rPr>
        <w:t xml:space="preserve">взаимодействие с природоохранными организациями по вопросам деятельности экспертного совета.</w:t>
      </w:r>
    </w:p>
    <w:p>
      <w:pPr>
        <w:pStyle w:val="0"/>
        <w:jc w:val="both"/>
      </w:pPr>
      <w:r>
        <w:rPr>
          <w:sz w:val="20"/>
        </w:rPr>
      </w:r>
    </w:p>
    <w:p>
      <w:pPr>
        <w:pStyle w:val="2"/>
        <w:outlineLvl w:val="1"/>
        <w:jc w:val="center"/>
      </w:pPr>
      <w:r>
        <w:rPr>
          <w:sz w:val="20"/>
        </w:rPr>
        <w:t xml:space="preserve">3. Полномочия экспертного совета</w:t>
      </w:r>
    </w:p>
    <w:p>
      <w:pPr>
        <w:pStyle w:val="0"/>
        <w:jc w:val="both"/>
      </w:pPr>
      <w:r>
        <w:rPr>
          <w:sz w:val="20"/>
        </w:rPr>
      </w:r>
    </w:p>
    <w:p>
      <w:pPr>
        <w:pStyle w:val="0"/>
        <w:ind w:firstLine="540"/>
        <w:jc w:val="both"/>
      </w:pPr>
      <w:r>
        <w:rPr>
          <w:sz w:val="20"/>
        </w:rPr>
        <w:t xml:space="preserve">3.1. Для выполнения поставленных перед ним задач экспертный совет вправе:</w:t>
      </w:r>
    </w:p>
    <w:p>
      <w:pPr>
        <w:pStyle w:val="0"/>
        <w:spacing w:before="200" w:line-rule="auto"/>
        <w:ind w:firstLine="540"/>
        <w:jc w:val="both"/>
      </w:pPr>
      <w:r>
        <w:rPr>
          <w:sz w:val="20"/>
        </w:rPr>
        <w:t xml:space="preserve">приглашать на свои заседания представителей территориальных органов федеральных органов исполнительной власти, органов государственной власти Алтайского края, органов местного самоуправления муниципальных образований Алтайского края, организаций, общественных объединений, граждан;</w:t>
      </w:r>
    </w:p>
    <w:p>
      <w:pPr>
        <w:pStyle w:val="0"/>
        <w:spacing w:before="200" w:line-rule="auto"/>
        <w:ind w:firstLine="540"/>
        <w:jc w:val="both"/>
      </w:pPr>
      <w:r>
        <w:rPr>
          <w:sz w:val="20"/>
        </w:rPr>
        <w:t xml:space="preserve">запрашивать в установленном порядке у территориальных органов федеральных органов исполнительной власти, органов государственной власти Алтайского края, органов местного самоуправления муниципальных образований Алтайского края, организаций, должностных лиц информацию и материалы, необходимые для осуществления задач экспертного совета;</w:t>
      </w:r>
    </w:p>
    <w:p>
      <w:pPr>
        <w:pStyle w:val="0"/>
        <w:spacing w:before="200" w:line-rule="auto"/>
        <w:ind w:firstLine="540"/>
        <w:jc w:val="both"/>
      </w:pPr>
      <w:r>
        <w:rPr>
          <w:sz w:val="20"/>
        </w:rPr>
        <w:t xml:space="preserve">привлекать в установленном порядке для осуществления информационно-аналитических и экспертных работ научные, образовательные и иные организации, а также ученых и экспертов.</w:t>
      </w:r>
    </w:p>
    <w:p>
      <w:pPr>
        <w:pStyle w:val="0"/>
        <w:spacing w:before="200" w:line-rule="auto"/>
        <w:ind w:firstLine="540"/>
        <w:jc w:val="both"/>
      </w:pPr>
      <w:r>
        <w:rPr>
          <w:sz w:val="20"/>
        </w:rPr>
        <w:t xml:space="preserve">3.2. Экспертный совет представляет Губернатору Алтайского края, территориальным органам федеральных органов исполнительной власти, органам государственной власти Алтайского края, органам местного самоуправления муниципальных образований Алтайского края информацию и предложения по вопросам, отнесенным к задачам и полномочиям экспертного совета.</w:t>
      </w:r>
    </w:p>
    <w:p>
      <w:pPr>
        <w:pStyle w:val="0"/>
        <w:jc w:val="both"/>
      </w:pPr>
      <w:r>
        <w:rPr>
          <w:sz w:val="20"/>
        </w:rPr>
      </w:r>
    </w:p>
    <w:p>
      <w:pPr>
        <w:pStyle w:val="2"/>
        <w:outlineLvl w:val="1"/>
        <w:jc w:val="center"/>
      </w:pPr>
      <w:r>
        <w:rPr>
          <w:sz w:val="20"/>
        </w:rPr>
        <w:t xml:space="preserve">4. Структура и формы работы экспертного совета</w:t>
      </w:r>
    </w:p>
    <w:p>
      <w:pPr>
        <w:pStyle w:val="0"/>
        <w:jc w:val="both"/>
      </w:pPr>
      <w:r>
        <w:rPr>
          <w:sz w:val="20"/>
        </w:rPr>
      </w:r>
    </w:p>
    <w:p>
      <w:pPr>
        <w:pStyle w:val="0"/>
        <w:ind w:firstLine="540"/>
        <w:jc w:val="both"/>
      </w:pPr>
      <w:r>
        <w:rPr>
          <w:sz w:val="20"/>
        </w:rPr>
        <w:t xml:space="preserve">4.1. Состав экспертного совета утверждается распоряжением Губернатора Алтайского края.</w:t>
      </w:r>
    </w:p>
    <w:p>
      <w:pPr>
        <w:pStyle w:val="0"/>
        <w:spacing w:before="200" w:line-rule="auto"/>
        <w:ind w:firstLine="540"/>
        <w:jc w:val="both"/>
      </w:pPr>
      <w:r>
        <w:rPr>
          <w:sz w:val="20"/>
        </w:rPr>
        <w:t xml:space="preserve">4.2. В состав экспертного совета входят председатель экспертного совета, заместитель председателя экспертного совета, секретарь и иные члены экспертного совета.</w:t>
      </w:r>
    </w:p>
    <w:p>
      <w:pPr>
        <w:pStyle w:val="0"/>
        <w:spacing w:before="200" w:line-rule="auto"/>
        <w:ind w:firstLine="540"/>
        <w:jc w:val="both"/>
      </w:pPr>
      <w:r>
        <w:rPr>
          <w:sz w:val="20"/>
        </w:rPr>
        <w:t xml:space="preserve">4.3. В состав экспертного совета могут входить не более 45 человек.</w:t>
      </w:r>
    </w:p>
    <w:p>
      <w:pPr>
        <w:pStyle w:val="0"/>
        <w:spacing w:before="200" w:line-rule="auto"/>
        <w:ind w:firstLine="540"/>
        <w:jc w:val="both"/>
      </w:pPr>
      <w:r>
        <w:rPr>
          <w:sz w:val="20"/>
        </w:rPr>
        <w:t xml:space="preserve">4.4. Председатель экспертного совета, а в его отсутствие - заместитель председателя экспертного совета:</w:t>
      </w:r>
    </w:p>
    <w:p>
      <w:pPr>
        <w:pStyle w:val="0"/>
        <w:spacing w:before="200" w:line-rule="auto"/>
        <w:ind w:firstLine="540"/>
        <w:jc w:val="both"/>
      </w:pPr>
      <w:r>
        <w:rPr>
          <w:sz w:val="20"/>
        </w:rPr>
        <w:t xml:space="preserve">определяет дату, время, место проведения заседания экспертного совета и его повестку;</w:t>
      </w:r>
    </w:p>
    <w:p>
      <w:pPr>
        <w:pStyle w:val="0"/>
        <w:spacing w:before="200" w:line-rule="auto"/>
        <w:ind w:firstLine="540"/>
        <w:jc w:val="both"/>
      </w:pPr>
      <w:r>
        <w:rPr>
          <w:sz w:val="20"/>
        </w:rPr>
        <w:t xml:space="preserve">осуществляет общее руководство деятельностью экспертного совета, проводит заседания экспертного совета;</w:t>
      </w:r>
    </w:p>
    <w:p>
      <w:pPr>
        <w:pStyle w:val="0"/>
        <w:spacing w:before="200" w:line-rule="auto"/>
        <w:ind w:firstLine="540"/>
        <w:jc w:val="both"/>
      </w:pPr>
      <w:r>
        <w:rPr>
          <w:sz w:val="20"/>
        </w:rPr>
        <w:t xml:space="preserve">подписывает протоколы заседаний экспертного совета, а также запросы и иные документы от имени экспертного совета;</w:t>
      </w:r>
    </w:p>
    <w:p>
      <w:pPr>
        <w:pStyle w:val="0"/>
        <w:spacing w:before="200" w:line-rule="auto"/>
        <w:ind w:firstLine="540"/>
        <w:jc w:val="both"/>
      </w:pPr>
      <w:r>
        <w:rPr>
          <w:sz w:val="20"/>
        </w:rPr>
        <w:t xml:space="preserve">подписывает ежегодный план работы экспертного совета.</w:t>
      </w:r>
    </w:p>
    <w:p>
      <w:pPr>
        <w:pStyle w:val="0"/>
        <w:spacing w:before="200" w:line-rule="auto"/>
        <w:ind w:firstLine="540"/>
        <w:jc w:val="both"/>
      </w:pPr>
      <w:r>
        <w:rPr>
          <w:sz w:val="20"/>
        </w:rPr>
        <w:t xml:space="preserve">4.5. Секретарь экспертного совета:</w:t>
      </w:r>
    </w:p>
    <w:p>
      <w:pPr>
        <w:pStyle w:val="0"/>
        <w:spacing w:before="200" w:line-rule="auto"/>
        <w:ind w:firstLine="540"/>
        <w:jc w:val="both"/>
      </w:pPr>
      <w:r>
        <w:rPr>
          <w:sz w:val="20"/>
        </w:rPr>
        <w:t xml:space="preserve">формирует повестку заседания экспертного совета с учетом предложений, рекомендаций членов экспертного совета;</w:t>
      </w:r>
    </w:p>
    <w:p>
      <w:pPr>
        <w:pStyle w:val="0"/>
        <w:spacing w:before="200" w:line-rule="auto"/>
        <w:ind w:firstLine="540"/>
        <w:jc w:val="both"/>
      </w:pPr>
      <w:r>
        <w:rPr>
          <w:sz w:val="20"/>
        </w:rPr>
        <w:t xml:space="preserve">заблаговременно информирует членов экспертного совета о плане работы экспертного совета, о дате проведения и предлагаемой повестке заседания экспертного совета и за 2 рабочих дня до его проведения обеспечивает членов экспертного совета рабочими документами и материалами по обсуждаемым вопросам;</w:t>
      </w:r>
    </w:p>
    <w:p>
      <w:pPr>
        <w:pStyle w:val="0"/>
        <w:spacing w:before="200" w:line-rule="auto"/>
        <w:ind w:firstLine="540"/>
        <w:jc w:val="both"/>
      </w:pPr>
      <w:r>
        <w:rPr>
          <w:sz w:val="20"/>
        </w:rPr>
        <w:t xml:space="preserve">оформляет протоколы заседаний экспертного совета, в отсутствие секретаря экспертного совета протокол заседания оформляет лицо, определенное председательствующим на заседании;</w:t>
      </w:r>
    </w:p>
    <w:p>
      <w:pPr>
        <w:pStyle w:val="0"/>
        <w:spacing w:before="200" w:line-rule="auto"/>
        <w:ind w:firstLine="540"/>
        <w:jc w:val="both"/>
      </w:pPr>
      <w:r>
        <w:rPr>
          <w:sz w:val="20"/>
        </w:rPr>
        <w:t xml:space="preserve">выполняет поручения председателя экспертного совета и заместителя председателя экспертного совета;</w:t>
      </w:r>
    </w:p>
    <w:p>
      <w:pPr>
        <w:pStyle w:val="0"/>
        <w:spacing w:before="200" w:line-rule="auto"/>
        <w:ind w:firstLine="540"/>
        <w:jc w:val="both"/>
      </w:pPr>
      <w:r>
        <w:rPr>
          <w:sz w:val="20"/>
        </w:rPr>
        <w:t xml:space="preserve">ведет документооборот, связанный с деятельностью экспертного совета;</w:t>
      </w:r>
    </w:p>
    <w:p>
      <w:pPr>
        <w:pStyle w:val="0"/>
        <w:spacing w:before="200" w:line-rule="auto"/>
        <w:ind w:firstLine="540"/>
        <w:jc w:val="both"/>
      </w:pPr>
      <w:r>
        <w:rPr>
          <w:sz w:val="20"/>
        </w:rPr>
        <w:t xml:space="preserve">осуществляет иные полномочия в соответствии с настоящим Положением.</w:t>
      </w:r>
    </w:p>
    <w:p>
      <w:pPr>
        <w:pStyle w:val="0"/>
        <w:spacing w:before="200" w:line-rule="auto"/>
        <w:ind w:firstLine="540"/>
        <w:jc w:val="both"/>
      </w:pPr>
      <w:r>
        <w:rPr>
          <w:sz w:val="20"/>
        </w:rPr>
        <w:t xml:space="preserve">4.6. Члены экспертного совета:</w:t>
      </w:r>
    </w:p>
    <w:p>
      <w:pPr>
        <w:pStyle w:val="0"/>
        <w:spacing w:before="200" w:line-rule="auto"/>
        <w:ind w:firstLine="540"/>
        <w:jc w:val="both"/>
      </w:pPr>
      <w:r>
        <w:rPr>
          <w:sz w:val="20"/>
        </w:rPr>
        <w:t xml:space="preserve">вносят предложения по повестке заседаний и порядку обсуждения вопросов;</w:t>
      </w:r>
    </w:p>
    <w:p>
      <w:pPr>
        <w:pStyle w:val="0"/>
        <w:spacing w:before="200" w:line-rule="auto"/>
        <w:ind w:firstLine="540"/>
        <w:jc w:val="both"/>
      </w:pPr>
      <w:r>
        <w:rPr>
          <w:sz w:val="20"/>
        </w:rPr>
        <w:t xml:space="preserve">участвуют в подготовке материалов к заседаниям экспертного совета, а также проектов его решений;</w:t>
      </w:r>
    </w:p>
    <w:p>
      <w:pPr>
        <w:pStyle w:val="0"/>
        <w:spacing w:before="200" w:line-rule="auto"/>
        <w:ind w:firstLine="540"/>
        <w:jc w:val="both"/>
      </w:pPr>
      <w:r>
        <w:rPr>
          <w:sz w:val="20"/>
        </w:rPr>
        <w:t xml:space="preserve">содействуют реализации решений экспертного совета.</w:t>
      </w:r>
    </w:p>
    <w:p>
      <w:pPr>
        <w:pStyle w:val="0"/>
        <w:spacing w:before="200" w:line-rule="auto"/>
        <w:ind w:firstLine="540"/>
        <w:jc w:val="both"/>
      </w:pPr>
      <w:r>
        <w:rPr>
          <w:sz w:val="20"/>
        </w:rPr>
        <w:t xml:space="preserve">Члены экспертного совета имеют право знакомиться с представленными в экспертный совет материалами.</w:t>
      </w:r>
    </w:p>
    <w:p>
      <w:pPr>
        <w:pStyle w:val="0"/>
        <w:spacing w:before="200" w:line-rule="auto"/>
        <w:ind w:firstLine="540"/>
        <w:jc w:val="both"/>
      </w:pPr>
      <w:r>
        <w:rPr>
          <w:sz w:val="20"/>
        </w:rPr>
        <w:t xml:space="preserve">4.7. Экспертный совет может формировать из числа членов экспертного совета экспертные, консультативные рабочие группы по направлениям своей деятельности.</w:t>
      </w:r>
    </w:p>
    <w:p>
      <w:pPr>
        <w:pStyle w:val="0"/>
        <w:spacing w:before="200" w:line-rule="auto"/>
        <w:ind w:firstLine="540"/>
        <w:jc w:val="both"/>
      </w:pPr>
      <w:r>
        <w:rPr>
          <w:sz w:val="20"/>
        </w:rPr>
        <w:t xml:space="preserve">К участию в работе рабочих групп могут привлекаться эксперты по профилю рассматриваемой проблемы, представители территориальных органов федеральных органов исполнительной власти, органов государственной власти Алтайского края, органов местного самоуправления муниципальных образований Алтайского края и иных организаций. Состав рабочих групп утверждается протоколом заседания экспертного совета.</w:t>
      </w:r>
    </w:p>
    <w:p>
      <w:pPr>
        <w:pStyle w:val="0"/>
        <w:spacing w:before="200" w:line-rule="auto"/>
        <w:ind w:firstLine="540"/>
        <w:jc w:val="both"/>
      </w:pPr>
      <w:r>
        <w:rPr>
          <w:sz w:val="20"/>
        </w:rPr>
        <w:t xml:space="preserve">4.8. Заседания экспертного совета проводятся не реже одного раза в квартал и могут проходить в очной, заочной и очно-заочной формах. Решение о проведении заседания экспертного совета, в том числе о форме его проведения, принимается председателем экспертного совета.</w:t>
      </w:r>
    </w:p>
    <w:p>
      <w:pPr>
        <w:pStyle w:val="0"/>
        <w:spacing w:before="200" w:line-rule="auto"/>
        <w:ind w:firstLine="540"/>
        <w:jc w:val="both"/>
      </w:pPr>
      <w:r>
        <w:rPr>
          <w:sz w:val="20"/>
        </w:rPr>
        <w:t xml:space="preserve">4.9. В случае проведения заседания экспертного совета в очной форме члены экспертного совета участвуют в нем лично. При проведении заседания в заочной форме члены экспертного совета участвуют в нем дистанционно в формате видео-конференц-связи с использованием технических средств связи. При очно-заочной форме проведения заседания члены экспертного совета могут участвовать в нем как лично, так и в формате видео-конференц-связи.</w:t>
      </w:r>
    </w:p>
    <w:p>
      <w:pPr>
        <w:pStyle w:val="0"/>
        <w:spacing w:before="200" w:line-rule="auto"/>
        <w:ind w:firstLine="540"/>
        <w:jc w:val="both"/>
      </w:pPr>
      <w:r>
        <w:rPr>
          <w:sz w:val="20"/>
        </w:rPr>
        <w:t xml:space="preserve">4.10. В том случае, если член экспертного совета не может участвовать в заседании, он обязан не позднее чем за 2 рабочих дня до дня заседания в письменной форме известить об этом секретаря экспертного совета. При этом член экспертного совета вправе изложить свое мнение по рассматриваемым в ходе заседания вопросам в письменной форме. Мнение члена экспертного совета доводится до участников заседания и отражается в протоколе заседания экспертного совета.</w:t>
      </w:r>
    </w:p>
    <w:p>
      <w:pPr>
        <w:pStyle w:val="0"/>
        <w:spacing w:before="200" w:line-rule="auto"/>
        <w:ind w:firstLine="540"/>
        <w:jc w:val="both"/>
      </w:pPr>
      <w:r>
        <w:rPr>
          <w:sz w:val="20"/>
        </w:rPr>
        <w:t xml:space="preserve">4.11. Заседание экспертного совета считается правомочным, если на нем присутствует (принимает в нем участие) не менее половины состава экспертного совета.</w:t>
      </w:r>
    </w:p>
    <w:p>
      <w:pPr>
        <w:pStyle w:val="0"/>
        <w:spacing w:before="200" w:line-rule="auto"/>
        <w:ind w:firstLine="540"/>
        <w:jc w:val="both"/>
      </w:pPr>
      <w:r>
        <w:rPr>
          <w:sz w:val="20"/>
        </w:rPr>
        <w:t xml:space="preserve">4.12. Решения экспертного совета, проводимого в очной, очно-заочной формах, принимаются простым большинством голосов присутствующих на заседании (принимающих в нем участие) членов экспертного совета. В случае равенства голосов решающим является голос председательствующего на заседании экспертного совета.</w:t>
      </w:r>
    </w:p>
    <w:p>
      <w:pPr>
        <w:pStyle w:val="0"/>
        <w:spacing w:before="200" w:line-rule="auto"/>
        <w:ind w:firstLine="540"/>
        <w:jc w:val="both"/>
      </w:pPr>
      <w:r>
        <w:rPr>
          <w:sz w:val="20"/>
        </w:rPr>
        <w:t xml:space="preserve">При проведении заседания экспертного совета в заочной форме секретарь экспертного совета направляет всем членам экспертного совета уведомление о проведении заседания в заочной форме, в котором указываются даты заседания и окончания срока заочного голосования по вопросам повестки дня, с приложением повестки дня, листов для заочного голосования по вопросам повестки дня и иных необходимых материалов.</w:t>
      </w:r>
    </w:p>
    <w:p>
      <w:pPr>
        <w:pStyle w:val="0"/>
        <w:spacing w:before="200" w:line-rule="auto"/>
        <w:ind w:firstLine="540"/>
        <w:jc w:val="both"/>
      </w:pPr>
      <w:r>
        <w:rPr>
          <w:sz w:val="20"/>
        </w:rPr>
        <w:t xml:space="preserve">Лист для заочного голосования по вопросам повестки дня заседания экспертного совета должен содержать формулировку каждого вопроса, поставленного на голосование, варианты голосования по каждому вопросу, поставленному на голосование, выраженные формулировками "за", "против" или "воздержался", указание должности, фамилии, имени, отчества (при наличии) члена экспертного совета, его подпись и дату подписания.</w:t>
      </w:r>
    </w:p>
    <w:p>
      <w:pPr>
        <w:pStyle w:val="0"/>
        <w:spacing w:before="200" w:line-rule="auto"/>
        <w:ind w:firstLine="540"/>
        <w:jc w:val="both"/>
      </w:pPr>
      <w:r>
        <w:rPr>
          <w:sz w:val="20"/>
        </w:rPr>
        <w:t xml:space="preserve">Члены экспертного совета не позднее даты окончания срока заочного голосования, указанной в уведомлении о проведении заседания экспертного совета в заочной форме, представляют секретарю экспертного совета заполненные и подписанные листы для заочного голосования по вопросам повестки дня заседания экспертного совета.</w:t>
      </w:r>
    </w:p>
    <w:p>
      <w:pPr>
        <w:pStyle w:val="0"/>
        <w:spacing w:before="200" w:line-rule="auto"/>
        <w:ind w:firstLine="540"/>
        <w:jc w:val="both"/>
      </w:pPr>
      <w:r>
        <w:rPr>
          <w:sz w:val="20"/>
        </w:rPr>
        <w:t xml:space="preserve">Решения экспертного совета, проводимого в заочной форме, принимаются по итогам заочного голосования простым большинством голосов от числа представивших заполненные и подписанные листы для заочного голосования по вопросам повестки заседания экспертного совета, которые являются неотъемлемой частью протокола. В случае равенства голосов решающим является голос председателя экспертного совета.</w:t>
      </w:r>
    </w:p>
    <w:p>
      <w:pPr>
        <w:pStyle w:val="0"/>
        <w:spacing w:before="200" w:line-rule="auto"/>
        <w:ind w:firstLine="540"/>
        <w:jc w:val="both"/>
      </w:pPr>
      <w:r>
        <w:rPr>
          <w:sz w:val="20"/>
        </w:rPr>
        <w:t xml:space="preserve">Решения экспертного совета оформляются протоколом, подписываемым председательствующим на заседании экспертного совета, в течение 15 рабочих дней после его проведения.</w:t>
      </w:r>
    </w:p>
    <w:p>
      <w:pPr>
        <w:pStyle w:val="0"/>
        <w:spacing w:before="200" w:line-rule="auto"/>
        <w:ind w:firstLine="540"/>
        <w:jc w:val="both"/>
      </w:pPr>
      <w:r>
        <w:rPr>
          <w:sz w:val="20"/>
        </w:rPr>
        <w:t xml:space="preserve">4.13. Экспертный совет организует свою работу в соответствии с ежегодным планом работы, сформированным на основании предложений членов экспертного совета.</w:t>
      </w:r>
    </w:p>
    <w:p>
      <w:pPr>
        <w:pStyle w:val="0"/>
        <w:spacing w:before="200" w:line-rule="auto"/>
        <w:ind w:firstLine="540"/>
        <w:jc w:val="both"/>
      </w:pPr>
      <w:r>
        <w:rPr>
          <w:sz w:val="20"/>
        </w:rPr>
        <w:t xml:space="preserve">Ежегодный план работы экспертного совета утверждается на его первом очном заседании большинством голосов от общего числа членов экспертного совета, присутствующих на заседании.</w:t>
      </w:r>
    </w:p>
    <w:p>
      <w:pPr>
        <w:pStyle w:val="0"/>
        <w:spacing w:before="200" w:line-rule="auto"/>
        <w:ind w:firstLine="540"/>
        <w:jc w:val="both"/>
      </w:pPr>
      <w:r>
        <w:rPr>
          <w:sz w:val="20"/>
        </w:rPr>
        <w:t xml:space="preserve">Члены экспертного совета могут вносить на обсуждение экспертного совета вопросы, необходимость в рассмотрении которых возникла после утверждения ежегодного плана работы экспертного совета.</w:t>
      </w:r>
    </w:p>
    <w:p>
      <w:pPr>
        <w:pStyle w:val="0"/>
        <w:spacing w:before="200" w:line-rule="auto"/>
        <w:ind w:firstLine="540"/>
        <w:jc w:val="both"/>
      </w:pPr>
      <w:r>
        <w:rPr>
          <w:sz w:val="20"/>
        </w:rPr>
        <w:t xml:space="preserve">4.14. Организационно-техническое обеспечение деятельности экспертного совета осуществляется Министерством природных ресурсов и экологии Алтайского края.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Алтайского края от 20.01.2025 N 7</w:t>
            <w:br/>
            <w:t>"Об утверждении Положения об общественно-экспертном совете по вопроса...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Алтайского края от 20.01.2025 N 7
"Об утверждении Положения об общественно-экспертном совете по вопросам экологии при Губернаторе Алтайского края"</dc:title>
  <dcterms:created xsi:type="dcterms:W3CDTF">2025-06-07T09:39:10Z</dcterms:created>
</cp:coreProperties>
</file>