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Амурской области от 28.12.2023 N 1136</w:t>
              <w:br/>
              <w:t xml:space="preserve">"Об утверждении Правил предоставления иных межбюджетных трансфертов бюджетам муниципальных образований Амурской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декабря 2023 г. N 1136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ИНЫХ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 БЮДЖЕТАМ МУНИЦИПАЛЬНЫХ ОБРАЗОВАНИЙ АМУРСКОЙ</w:t>
      </w:r>
    </w:p>
    <w:p>
      <w:pPr>
        <w:pStyle w:val="2"/>
        <w:jc w:val="center"/>
      </w:pPr>
      <w:r>
        <w:rPr>
          <w:sz w:val="20"/>
        </w:rPr>
        <w:t xml:space="preserve">ОБЛАСТИ НА ПРОВЕДЕНИЕ МЕРОПРИЯТИЙ ПО ОБЕСПЕЧЕНИЮ</w:t>
      </w:r>
    </w:p>
    <w:p>
      <w:pPr>
        <w:pStyle w:val="2"/>
        <w:jc w:val="center"/>
      </w:pPr>
      <w:r>
        <w:rPr>
          <w:sz w:val="20"/>
        </w:rPr>
        <w:t xml:space="preserve">ДЕЯТЕЛЬНОСТИ СОВЕТНИКОВ ДИРЕКТОРА ПО ВОСПИТАНИЮ</w:t>
      </w:r>
    </w:p>
    <w:p>
      <w:pPr>
        <w:pStyle w:val="2"/>
        <w:jc w:val="center"/>
      </w:pPr>
      <w:r>
        <w:rPr>
          <w:sz w:val="20"/>
        </w:rPr>
        <w:t xml:space="preserve">И ВЗАИМОДЕЙСТВИЮ С ДЕТСКИМИ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 В ОБЩЕОБРАЗОВАТЕЛЬНЫХ ОРГАНИЗАЦИЯХ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 Правительство Амурской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иных межбюджетных трансфертов бюджетам муниципальных образований Амурской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председателя Правительства Амурской области - министра образования и науки Амурской области Яковлеву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подлежит официальному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размещению на портале Правительства Амурской области в информационно-телекоммуникационной сети Интернет (</w:t>
      </w:r>
      <w:r>
        <w:rPr>
          <w:sz w:val="20"/>
        </w:rPr>
        <w:t xml:space="preserve">www.amurobl.ru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28 декабря 2023 г. N 1136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ИНЫХ МЕЖБЮДЖЕТНЫХ ТРАНСФЕРТОВ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АМУРСКОЙ ОБЛАСТИ</w:t>
      </w:r>
    </w:p>
    <w:p>
      <w:pPr>
        <w:pStyle w:val="2"/>
        <w:jc w:val="center"/>
      </w:pPr>
      <w:r>
        <w:rPr>
          <w:sz w:val="20"/>
        </w:rPr>
        <w:t xml:space="preserve">НА ПРОВЕДЕНИЕ МЕРОПРИЯТИЙ ПО ОБЕСПЕЧЕНИЮ</w:t>
      </w:r>
    </w:p>
    <w:p>
      <w:pPr>
        <w:pStyle w:val="2"/>
        <w:jc w:val="center"/>
      </w:pPr>
      <w:r>
        <w:rPr>
          <w:sz w:val="20"/>
        </w:rPr>
        <w:t xml:space="preserve">ДЕЯТЕЛЬНОСТИ СОВЕТНИКОВ ДИРЕКТОРА</w:t>
      </w:r>
    </w:p>
    <w:p>
      <w:pPr>
        <w:pStyle w:val="2"/>
        <w:jc w:val="center"/>
      </w:pPr>
      <w:r>
        <w:rPr>
          <w:sz w:val="20"/>
        </w:rPr>
        <w:t xml:space="preserve">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</w:t>
      </w:r>
    </w:p>
    <w:p>
      <w:pPr>
        <w:pStyle w:val="2"/>
        <w:jc w:val="center"/>
      </w:pPr>
      <w:r>
        <w:rPr>
          <w:sz w:val="20"/>
        </w:rPr>
        <w:t xml:space="preserve">В ОБЩЕОБРАЗОВАТЕЛЬНЫХ ОРГАНИЗАЦИЯХ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порядок, цели и условия предоставления иных межбюджетных трансфертов бюджетам муниципальных образований Амурской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(далее соответственно - иные межбюджетные трансферты, муниципальные образования, советники).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Источником финансового обеспечения иных межбюджетных трансфертов являются средства федерального и областного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межбюджетные трансферты предоставляются в целях софинансирования в полном объеме расходных обязательств муниципальных образований на проведение мероприятий по обеспечению деятельности советников.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Иные межбюджетные трансферты предоставляются министерством образования и науки Амурской области, являющимся главным распорядителем средств областного бюджета (далее - главный распорядитель), бюджетам муниципальных образований в пределах бюджетных ассигнований, предусмотренных в областном бюджете на текущий финансовый год и плановый период, и лимитов бюджетных обязательств, утвержденных главному распорядителю на предоставление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Распределение иных межбюджетных трансфертов (S</w:t>
      </w:r>
      <w:r>
        <w:rPr>
          <w:sz w:val="20"/>
          <w:vertAlign w:val="subscript"/>
        </w:rPr>
        <w:t xml:space="preserve">ir</w:t>
      </w:r>
      <w:r>
        <w:rPr>
          <w:sz w:val="20"/>
        </w:rPr>
        <w:t xml:space="preserve">) между муниципальными образованиями осуществляется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i w:val="on"/>
        </w:rPr>
        <w:t xml:space="preserve">S</w:t>
      </w:r>
      <w:r>
        <w:rPr>
          <w:sz w:val="20"/>
          <w:i w:val="on"/>
          <w:vertAlign w:val="subscript"/>
        </w:rPr>
        <w:t xml:space="preserve">ir</w:t>
      </w:r>
      <w:r>
        <w:rPr>
          <w:sz w:val="20"/>
        </w:rPr>
        <w:t xml:space="preserve"> = </w:t>
      </w:r>
      <w:r>
        <w:rPr>
          <w:sz w:val="20"/>
          <w:i w:val="on"/>
        </w:rPr>
        <w:t xml:space="preserve">C</w:t>
      </w:r>
      <w:r>
        <w:rPr>
          <w:sz w:val="20"/>
          <w:i w:val="on"/>
          <w:vertAlign w:val="subscript"/>
        </w:rPr>
        <w:t xml:space="preserve">i</w:t>
      </w:r>
      <w:r>
        <w:rPr>
          <w:sz w:val="20"/>
        </w:rPr>
        <w:t xml:space="preserve"> x 0,5 x </w:t>
      </w:r>
      <w:r>
        <w:rPr>
          <w:sz w:val="20"/>
          <w:i w:val="on"/>
        </w:rPr>
        <w:t xml:space="preserve">R</w:t>
      </w:r>
      <w:r>
        <w:rPr>
          <w:sz w:val="20"/>
          <w:i w:val="on"/>
          <w:vertAlign w:val="subscript"/>
        </w:rPr>
        <w:t xml:space="preserve">i</w:t>
      </w:r>
      <w:r>
        <w:rPr>
          <w:sz w:val="20"/>
        </w:rPr>
        <w:t xml:space="preserve"> / K</w:t>
      </w:r>
      <w:r>
        <w:rPr>
          <w:sz w:val="20"/>
          <w:vertAlign w:val="subscript"/>
        </w:rPr>
        <w:t xml:space="preserve">ср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t</w:t>
      </w:r>
      <w:r>
        <w:rPr>
          <w:sz w:val="20"/>
        </w:rPr>
        <w:t xml:space="preserve"> x 1,302 x 12,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муниципальных общеобразовательных организаций в i-м муниципальном образовании, в штатных расписаниях которых имеются должности советников;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показатель среднемесячной начисленной заработной платы наемных работников в организациях, у индивидуальных предпринимателей и физических лиц, используемый Министерством просвещения Российской Федерации для расчета объема субсидии, предоставляемой из федерального бюджета бюджету Амурской области на предоставление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ср</w:t>
      </w:r>
      <w:r>
        <w:rPr>
          <w:sz w:val="20"/>
        </w:rPr>
        <w:t xml:space="preserve"> - усредненное значение районного коэффициента к заработной плате за работу в местностях, приравненных к районам Крайнего Севера, или в южных районах Амурской области, процентных надбавок к заработной плате за стаж работы в местностях, приравненных к районам Крайнего Севера, или в южных районах Дальнего Востока, принимается равным 1,722043;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t</w:t>
      </w:r>
      <w:r>
        <w:rPr>
          <w:sz w:val="20"/>
        </w:rPr>
        <w:t xml:space="preserve"> - районный коэффициент к заработной плате за работу в местностях, приравненных к районам Крайнего Севера, или в южных районах Амурской области, установленный </w:t>
      </w:r>
      <w:hyperlink w:history="0" r:id="rId8" w:tooltip="Закон Амурской области от 11.04.2005 N 471-ОЗ (ред. от 06.10.2023) &quot;О гарантиях и компенсациях для лиц, работающих и проживающих на территории Амурской области&quot; (принят Амурским областным Советом народных депутатов 17.03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Амурской области от 11 апреля 2005 г. N 471-ОЗ "О гарантиях и компенсациях для лиц, работающих и проживающих на территории Амурской области", процентные надбавки к заработной плате за стаж работы в местностях, приравненных к районам Крайнего Севера, или в южных районах Дальнего Востока, установленные решениями органов государственной власти СССР или федеральных органов государственной власти для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0,5 - размер ставки штатной единицы, применяемый для расчета заработной платы ставки советника.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иных межбюджетных трансфертов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муниципального правового акта, предусматривающего реализацию мероприятий по обеспечению деятельности советников;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штатных расписаниях муниципальных общеобразовательных организаций должности советника либо проектов штатных расписаний муниципальных общеобразовательных организаций, в которых планируется введение должности советника.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Муниципальные образования представляют главному распорядителю в срок до 20 января текущего года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заявка на предоставление иного межбюджетного трансферта по форме, утвержденной главным распорядителем;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муниципального правового акта, предусматривающего реализацию мероприятий по обеспечению деятельности советников;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наличие в штатных расписаниях муниципальных общеобразовательных организаций должности советника либо наличие проектов штатных расписаний, в которых планируется введение должности советника.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Распределение иных межбюджетных трансфертов утверждается законом Амурской области об областном бюджете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Предоставление иного межбюджетного трансферта осуществляется на основании соглашения, заключаемого главным распорядителем и органом местного самоуправления муниципального образования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Соглашение заключается по форме, аналогичной типовой форме </w:t>
      </w:r>
      <w:hyperlink w:history="0" r:id="rId9" w:tooltip="Приказ Минфина России от 14.12.2018 N 270н (ред. от 06.12.2023) &quot;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&quot; (Зарегистрировано в Минюсте России 21.01.2019 N 53461)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предоставлении иного межбюджетного трансферта, имеющего целевое назначение, из федерального бюджета бюджету субъекта Российской Федерации, утвержденной приказом Министерства финансов Российской Федерации от 14 декабря 2018 г. N 270н.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Соглашение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размер предоставляемого иного межбюджетного трансферта, порядок и условия его перечисления в бюджет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результат предоставления иного межбюджетного трансферта;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сроки направления и форма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осуществления контроля за выполнением муниципальным образованием обязательств, предусмотренных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органа местного самоуправления, на который возлагаются функции по исполнению (координации исполнения) соглашения со стороны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условия в соответствии с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Соглашение заключается в течение 30 календарных дней со дня утверждения распределения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Перечисление иного межбюджетного трансферта из областного бюджета в бюджет муниципального образования осуществляется на единый счет местного бюджета, открытый финансовому органу муниципального образования в Управлении Федерального казначейства по Амурской области,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является иной межбюджетный трансферт.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Муниципальное образование обеспечивает достижение результата предоставления иного межбюджетного трансферта и его значения, которые определяются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если муниципальным образованием по состоянию на 31 декабря текущего финансового года допущены нарушения обязательств по достижению значения результата предоставления иного межбюджетного трансферта и в срок до первой даты представления отчета о достижении значения результата предоставления иного межбюджетного трансферта в году, следующем за годом предоставления иных межбюджетных трансфертов, указанные нарушения не устранены, размер средств, подлежащий возврату из бюджета муниципального образования в областной бюджет в срок до 1 мая года, следующего за годом предоставления иных межбюджетных трансфертов (V</w:t>
      </w:r>
      <w:r>
        <w:rPr>
          <w:sz w:val="20"/>
          <w:vertAlign w:val="subscript"/>
        </w:rPr>
        <w:t xml:space="preserve">возвратi</w:t>
      </w:r>
      <w:r>
        <w:rPr>
          <w:sz w:val="20"/>
        </w:rPr>
        <w:t xml:space="preserve">),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возвратi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трi</w:t>
      </w:r>
      <w:r>
        <w:rPr>
          <w:sz w:val="20"/>
        </w:rPr>
        <w:t xml:space="preserve"> X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n) X 0,1,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трi</w:t>
      </w:r>
      <w:r>
        <w:rPr>
          <w:sz w:val="20"/>
        </w:rPr>
        <w:t xml:space="preserve"> - размер иных межбюджетных трансфертов, фактически предоставленных бюджету i-го муниципального образования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результата предоставления иного межбюджетного трансферта i-м муниципальным образованием (используются только положительные значения индекса, отражающего уровень недостижения значения результата предоставления иного межбюджетного трансферта);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иных межбюджетных трансфертов, значения которых установлены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определении размера средств, подлежащего возврату из бюджета муниципального образования в областной бюджет, в размере иных межбюджетных трансфертов, фактически предоставленных бюджету муниципального образования в отчетном финансовом году (V</w:t>
      </w:r>
      <w:r>
        <w:rPr>
          <w:sz w:val="20"/>
          <w:vertAlign w:val="subscript"/>
        </w:rPr>
        <w:t xml:space="preserve">трi</w:t>
      </w:r>
      <w:r>
        <w:rPr>
          <w:sz w:val="20"/>
        </w:rPr>
        <w:t xml:space="preserve">), не учитывается размер остатка иных межбюджетных трансфертов, не использованных по состоянию на 1 января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Индекс, отражающий уровень недостижения значения результата предоставления иного межбюджетного трансферта i-м муниципальным образованием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результата предоставления иного межбюджетного трансферта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результата предоставления иного межбюджетного трансферта,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нецелевого использования иного межбюджетного трансферта и (или) нарушения муниципальным образованием условий его предоставления (расходования), в том числе невозврата муниципальным образованием средств в областной бюджет,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муниципальными образованиями условий предоставления иных межбюджетных трансфертов осуществляется главным распорядителем. Уполномоченный орган местного самоуправления муниципального образования формирует отчет о расходовании иного межбюджетного трансферта и отчет о достижении значения результата предоставления иного межбюджетного трансферта в государственной интегрированной информационной системе управления общественными финансами "Электронный бюджет" по форме и в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Главный распорядитель ежеквартально, не позднее 15 числа месяца, следующего за отчетным кварталом, представляет в министерство финансов Амурской области </w:t>
      </w:r>
      <w:hyperlink w:history="0" w:anchor="P105" w:tooltip="Сведения о расходовании иных межбюджетных трансфертов,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расходовании иного межбюджетного трансферта по форме согласно приложению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Оценка эффективности использования иного межбюджетного трансферта муниципальным образованием в отчетном финансовом году осуществляется главным распорядителем на основании сравнения установленных соглашением и фактически достигнутых муниципальным образованием по итогам отчетного финансового года значений результатов предоставления иного межбюджетного трансферта.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Уполномоченный орган местного самоуправления муниципального образования несет ответственность за результативность, целевое использование иного межбюджетного трансферта, достоверность представляемых главному распорядителю сведений (документов, отчетов).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534"/>
      </w:tblGrid>
      <w:tr>
        <w:tc>
          <w:tcPr>
            <w:tcW w:w="15534" w:type="dxa"/>
            <w:tcBorders>
              <w:top w:val="nil"/>
              <w:left w:val="nil"/>
              <w:bottom w:val="nil"/>
              <w:right w:val="nil"/>
            </w:tcBorders>
          </w:tcPr>
          <w:bookmarkStart w:id="105" w:name="P105"/>
          <w:bookmarkEnd w:id="105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расходовании иных межбюджетных трансфертов,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предоставленных бюджетам муниципальных образований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Амурской области на проведение мероприятий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обеспечению деятельности советников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директора по воспитанию и взаимодействию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детскими общественными объединениями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общеобразовательных организациях,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_____________ 20__ г.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217"/>
        <w:gridCol w:w="1020"/>
        <w:gridCol w:w="850"/>
        <w:gridCol w:w="1138"/>
        <w:gridCol w:w="1304"/>
        <w:gridCol w:w="860"/>
        <w:gridCol w:w="1191"/>
        <w:gridCol w:w="1361"/>
        <w:gridCol w:w="850"/>
        <w:gridCol w:w="1134"/>
        <w:gridCol w:w="1264"/>
        <w:gridCol w:w="1417"/>
      </w:tblGrid>
      <w:tr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gridSpan w:val="2"/>
            <w:tcW w:w="2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результата предоставления иного межбюджетного трансферта</w:t>
            </w:r>
          </w:p>
        </w:tc>
        <w:tc>
          <w:tcPr>
            <w:gridSpan w:val="3"/>
            <w:tcW w:w="3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объем ассигнований</w:t>
            </w:r>
          </w:p>
        </w:tc>
        <w:tc>
          <w:tcPr>
            <w:gridSpan w:val="3"/>
            <w:tcW w:w="34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профинансировано в отчетном периоде</w:t>
            </w:r>
          </w:p>
        </w:tc>
        <w:tc>
          <w:tcPr>
            <w:gridSpan w:val="3"/>
            <w:tcW w:w="3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исполнено в отчетном периоде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неосвоения иного межбюджетного трансферта</w:t>
            </w:r>
          </w:p>
        </w:tc>
      </w:tr>
      <w:tr>
        <w:tc>
          <w:tcPr>
            <w:vMerge w:val="continue"/>
          </w:tcPr>
          <w:p/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90"/>
        <w:gridCol w:w="1875"/>
        <w:gridCol w:w="585"/>
        <w:gridCol w:w="4695"/>
        <w:gridCol w:w="6180"/>
      </w:tblGrid>
      <w:t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5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Исполнитель: Ф.И.О., тел.: ___________________________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28.12.2023 N 1136</w:t>
            <w:br/>
            <w:t>"Об утверждении Правил предоставления иных межбюджетны...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28.12.2023 N 1136</w:t>
            <w:br/>
            <w:t>"Об утверждении Правил предоставления иных межбюджетны...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358" TargetMode = "External"/>
	<Relationship Id="rId8" Type="http://schemas.openxmlformats.org/officeDocument/2006/relationships/hyperlink" Target="https://login.consultant.ru/link/?req=doc&amp;base=RLAW080&amp;n=156647" TargetMode = "External"/>
	<Relationship Id="rId9" Type="http://schemas.openxmlformats.org/officeDocument/2006/relationships/hyperlink" Target="https://login.consultant.ru/link/?req=doc&amp;base=LAW&amp;n=464991&amp;dst=100010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28.12.2023 N 1136
"Об утверждении Правил предоставления иных межбюджетных трансфертов бюджетам муниципальных образований Амурской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dc:title>
  <dcterms:created xsi:type="dcterms:W3CDTF">2024-06-02T07:56:49Z</dcterms:created>
</cp:coreProperties>
</file>