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Челябинской области от 28.04.2011 N 113-ЗО</w:t>
              <w:br/>
              <w:t xml:space="preserve">(ред. от 23.12.2024)</w:t>
              <w:br/>
              <w:t xml:space="preserve">"О порядке проведения публичного мероприятия на объектах транспортной инфраструктуры, используемых для транспорта общего пользования"</w:t>
              <w:br/>
              <w:t xml:space="preserve">(подписан Губернатором Челябинской области 06.05.2011)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апреля 2011 года</w:t>
            </w:r>
          </w:p>
        </w:tc>
        <w:tc>
          <w:tcPr>
            <w:tcW w:w="5103" w:type="dxa"/>
            <w:tcBorders>
              <w:top w:val="nil"/>
              <w:left w:val="nil"/>
              <w:bottom w:val="nil"/>
              <w:right w:val="nil"/>
            </w:tcBorders>
          </w:tcPr>
          <w:p>
            <w:pPr>
              <w:pStyle w:val="0"/>
              <w:jc w:val="right"/>
            </w:pPr>
            <w:r>
              <w:rPr>
                <w:sz w:val="20"/>
              </w:rPr>
              <w:t xml:space="preserve">N 113-ЗО</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t xml:space="preserve">ЧЕЛЯБИНСКОЙ ОБЛАСТИ</w:t>
      </w:r>
    </w:p>
    <w:p>
      <w:pPr>
        <w:pStyle w:val="2"/>
        <w:jc w:val="center"/>
      </w:pPr>
      <w:r>
        <w:rPr>
          <w:sz w:val="20"/>
        </w:rPr>
      </w:r>
    </w:p>
    <w:p>
      <w:pPr>
        <w:pStyle w:val="2"/>
        <w:jc w:val="center"/>
      </w:pPr>
      <w:r>
        <w:rPr>
          <w:sz w:val="20"/>
        </w:rPr>
        <w:t xml:space="preserve">О порядке проведения публичного мероприятия</w:t>
      </w:r>
    </w:p>
    <w:p>
      <w:pPr>
        <w:pStyle w:val="2"/>
        <w:jc w:val="center"/>
      </w:pPr>
      <w:r>
        <w:rPr>
          <w:sz w:val="20"/>
        </w:rPr>
        <w:t xml:space="preserve">на объектах транспортной инфраструктуры,</w:t>
      </w:r>
    </w:p>
    <w:p>
      <w:pPr>
        <w:pStyle w:val="2"/>
        <w:jc w:val="center"/>
      </w:pPr>
      <w:r>
        <w:rPr>
          <w:sz w:val="20"/>
        </w:rPr>
        <w:t xml:space="preserve">используемых для транспорта общего пользования</w:t>
      </w:r>
    </w:p>
    <w:p>
      <w:pPr>
        <w:pStyle w:val="0"/>
        <w:jc w:val="both"/>
      </w:pPr>
      <w:r>
        <w:rPr>
          <w:sz w:val="20"/>
        </w:rPr>
      </w:r>
    </w:p>
    <w:p>
      <w:pPr>
        <w:pStyle w:val="0"/>
        <w:jc w:val="right"/>
      </w:pPr>
      <w:r>
        <w:rPr>
          <w:sz w:val="20"/>
        </w:rPr>
        <w:t xml:space="preserve">Принят</w:t>
      </w:r>
    </w:p>
    <w:p>
      <w:pPr>
        <w:pStyle w:val="0"/>
        <w:jc w:val="right"/>
      </w:pPr>
      <w:hyperlink w:history="0" r:id="rId7" w:tooltip="Постановление Законодательного Собрания Челябинской области от 28.04.2011 N 325 &quot;О Законе Челябинской области &quot;О порядке проведения публичного мероприятия на объектах транспортной инфраструктуры, используемых для транспорта общего пользования&quot; {КонсультантПлюс}">
        <w:r>
          <w:rPr>
            <w:sz w:val="20"/>
            <w:color w:val="0000ff"/>
          </w:rPr>
          <w:t xml:space="preserve">постановлением</w:t>
        </w:r>
      </w:hyperlink>
    </w:p>
    <w:p>
      <w:pPr>
        <w:pStyle w:val="0"/>
        <w:jc w:val="right"/>
      </w:pPr>
      <w:r>
        <w:rPr>
          <w:sz w:val="20"/>
        </w:rPr>
        <w:t xml:space="preserve">Законодательного Собрания</w:t>
      </w:r>
    </w:p>
    <w:p>
      <w:pPr>
        <w:pStyle w:val="0"/>
        <w:jc w:val="right"/>
      </w:pPr>
      <w:r>
        <w:rPr>
          <w:sz w:val="20"/>
        </w:rPr>
        <w:t xml:space="preserve">Челябинской области</w:t>
      </w:r>
    </w:p>
    <w:p>
      <w:pPr>
        <w:pStyle w:val="0"/>
        <w:jc w:val="right"/>
      </w:pPr>
      <w:r>
        <w:rPr>
          <w:sz w:val="20"/>
        </w:rPr>
        <w:t xml:space="preserve">от 28 апреля 2011 г. N 325</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Челябинской области от 27.11.2014 </w:t>
            </w:r>
            <w:hyperlink w:history="0" r:id="rId8" w:tooltip="Закон Челябинской области от 27.11.2014 N 54-ЗО (ред. от 28.12.2016) &quot;О внесении изменений в некоторые законы Челябинской области&quot; (подписан Губернатором Челябинской области 02.12.2014) {КонсультантПлюс}">
              <w:r>
                <w:rPr>
                  <w:sz w:val="20"/>
                  <w:color w:val="0000ff"/>
                </w:rPr>
                <w:t xml:space="preserve">N 54-ЗО</w:t>
              </w:r>
            </w:hyperlink>
            <w:r>
              <w:rPr>
                <w:sz w:val="20"/>
                <w:color w:val="392c69"/>
              </w:rPr>
              <w:t xml:space="preserve">,</w:t>
            </w:r>
          </w:p>
          <w:p>
            <w:pPr>
              <w:pStyle w:val="0"/>
              <w:jc w:val="center"/>
            </w:pPr>
            <w:r>
              <w:rPr>
                <w:sz w:val="20"/>
                <w:color w:val="392c69"/>
              </w:rPr>
              <w:t xml:space="preserve">от 23.12.2024 </w:t>
            </w:r>
            <w:hyperlink w:history="0" r:id="rId9"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N 191-ЗО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1. Настоящий Закон в соответствии с Федеральным </w:t>
      </w:r>
      <w:hyperlink w:history="0" r:id="rId10"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19 июня 2004 года N 54-ФЗ "О собраниях, митингах, демонстрациях, шествиях и пикетированиях" устанавливает порядок проведения публичного мероприятия на объектах транспортной инфраструктуры, используемых для транспорта общего пользования и не относящихся к местам, в которых проведение публичного мероприятия запрещено в соответствии с </w:t>
      </w:r>
      <w:hyperlink w:history="0" r:id="rId11"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частью 2 статьи 8</w:t>
        </w:r>
      </w:hyperlink>
      <w:r>
        <w:rPr>
          <w:sz w:val="20"/>
        </w:rPr>
        <w:t xml:space="preserve"> указанного Федерального закона (далее - публичное мероприятие).</w:t>
      </w:r>
    </w:p>
    <w:p>
      <w:pPr>
        <w:pStyle w:val="0"/>
        <w:jc w:val="both"/>
      </w:pPr>
      <w:r>
        <w:rPr>
          <w:sz w:val="20"/>
        </w:rPr>
        <w:t xml:space="preserve">(в ред. </w:t>
      </w:r>
      <w:hyperlink w:history="0" r:id="rId12"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2. В целях настоящего Закона к объектам транспортной инфраструктуры, используемым для транспорта общего пользования, относятся автомобильные дороги, автобусные станции, трамвайные пути, а также иные обеспечивающие функционирование транспортного комплекса здания, сооружения, устройства и оборудование, определенные законодательством Российской Федерации.</w:t>
      </w:r>
    </w:p>
    <w:p>
      <w:pPr>
        <w:pStyle w:val="0"/>
        <w:spacing w:before="200" w:line-rule="auto"/>
        <w:ind w:firstLine="540"/>
        <w:jc w:val="both"/>
      </w:pPr>
      <w:r>
        <w:rPr>
          <w:sz w:val="20"/>
        </w:rPr>
        <w:t xml:space="preserve">3. Действие настоящего Закона не распространяется на:</w:t>
      </w:r>
    </w:p>
    <w:p>
      <w:pPr>
        <w:pStyle w:val="0"/>
        <w:spacing w:before="200" w:line-rule="auto"/>
        <w:ind w:firstLine="540"/>
        <w:jc w:val="both"/>
      </w:pPr>
      <w:r>
        <w:rPr>
          <w:sz w:val="20"/>
        </w:rPr>
        <w:t xml:space="preserve">1) публичные мероприятия, проводимые на территориях объектов, являющихся памятниками истории и культуры;</w:t>
      </w:r>
    </w:p>
    <w:p>
      <w:pPr>
        <w:pStyle w:val="0"/>
        <w:spacing w:before="200" w:line-rule="auto"/>
        <w:ind w:firstLine="540"/>
        <w:jc w:val="both"/>
      </w:pPr>
      <w:r>
        <w:rPr>
          <w:sz w:val="20"/>
        </w:rPr>
        <w:t xml:space="preserve">2) культурно-массовые мероприятия, проводимые по решению органов государственной власти Челябинской области или органов местного самоуправления и не относящиеся к публичным мероприятиям в соответствии с Федеральным </w:t>
      </w:r>
      <w:hyperlink w:history="0" r:id="rId13"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19 июня 2004 года N 54-ФЗ "О собраниях, митингах, демонстрациях, шествиях и пикетированиях".</w:t>
      </w:r>
    </w:p>
    <w:p>
      <w:pPr>
        <w:pStyle w:val="0"/>
        <w:jc w:val="both"/>
      </w:pPr>
      <w:r>
        <w:rPr>
          <w:sz w:val="20"/>
        </w:rPr>
        <w:t xml:space="preserve">(в ред. </w:t>
      </w:r>
      <w:hyperlink w:history="0" r:id="rId14"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jc w:val="both"/>
      </w:pPr>
      <w:r>
        <w:rPr>
          <w:sz w:val="20"/>
        </w:rPr>
      </w:r>
    </w:p>
    <w:p>
      <w:pPr>
        <w:pStyle w:val="2"/>
        <w:outlineLvl w:val="0"/>
        <w:ind w:firstLine="540"/>
        <w:jc w:val="both"/>
      </w:pPr>
      <w:r>
        <w:rPr>
          <w:sz w:val="20"/>
        </w:rPr>
        <w:t xml:space="preserve">Статья 2. Обязанности исполнительных органов Челябинской области, органов местного самоуправления по обеспечению прав граждан, транспортной безопасности и безопасности дорожного движения при организации и проведении публичного мероприятия</w:t>
      </w:r>
    </w:p>
    <w:p>
      <w:pPr>
        <w:pStyle w:val="0"/>
        <w:jc w:val="both"/>
      </w:pPr>
      <w:r>
        <w:rPr>
          <w:sz w:val="20"/>
        </w:rPr>
        <w:t xml:space="preserve">(в ред. </w:t>
      </w:r>
      <w:hyperlink w:history="0" r:id="rId15"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jc w:val="both"/>
      </w:pPr>
      <w:r>
        <w:rPr>
          <w:sz w:val="20"/>
        </w:rPr>
      </w:r>
    </w:p>
    <w:bookmarkStart w:id="35" w:name="P35"/>
    <w:bookmarkEnd w:id="35"/>
    <w:p>
      <w:pPr>
        <w:pStyle w:val="0"/>
        <w:ind w:firstLine="540"/>
        <w:jc w:val="both"/>
      </w:pPr>
      <w:r>
        <w:rPr>
          <w:sz w:val="20"/>
        </w:rPr>
        <w:t xml:space="preserve">1. Копия уведомления о проведении публичного мероприятия, полученного в порядке, установленном </w:t>
      </w:r>
      <w:hyperlink w:history="0" r:id="rId16" w:tooltip="Закон Челябинской области от 29.06.2006 N 40-ЗО (ред. от 23.12.2024) &quot;О некоторых вопросах правового регулирования проведения публичного мероприятия на территории Челябинской области&quot; (подписан Губернатором Челябинской области 13.07.2006) {КонсультантПлюс}">
        <w:r>
          <w:rPr>
            <w:sz w:val="20"/>
            <w:color w:val="0000ff"/>
          </w:rPr>
          <w:t xml:space="preserve">Законом</w:t>
        </w:r>
      </w:hyperlink>
      <w:r>
        <w:rPr>
          <w:sz w:val="20"/>
        </w:rPr>
        <w:t xml:space="preserve"> Челябинской области от 29 июня 2006 года N 40-ЗО "О некоторых вопросах правового регулирования проведения публичного мероприятия на территории Челябинской области", в день его получения направляется исполнительным органом Челябинской области или органом местного самоуправления, в который соответственно подается уведомление, в:</w:t>
      </w:r>
    </w:p>
    <w:p>
      <w:pPr>
        <w:pStyle w:val="0"/>
        <w:jc w:val="both"/>
      </w:pPr>
      <w:r>
        <w:rPr>
          <w:sz w:val="20"/>
        </w:rPr>
        <w:t xml:space="preserve">(в ред. Законов Челябинской области от 27.11.2014 </w:t>
      </w:r>
      <w:hyperlink w:history="0" r:id="rId17" w:tooltip="Закон Челябинской области от 27.11.2014 N 54-ЗО (ред. от 28.12.2016) &quot;О внесении изменений в некоторые законы Челябинской области&quot; (подписан Губернатором Челябинской области 02.12.2014) {КонсультантПлюс}">
        <w:r>
          <w:rPr>
            <w:sz w:val="20"/>
            <w:color w:val="0000ff"/>
          </w:rPr>
          <w:t xml:space="preserve">N 54-ЗО</w:t>
        </w:r>
      </w:hyperlink>
      <w:r>
        <w:rPr>
          <w:sz w:val="20"/>
        </w:rPr>
        <w:t xml:space="preserve">, от 23.12.2024 </w:t>
      </w:r>
      <w:hyperlink w:history="0" r:id="rId18"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N 191-ЗО</w:t>
        </w:r>
      </w:hyperlink>
      <w:r>
        <w:rPr>
          <w:sz w:val="20"/>
        </w:rPr>
        <w:t xml:space="preserve">)</w:t>
      </w:r>
    </w:p>
    <w:bookmarkStart w:id="37" w:name="P37"/>
    <w:bookmarkEnd w:id="37"/>
    <w:p>
      <w:pPr>
        <w:pStyle w:val="0"/>
        <w:spacing w:before="200" w:line-rule="auto"/>
        <w:ind w:firstLine="540"/>
        <w:jc w:val="both"/>
      </w:pPr>
      <w:r>
        <w:rPr>
          <w:sz w:val="20"/>
        </w:rPr>
        <w:t xml:space="preserve">1) федеральный орган государственной власти, орган государственной власти Челябинской области, орган местного самоуправления и организацию, в собственности, на иных вещных или обязательственных правах, у которых находятся объекты транспортной инфраструктуры;</w:t>
      </w:r>
    </w:p>
    <w:bookmarkStart w:id="38" w:name="P38"/>
    <w:bookmarkEnd w:id="38"/>
    <w:p>
      <w:pPr>
        <w:pStyle w:val="0"/>
        <w:spacing w:before="200" w:line-rule="auto"/>
        <w:ind w:firstLine="540"/>
        <w:jc w:val="both"/>
      </w:pPr>
      <w:r>
        <w:rPr>
          <w:sz w:val="20"/>
        </w:rPr>
        <w:t xml:space="preserve">2)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Челябинской области;</w:t>
      </w:r>
    </w:p>
    <w:bookmarkStart w:id="39" w:name="P39"/>
    <w:bookmarkEnd w:id="39"/>
    <w:p>
      <w:pPr>
        <w:pStyle w:val="0"/>
        <w:spacing w:before="200" w:line-rule="auto"/>
        <w:ind w:firstLine="540"/>
        <w:jc w:val="both"/>
      </w:pPr>
      <w:r>
        <w:rPr>
          <w:sz w:val="20"/>
        </w:rPr>
        <w:t xml:space="preserve">3) орган государственной власти Челябинской области, орган местного самоуправления, уполномоченные на организацию транспортного обслуживания населения автомобильным транспортом, городским наземным электрическим транспортом.</w:t>
      </w:r>
    </w:p>
    <w:p>
      <w:pPr>
        <w:pStyle w:val="0"/>
        <w:spacing w:before="200" w:line-rule="auto"/>
        <w:ind w:firstLine="540"/>
        <w:jc w:val="both"/>
      </w:pPr>
      <w:r>
        <w:rPr>
          <w:sz w:val="20"/>
        </w:rPr>
        <w:t xml:space="preserve">2. Органы государственной власти Челябинской области, органы местного самоуправления, организации, указанные в </w:t>
      </w:r>
      <w:hyperlink w:history="0" w:anchor="P37" w:tooltip="1) федеральный орган государственной власти, орган государственной власти Челябинской области, орган местного самоуправления и организацию, в собственности, на иных вещных или обязательственных правах, у которых находятся объекты транспортной инфраструктуры;">
        <w:r>
          <w:rPr>
            <w:sz w:val="20"/>
            <w:color w:val="0000ff"/>
          </w:rPr>
          <w:t xml:space="preserve">пунктах 1</w:t>
        </w:r>
      </w:hyperlink>
      <w:r>
        <w:rPr>
          <w:sz w:val="20"/>
        </w:rPr>
        <w:t xml:space="preserve"> и </w:t>
      </w:r>
      <w:hyperlink w:history="0" w:anchor="P39" w:tooltip="3) орган государственной власти Челябинской области, орган местного самоуправления, уполномоченные на организацию транспортного обслуживания населения автомобильным транспортом, городским наземным электрическим транспортом.">
        <w:r>
          <w:rPr>
            <w:sz w:val="20"/>
            <w:color w:val="0000ff"/>
          </w:rPr>
          <w:t xml:space="preserve">3 части 1</w:t>
        </w:r>
      </w:hyperlink>
      <w:r>
        <w:rPr>
          <w:sz w:val="20"/>
        </w:rPr>
        <w:t xml:space="preserve"> настоящей статьи, не позднее дня, следующего за днем получения копии уведомления о проведении публичного мероприятия, направляют в исполнительный орган Челябинской области или орган местного самоуправления, в который соответственно подается уведомление, заключение о возможной опасности для жизни и здоровья граждан, создании угрозы для транспортной безопасности и безопасности дорожного движения при проведении публичного мероприятия.</w:t>
      </w:r>
    </w:p>
    <w:p>
      <w:pPr>
        <w:pStyle w:val="0"/>
        <w:jc w:val="both"/>
      </w:pPr>
      <w:r>
        <w:rPr>
          <w:sz w:val="20"/>
        </w:rPr>
        <w:t xml:space="preserve">(в ред. </w:t>
      </w:r>
      <w:hyperlink w:history="0" r:id="rId19"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Федеральный орган государственной власти, указанный в </w:t>
      </w:r>
      <w:hyperlink w:history="0" w:anchor="P37" w:tooltip="1) федеральный орган государственной власти, орган государственной власти Челябинской области, орган местного самоуправления и организацию, в собственности, на иных вещных или обязательственных правах, у которых находятся объекты транспортной инфраструктуры;">
        <w:r>
          <w:rPr>
            <w:sz w:val="20"/>
            <w:color w:val="0000ff"/>
          </w:rPr>
          <w:t xml:space="preserve">пункте 1 части 1</w:t>
        </w:r>
      </w:hyperlink>
      <w:r>
        <w:rPr>
          <w:sz w:val="20"/>
        </w:rPr>
        <w:t xml:space="preserve"> настоящей статьи, и территориальный орган федерального органа исполнительной власти, указанный в </w:t>
      </w:r>
      <w:hyperlink w:history="0" w:anchor="P38" w:tooltip="2)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Челябинской области;">
        <w:r>
          <w:rPr>
            <w:sz w:val="20"/>
            <w:color w:val="0000ff"/>
          </w:rPr>
          <w:t xml:space="preserve">пункте 2 части 1</w:t>
        </w:r>
      </w:hyperlink>
      <w:r>
        <w:rPr>
          <w:sz w:val="20"/>
        </w:rPr>
        <w:t xml:space="preserve"> настоящей статьи, не позднее дня, следующего за днем получения копии уведомления, могут направить в исполнительный орган Челябинской области или орган местного самоуправления, в который соответственно подается уведомление, заключение о возможной опасности для жизни и здоровья граждан, создании угрозы для транспортной безопасности и безопасности дорожного движения при проведении публичного мероприятия.</w:t>
      </w:r>
    </w:p>
    <w:p>
      <w:pPr>
        <w:pStyle w:val="0"/>
        <w:jc w:val="both"/>
      </w:pPr>
      <w:r>
        <w:rPr>
          <w:sz w:val="20"/>
        </w:rPr>
        <w:t xml:space="preserve">(в ред. </w:t>
      </w:r>
      <w:hyperlink w:history="0" r:id="rId20"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3. В случае, если проведение публичного мероприятия представляет опасность для жизни и здоровья граждан, создает угрозу для транспортной безопасности и безопасности дорожного движения, исполнительный орган Челябинской области или орган местного самоуправления, в который соответственно подается уведомление, предлагает организатору (организаторам) публичного мероприятия изменить место и (или) время его проведения, а также устранить несоответствие указанных в уведомлении условий проведения публичного мероприятия требованиям по обеспечению транспортной безопасности и безопасности дорожного движения, установленным законодательством Российской Федерации.</w:t>
      </w:r>
    </w:p>
    <w:p>
      <w:pPr>
        <w:pStyle w:val="0"/>
        <w:jc w:val="both"/>
      </w:pPr>
      <w:r>
        <w:rPr>
          <w:sz w:val="20"/>
        </w:rPr>
        <w:t xml:space="preserve">(в ред. </w:t>
      </w:r>
      <w:hyperlink w:history="0" r:id="rId21"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Если в уведомлении о проведении публичного мероприятия местом его проведения указывается автомобильная дорога, к которой непосредственно прилегает иная территория (площадь, сквер, парк, другая территория), исполнительный орган Челябинской области или орган местного самоуправления, в который соответственно подается уведомление, в целях обеспечения движения транспортных средств предлагает организатору (организаторам) публичного мероприятия провести его на прилегающей территории.</w:t>
      </w:r>
    </w:p>
    <w:p>
      <w:pPr>
        <w:pStyle w:val="0"/>
        <w:jc w:val="both"/>
      </w:pPr>
      <w:r>
        <w:rPr>
          <w:sz w:val="20"/>
        </w:rPr>
        <w:t xml:space="preserve">(в ред. </w:t>
      </w:r>
      <w:hyperlink w:history="0" r:id="rId22"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В случае, если исполнительным органом Челябинской области или органом местного самоуправления, в который соответственно подается уведомление, и организатором (организаторами) публичного мероприятия было согласовано изменение места и (или) времени проведения публичного мероприятия, информация об изменении места и (или) времени проведения публичного мероприятия в течение одного рабочего дня доводится до сведения органов и организаций, указанных в </w:t>
      </w:r>
      <w:hyperlink w:history="0" w:anchor="P35" w:tooltip="1. Копия уведомления о проведении публичного мероприятия, полученного в порядке, установленном Законом Челябинской области от 29 июня 2006 года N 40-ЗО &quot;О некоторых вопросах правового регулирования проведения публичного мероприятия на территории Челябинской области&quot;, в день его получения направляется исполнительным органом Челябинской области или органом местного самоуправления, в который соответственно подается уведомление, в:">
        <w:r>
          <w:rPr>
            <w:sz w:val="20"/>
            <w:color w:val="0000ff"/>
          </w:rPr>
          <w:t xml:space="preserve">части 1</w:t>
        </w:r>
      </w:hyperlink>
      <w:r>
        <w:rPr>
          <w:sz w:val="20"/>
        </w:rPr>
        <w:t xml:space="preserve"> настоящей статьи.</w:t>
      </w:r>
    </w:p>
    <w:p>
      <w:pPr>
        <w:pStyle w:val="0"/>
        <w:jc w:val="both"/>
      </w:pPr>
      <w:r>
        <w:rPr>
          <w:sz w:val="20"/>
        </w:rPr>
        <w:t xml:space="preserve">(в ред. </w:t>
      </w:r>
      <w:hyperlink w:history="0" r:id="rId23"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spacing w:before="200" w:line-rule="auto"/>
        <w:ind w:firstLine="540"/>
        <w:jc w:val="both"/>
      </w:pPr>
      <w:r>
        <w:rPr>
          <w:sz w:val="20"/>
        </w:rPr>
        <w:t xml:space="preserve">4. В случае, если проведение публичного мероприятия создает угрозу для обеспечения регулярности перевозок пассажиров и багажа автомобильным транспортом, городским наземным электрическим транспортом, орган государственной власти Челябинской области, орган местного самоуправления, уполномоченные на организацию транспортного обслуживания населения автомобильным транспортом, городским наземным электрическим транспортом, в течение трех рабочих дней со дня получения копии уведомления о проведении публичного мероприятия принимают решения о временном изменении маршрута регулярных перевозок и (или) направляют владельцу объекта транспортной инфраструктуры письменное обращение о необходимости внесения изменений в расписание движения транспортных средств. Копия решения о временном изменении маршрута регулярных перевозок не позднее дня, следующего за днем принятия указанного решения, направляется органом государственной власти Челябинской области, органом местного самоуправления, уполномоченными на организацию транспортного обслуживания населения автомобильным транспортом, городским наземном электрическим транспортом объекта транспортной инфраструктуры.</w:t>
      </w:r>
    </w:p>
    <w:p>
      <w:pPr>
        <w:pStyle w:val="0"/>
        <w:spacing w:before="200" w:line-rule="auto"/>
        <w:ind w:firstLine="540"/>
        <w:jc w:val="both"/>
      </w:pPr>
      <w:r>
        <w:rPr>
          <w:sz w:val="20"/>
        </w:rPr>
        <w:t xml:space="preserve">5. При проведении публичного мероприятия органы государственной власти Челябинской области, органы местного самоуправления в целях обеспечения прав граждан, транспортной безопасности и безопасности дорожного движения в пределах своей компетенции обязаны:</w:t>
      </w:r>
    </w:p>
    <w:p>
      <w:pPr>
        <w:pStyle w:val="0"/>
        <w:spacing w:before="200" w:line-rule="auto"/>
        <w:ind w:firstLine="540"/>
        <w:jc w:val="both"/>
      </w:pPr>
      <w:r>
        <w:rPr>
          <w:sz w:val="20"/>
        </w:rPr>
        <w:t xml:space="preserve">1) обеспечивать бесперебойное функционирование органов государственной власти, иных государственных органов, органов местного самоуправления, организаций здравоохранения, образования, социального обеспечения, культуры и физкультурно-спортивных организаций, а также объектов, подлежащих государственной охране, объектов, обеспечивающих жизнедеятельность населения;</w:t>
      </w:r>
    </w:p>
    <w:p>
      <w:pPr>
        <w:pStyle w:val="0"/>
        <w:spacing w:before="200" w:line-rule="auto"/>
        <w:ind w:firstLine="540"/>
        <w:jc w:val="both"/>
      </w:pPr>
      <w:r>
        <w:rPr>
          <w:sz w:val="20"/>
        </w:rPr>
        <w:t xml:space="preserve">2) обеспечивать беспрепятственный доступ граждан к зданиям (помещениям), которые находятся в месте проведения публичного мероприятия;</w:t>
      </w:r>
    </w:p>
    <w:p>
      <w:pPr>
        <w:pStyle w:val="0"/>
        <w:spacing w:before="200" w:line-rule="auto"/>
        <w:ind w:firstLine="540"/>
        <w:jc w:val="both"/>
      </w:pPr>
      <w:r>
        <w:rPr>
          <w:sz w:val="20"/>
        </w:rPr>
        <w:t xml:space="preserve">3) организовывать регулярные перевозки пассажиров и багажа в соответствии с установленным расписанием движения транспортных средств. В случае внесения в расписание движения транспортных средств изменений в связи с проведением публичного мероприятия информация об изменениях в расписании должна быть доведена до сведения населения через средства массовой информации не позднее чем за два дня до дня его проведения. В случае временного изменения маршрута регулярных перевозок пассажиров и багажа в связи с проведением публичного мероприятия информация об изменении маршрута должна быть доведена до сведения населения через средства массовой информации не позднее чем за два дня до дня его проведения;</w:t>
      </w:r>
    </w:p>
    <w:p>
      <w:pPr>
        <w:pStyle w:val="0"/>
        <w:spacing w:before="200" w:line-rule="auto"/>
        <w:ind w:firstLine="540"/>
        <w:jc w:val="both"/>
      </w:pPr>
      <w:r>
        <w:rPr>
          <w:sz w:val="20"/>
        </w:rPr>
        <w:t xml:space="preserve">4) принимать дополнительные меры по обеспечению безопасности участников публичного мероприятия, участников дорожного движения, граждан, сохранности багажа, грузов и грузобагажа.</w:t>
      </w:r>
    </w:p>
    <w:p>
      <w:pPr>
        <w:pStyle w:val="0"/>
        <w:jc w:val="both"/>
      </w:pPr>
      <w:r>
        <w:rPr>
          <w:sz w:val="20"/>
        </w:rPr>
      </w:r>
    </w:p>
    <w:p>
      <w:pPr>
        <w:pStyle w:val="2"/>
        <w:outlineLvl w:val="0"/>
        <w:ind w:firstLine="540"/>
        <w:jc w:val="both"/>
      </w:pPr>
      <w:r>
        <w:rPr>
          <w:sz w:val="20"/>
        </w:rPr>
        <w:t xml:space="preserve">Статья 3. Обязанности организатора (организаторов) и участников публичного мероприятия</w:t>
      </w:r>
    </w:p>
    <w:p>
      <w:pPr>
        <w:pStyle w:val="0"/>
        <w:jc w:val="both"/>
      </w:pPr>
      <w:r>
        <w:rPr>
          <w:sz w:val="20"/>
        </w:rPr>
      </w:r>
    </w:p>
    <w:p>
      <w:pPr>
        <w:pStyle w:val="0"/>
        <w:ind w:firstLine="540"/>
        <w:jc w:val="both"/>
      </w:pPr>
      <w:r>
        <w:rPr>
          <w:sz w:val="20"/>
        </w:rPr>
        <w:t xml:space="preserve">При проведении публичного мероприятия его организатор (организаторы) и участники несут обязанности в соответствии с Федеральным </w:t>
      </w:r>
      <w:hyperlink w:history="0" r:id="rId24"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от 19 июня 2004 года N 54-ФЗ "О собраниях, митингах, демонстрациях, шествиях и пикетированиях", иными нормативными правовыми актами Российской Федерации.</w:t>
      </w:r>
    </w:p>
    <w:p>
      <w:pPr>
        <w:pStyle w:val="0"/>
        <w:jc w:val="both"/>
      </w:pPr>
      <w:r>
        <w:rPr>
          <w:sz w:val="20"/>
        </w:rPr>
        <w:t xml:space="preserve">(в ред. </w:t>
      </w:r>
      <w:hyperlink w:history="0" r:id="rId25" w:tooltip="Закон Челябинской области от 23.12.2024 N 191-ЗО &quot;О внесении изменений в некоторые законы Челябинской области&quot; (принят постановлением Законодательного Собрания Челябинской области от 19.12.2024 N 2587) {КонсультантПлюс}">
        <w:r>
          <w:rPr>
            <w:sz w:val="20"/>
            <w:color w:val="0000ff"/>
          </w:rPr>
          <w:t xml:space="preserve">Закона</w:t>
        </w:r>
      </w:hyperlink>
      <w:r>
        <w:rPr>
          <w:sz w:val="20"/>
        </w:rPr>
        <w:t xml:space="preserve"> Челябинской области от 23.12.2024 N 191-ЗО)</w:t>
      </w:r>
    </w:p>
    <w:p>
      <w:pPr>
        <w:pStyle w:val="0"/>
        <w:jc w:val="both"/>
      </w:pPr>
      <w:r>
        <w:rPr>
          <w:sz w:val="20"/>
        </w:rPr>
      </w:r>
    </w:p>
    <w:p>
      <w:pPr>
        <w:pStyle w:val="2"/>
        <w:outlineLvl w:val="0"/>
        <w:ind w:firstLine="540"/>
        <w:jc w:val="both"/>
      </w:pPr>
      <w:r>
        <w:rPr>
          <w:sz w:val="20"/>
        </w:rPr>
        <w:t xml:space="preserve">Статья 4. Нормы предельной наполняемости объекта транспортной инфраструктуры в месте проведения публичного мероприятия</w:t>
      </w:r>
    </w:p>
    <w:p>
      <w:pPr>
        <w:pStyle w:val="0"/>
        <w:jc w:val="both"/>
      </w:pPr>
      <w:r>
        <w:rPr>
          <w:sz w:val="20"/>
        </w:rPr>
      </w:r>
    </w:p>
    <w:p>
      <w:pPr>
        <w:pStyle w:val="0"/>
        <w:ind w:firstLine="540"/>
        <w:jc w:val="both"/>
      </w:pPr>
      <w:r>
        <w:rPr>
          <w:sz w:val="20"/>
        </w:rPr>
        <w:t xml:space="preserve">Проведение публичного мероприятия производится по нормам предельной наполняемости объекта транспортной инфраструктуры, устанавливаемым в соответствии с законодательством Российской Федерации:</w:t>
      </w:r>
    </w:p>
    <w:p>
      <w:pPr>
        <w:pStyle w:val="0"/>
        <w:spacing w:before="200" w:line-rule="auto"/>
        <w:ind w:firstLine="540"/>
        <w:jc w:val="both"/>
      </w:pPr>
      <w:r>
        <w:rPr>
          <w:sz w:val="20"/>
        </w:rPr>
        <w:t xml:space="preserve">1) органом местного самоуправления - в отношении публичного мероприятия, уведомление о проведении которого подается в орган местного самоуправления;</w:t>
      </w:r>
    </w:p>
    <w:p>
      <w:pPr>
        <w:pStyle w:val="0"/>
        <w:spacing w:before="200" w:line-rule="auto"/>
        <w:ind w:firstLine="540"/>
        <w:jc w:val="both"/>
      </w:pPr>
      <w:r>
        <w:rPr>
          <w:sz w:val="20"/>
        </w:rPr>
        <w:t xml:space="preserve">2) Правительством Челябинской области - в отношении публичного мероприятия, уведомление о проведении которого подается в администрацию Губернатора Челябинской области.</w:t>
      </w:r>
    </w:p>
    <w:p>
      <w:pPr>
        <w:pStyle w:val="0"/>
        <w:jc w:val="both"/>
      </w:pPr>
      <w:r>
        <w:rPr>
          <w:sz w:val="20"/>
        </w:rPr>
      </w:r>
    </w:p>
    <w:p>
      <w:pPr>
        <w:pStyle w:val="2"/>
        <w:outlineLvl w:val="0"/>
        <w:ind w:firstLine="540"/>
        <w:jc w:val="both"/>
      </w:pPr>
      <w:r>
        <w:rPr>
          <w:sz w:val="20"/>
        </w:rPr>
        <w:t xml:space="preserve">Статья 5.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по истечении десяти дней со дня его официального опубликования.</w:t>
      </w:r>
    </w:p>
    <w:p>
      <w:pPr>
        <w:pStyle w:val="0"/>
        <w:jc w:val="both"/>
      </w:pPr>
      <w:r>
        <w:rPr>
          <w:sz w:val="20"/>
        </w:rPr>
      </w:r>
    </w:p>
    <w:p>
      <w:pPr>
        <w:pStyle w:val="0"/>
        <w:jc w:val="right"/>
      </w:pPr>
      <w:r>
        <w:rPr>
          <w:sz w:val="20"/>
        </w:rPr>
        <w:t xml:space="preserve">Исполняющий обязанности</w:t>
      </w:r>
    </w:p>
    <w:p>
      <w:pPr>
        <w:pStyle w:val="0"/>
        <w:jc w:val="right"/>
      </w:pPr>
      <w:r>
        <w:rPr>
          <w:sz w:val="20"/>
        </w:rPr>
        <w:t xml:space="preserve">Губернатора</w:t>
      </w:r>
    </w:p>
    <w:p>
      <w:pPr>
        <w:pStyle w:val="0"/>
        <w:jc w:val="right"/>
      </w:pPr>
      <w:r>
        <w:rPr>
          <w:sz w:val="20"/>
        </w:rPr>
        <w:t xml:space="preserve">Челябинской области</w:t>
      </w:r>
    </w:p>
    <w:p>
      <w:pPr>
        <w:pStyle w:val="0"/>
        <w:jc w:val="right"/>
      </w:pPr>
      <w:r>
        <w:rPr>
          <w:sz w:val="20"/>
        </w:rPr>
        <w:t xml:space="preserve">С.Л.КОМЯКОВ</w:t>
      </w:r>
    </w:p>
    <w:p>
      <w:pPr>
        <w:pStyle w:val="0"/>
        <w:jc w:val="right"/>
      </w:pPr>
      <w:r>
        <w:rPr>
          <w:sz w:val="20"/>
        </w:rPr>
        <w:t xml:space="preserve">06.05.2011</w:t>
      </w:r>
    </w:p>
    <w:p>
      <w:pPr>
        <w:pStyle w:val="0"/>
      </w:pPr>
      <w:r>
        <w:rPr>
          <w:sz w:val="20"/>
        </w:rPr>
        <w:t xml:space="preserve">г. Челябинск</w:t>
      </w:r>
    </w:p>
    <w:p>
      <w:pPr>
        <w:pStyle w:val="0"/>
        <w:spacing w:before="200" w:line-rule="auto"/>
      </w:pPr>
      <w:r>
        <w:rPr>
          <w:sz w:val="20"/>
        </w:rPr>
        <w:t xml:space="preserve">N 113-ЗО от 28 апреля 2011 года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Челябинской области от 28.04.2011 N 113-ЗО</w:t>
            <w:br/>
            <w:t>(ред. от 23.12.2024)</w:t>
            <w:br/>
            <w:t>"О порядке проведения публичного мероприятия на об...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69&amp;n=68090" TargetMode = "External"/>
	<Relationship Id="rId8" Type="http://schemas.openxmlformats.org/officeDocument/2006/relationships/hyperlink" Target="https://login.consultant.ru/link/?req=doc&amp;base=RLAW169&amp;n=134541&amp;dst=100021" TargetMode = "External"/>
	<Relationship Id="rId9" Type="http://schemas.openxmlformats.org/officeDocument/2006/relationships/hyperlink" Target="https://login.consultant.ru/link/?req=doc&amp;base=RLAW169&amp;n=225691&amp;dst=100054" TargetMode = "External"/>
	<Relationship Id="rId10" Type="http://schemas.openxmlformats.org/officeDocument/2006/relationships/hyperlink" Target="https://login.consultant.ru/link/?req=doc&amp;base=LAW&amp;n=433463&amp;dst=6" TargetMode = "External"/>
	<Relationship Id="rId11" Type="http://schemas.openxmlformats.org/officeDocument/2006/relationships/hyperlink" Target="https://login.consultant.ru/link/?req=doc&amp;base=LAW&amp;n=433463&amp;dst=100083" TargetMode = "External"/>
	<Relationship Id="rId12" Type="http://schemas.openxmlformats.org/officeDocument/2006/relationships/hyperlink" Target="https://login.consultant.ru/link/?req=doc&amp;base=RLAW169&amp;n=225691&amp;dst=100056" TargetMode = "External"/>
	<Relationship Id="rId13" Type="http://schemas.openxmlformats.org/officeDocument/2006/relationships/hyperlink" Target="https://login.consultant.ru/link/?req=doc&amp;base=LAW&amp;n=433463" TargetMode = "External"/>
	<Relationship Id="rId14" Type="http://schemas.openxmlformats.org/officeDocument/2006/relationships/hyperlink" Target="https://login.consultant.ru/link/?req=doc&amp;base=RLAW169&amp;n=225691&amp;dst=100057" TargetMode = "External"/>
	<Relationship Id="rId15" Type="http://schemas.openxmlformats.org/officeDocument/2006/relationships/hyperlink" Target="https://login.consultant.ru/link/?req=doc&amp;base=RLAW169&amp;n=225691&amp;dst=100059" TargetMode = "External"/>
	<Relationship Id="rId16" Type="http://schemas.openxmlformats.org/officeDocument/2006/relationships/hyperlink" Target="https://login.consultant.ru/link/?req=doc&amp;base=RLAW169&amp;n=225756" TargetMode = "External"/>
	<Relationship Id="rId17" Type="http://schemas.openxmlformats.org/officeDocument/2006/relationships/hyperlink" Target="https://login.consultant.ru/link/?req=doc&amp;base=RLAW169&amp;n=134541&amp;dst=100021" TargetMode = "External"/>
	<Relationship Id="rId18" Type="http://schemas.openxmlformats.org/officeDocument/2006/relationships/hyperlink" Target="https://login.consultant.ru/link/?req=doc&amp;base=RLAW169&amp;n=225691&amp;dst=100060" TargetMode = "External"/>
	<Relationship Id="rId19" Type="http://schemas.openxmlformats.org/officeDocument/2006/relationships/hyperlink" Target="https://login.consultant.ru/link/?req=doc&amp;base=RLAW169&amp;n=225691&amp;dst=100062" TargetMode = "External"/>
	<Relationship Id="rId20" Type="http://schemas.openxmlformats.org/officeDocument/2006/relationships/hyperlink" Target="https://login.consultant.ru/link/?req=doc&amp;base=RLAW169&amp;n=225691&amp;dst=100063" TargetMode = "External"/>
	<Relationship Id="rId21" Type="http://schemas.openxmlformats.org/officeDocument/2006/relationships/hyperlink" Target="https://login.consultant.ru/link/?req=doc&amp;base=RLAW169&amp;n=225691&amp;dst=100065" TargetMode = "External"/>
	<Relationship Id="rId22" Type="http://schemas.openxmlformats.org/officeDocument/2006/relationships/hyperlink" Target="https://login.consultant.ru/link/?req=doc&amp;base=RLAW169&amp;n=225691&amp;dst=100066" TargetMode = "External"/>
	<Relationship Id="rId23" Type="http://schemas.openxmlformats.org/officeDocument/2006/relationships/hyperlink" Target="https://login.consultant.ru/link/?req=doc&amp;base=RLAW169&amp;n=225691&amp;dst=100067" TargetMode = "External"/>
	<Relationship Id="rId24" Type="http://schemas.openxmlformats.org/officeDocument/2006/relationships/hyperlink" Target="https://login.consultant.ru/link/?req=doc&amp;base=LAW&amp;n=433463" TargetMode = "External"/>
	<Relationship Id="rId25" Type="http://schemas.openxmlformats.org/officeDocument/2006/relationships/hyperlink" Target="https://login.consultant.ru/link/?req=doc&amp;base=RLAW169&amp;n=225691&amp;dst=10006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Челябинской области от 28.04.2011 N 113-ЗО
(ред. от 23.12.2024)
"О порядке проведения публичного мероприятия на объектах транспортной инфраструктуры, используемых для транспорта общего пользования"
(подписан Губернатором Челябинской области 06.05.2011)</dc:title>
  <dcterms:created xsi:type="dcterms:W3CDTF">2025-06-02T16:11:02Z</dcterms:created>
</cp:coreProperties>
</file>