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ЧР от 13.08.2020 N 01-07/462</w:t>
              <w:br/>
              <w:t xml:space="preserve">(ред. от 18.01.2023)</w:t>
              <w:br/>
              <w:t xml:space="preserve">"Об утверждении Положения об Общественном совете при Министерстве культуры, по делам национальностей и архивного дела Чувашской Республики"</w:t>
              <w:br/>
              <w:t xml:space="preserve">(Зарегистрировано в Госслужбе ЧР по делам юстиции 25.08.2020 N 6223)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25 августа 2020 г. N 6223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КУЛЬТУРЫ, ПО ДЕЛАМ НАЦИОНАЛЬНОСТЕЙ</w:t>
      </w:r>
    </w:p>
    <w:p>
      <w:pPr>
        <w:pStyle w:val="2"/>
        <w:jc w:val="center"/>
      </w:pPr>
      <w:r>
        <w:rPr>
          <w:sz w:val="20"/>
        </w:rPr>
        <w:t xml:space="preserve">И АРХИВНОГО ДЕЛА 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августа 2020 г. N 01-07/462</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КУЛЬТУРЫ, ПО ДЕЛАМ НАЦИОНАЛЬНОСТЕЙ</w:t>
      </w:r>
    </w:p>
    <w:p>
      <w:pPr>
        <w:pStyle w:val="2"/>
        <w:jc w:val="center"/>
      </w:pPr>
      <w:r>
        <w:rPr>
          <w:sz w:val="20"/>
        </w:rPr>
        <w:t xml:space="preserve">И АРХИВНОГО ДЕЛА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ЧР от 13.09.2021 </w:t>
            </w:r>
            <w:hyperlink w:history="0" r:id="rId7" w:tooltip="Приказ Минкультуры ЧР от 13.09.2021 N 01-05/485 &quot;О внесении изменений в некоторые приказы Министерства культуры, по делам национальностей и архивного дела Чувашской Республики&quot; (Зарегистрировано в Госслужбе ЧР по делам юстиции 05.10.2021 N 7202) {КонсультантПлюс}">
              <w:r>
                <w:rPr>
                  <w:sz w:val="20"/>
                  <w:color w:val="0000ff"/>
                </w:rPr>
                <w:t xml:space="preserve">N 01-05/485</w:t>
              </w:r>
            </w:hyperlink>
            <w:r>
              <w:rPr>
                <w:sz w:val="20"/>
                <w:color w:val="392c69"/>
              </w:rPr>
              <w:t xml:space="preserve">,</w:t>
            </w:r>
          </w:p>
          <w:p>
            <w:pPr>
              <w:pStyle w:val="0"/>
              <w:jc w:val="center"/>
            </w:pPr>
            <w:r>
              <w:rPr>
                <w:sz w:val="20"/>
                <w:color w:val="392c69"/>
              </w:rPr>
              <w:t xml:space="preserve">от 18.01.2023 </w:t>
            </w:r>
            <w:hyperlink w:history="0" r:id="rId8" w:tooltip="Приказ Минкультуры ЧР от 18.01.2023 N 01-05/14 &quot;О внесении изменений в приказ Министерства культуры, по делам национальностей и архивного дела Чувашской Республики от 13 августа 2020 г. N 01-07/462&quot; (Зарегистрировано в Госслужбе ЧР по делам юстиции 10.02.2023 N 8380) {КонсультантПлюс}">
              <w:r>
                <w:rPr>
                  <w:sz w:val="20"/>
                  <w:color w:val="0000ff"/>
                </w:rPr>
                <w:t xml:space="preserve">N 01-05/14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10"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Министерстве культуры, по делам национальностей и архивного дела Чувашской Республики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культуры ЧР от 26.09.2016 N 01-07/350 (ред. от 12.12.2019) &quot;Об утверждении Положения об Общественном совете при Министерстве культуры, по делам национальностей и архивного дела Чувашской Республики&quot; (Зарегистрировано в Минюсте ЧР 23.11.2016 N 3378) ------------ Утратил силу или отменен {КонсультантПлюс}">
        <w:r>
          <w:rPr>
            <w:sz w:val="20"/>
            <w:color w:val="0000ff"/>
          </w:rPr>
          <w:t xml:space="preserve">приказ</w:t>
        </w:r>
      </w:hyperlink>
      <w:r>
        <w:rPr>
          <w:sz w:val="20"/>
        </w:rPr>
        <w:t xml:space="preserve"> Министерства культуры, по делам национальностей и архивного дела Чувашской Республики от 26 сентября 2016 г. N 01-07/350 "Об утверждении Положения об Общественном совете при Министерстве культуры, по делам национальностей и архивного дела Чувашской Республики" (зарегистрирован в Министерстве юстиции и имущественных отношений Чувашской Республики 23 ноября 2016 г., регистрационный N 3378);</w:t>
      </w:r>
    </w:p>
    <w:p>
      <w:pPr>
        <w:pStyle w:val="0"/>
        <w:spacing w:before="200" w:line-rule="auto"/>
        <w:ind w:firstLine="540"/>
        <w:jc w:val="both"/>
      </w:pPr>
      <w:hyperlink w:history="0" r:id="rId12" w:tooltip="Приказ Минкультуры ЧР от 25.04.2018 N 01-07/206 &quot;О внесении изменений в приказ Министерства культуры, по делам национальностей и архивного дела Чувашской Республики от 26 сентября 2016 г. N 01-07/350&quot; (Зарегистрировано в Минюсте ЧР 17.05.2018 N 4485) ------------ Утратил силу или отменен {КонсультантПлюс}">
        <w:r>
          <w:rPr>
            <w:sz w:val="20"/>
            <w:color w:val="0000ff"/>
          </w:rPr>
          <w:t xml:space="preserve">приказ</w:t>
        </w:r>
      </w:hyperlink>
      <w:r>
        <w:rPr>
          <w:sz w:val="20"/>
        </w:rPr>
        <w:t xml:space="preserve"> Министерства культуры, по делам национальностей и архивного дела Чувашской Республики от 25 апреля 2018 г. N 01-07/206 "О внесении изменений в приказ Министерства культуры, по делам национальностей и архивного дела Чувашской Республики от 26 сентября 2016 г. N 01-07/350" (зарегистрирован в Министерстве юстиции и имущественных отношений Чувашской Республики 17 мая 2018 г., регистрационный N 4485);</w:t>
      </w:r>
    </w:p>
    <w:p>
      <w:pPr>
        <w:pStyle w:val="0"/>
        <w:spacing w:before="200" w:line-rule="auto"/>
        <w:ind w:firstLine="540"/>
        <w:jc w:val="both"/>
      </w:pPr>
      <w:hyperlink w:history="0" r:id="rId13" w:tooltip="Приказ Минкультуры ЧР от 29.08.2018 N 01-07/341 &quot;О внесении изменений в приказ Министерства культуры, по делам национальностей и архивного дела Чувашской Республики от 26 сентября 2016 г. N 01-07/350&quot; (Зарегистрировано в Минюсте ЧР 03.09.2018 N 4671) ------------ Утратил силу или отменен {КонсультантПлюс}">
        <w:r>
          <w:rPr>
            <w:sz w:val="20"/>
            <w:color w:val="0000ff"/>
          </w:rPr>
          <w:t xml:space="preserve">приказ</w:t>
        </w:r>
      </w:hyperlink>
      <w:r>
        <w:rPr>
          <w:sz w:val="20"/>
        </w:rPr>
        <w:t xml:space="preserve"> Министерства культуры, по делам национальностей и архивного дела Чувашской Республики от 29 августа 2018 г. N 01-07/341 "О внесении изменений в приказ Министерства культуры, по делам национальностей и архивного дела Чувашской Республики от 26 сентября 2016 г. N 01-07/350" (зарегистрирован в Министерстве юстиции и имущественных отношений Чувашской Республики 3 сентября 2018 г., регистрационный N 4671);</w:t>
      </w:r>
    </w:p>
    <w:p>
      <w:pPr>
        <w:pStyle w:val="0"/>
        <w:spacing w:before="200" w:line-rule="auto"/>
        <w:ind w:firstLine="540"/>
        <w:jc w:val="both"/>
      </w:pPr>
      <w:hyperlink w:history="0" r:id="rId14" w:tooltip="Приказ Минкультуры ЧР от 12.12.2019 N 632 &quot;О внесении изменений в приказ Министерства культуры, по делам национальностей и архивного дела Чувашской Республики от 26 сентября 2016 г. N 01-07/350&quot; (Зарегистрировано в Минюсте ЧР 16.12.2019 N 5641) ------------ Утратил силу или отменен {КонсультантПлюс}">
        <w:r>
          <w:rPr>
            <w:sz w:val="20"/>
            <w:color w:val="0000ff"/>
          </w:rPr>
          <w:t xml:space="preserve">приказ</w:t>
        </w:r>
      </w:hyperlink>
      <w:r>
        <w:rPr>
          <w:sz w:val="20"/>
        </w:rPr>
        <w:t xml:space="preserve"> Министерства культуры, по делам национальностей и архивного дела Чувашской Республики от 12 декабря 2019 г. N 632 "О внесении изменений в приказ Министерства культуры, по делам национальностей и архивного дела Чувашской Республики от 26 сентября 2016 г. N 01-07/350" (зарегистрирован в Министерстве юстиции и имущественных отношений Чувашской Республики 16 декабря 2019 г., регистрационный N 5641).</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Р.ЛИЗАКОВА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культуры,</w:t>
      </w:r>
    </w:p>
    <w:p>
      <w:pPr>
        <w:pStyle w:val="0"/>
        <w:jc w:val="right"/>
      </w:pPr>
      <w:r>
        <w:rPr>
          <w:sz w:val="20"/>
        </w:rPr>
        <w:t xml:space="preserve">по делам национальностей</w:t>
      </w:r>
    </w:p>
    <w:p>
      <w:pPr>
        <w:pStyle w:val="0"/>
        <w:jc w:val="right"/>
      </w:pPr>
      <w:r>
        <w:rPr>
          <w:sz w:val="20"/>
        </w:rPr>
        <w:t xml:space="preserve">и архивного дела</w:t>
      </w:r>
    </w:p>
    <w:p>
      <w:pPr>
        <w:pStyle w:val="0"/>
        <w:jc w:val="right"/>
      </w:pPr>
      <w:r>
        <w:rPr>
          <w:sz w:val="20"/>
        </w:rPr>
        <w:t xml:space="preserve">Чувашской Республики</w:t>
      </w:r>
    </w:p>
    <w:p>
      <w:pPr>
        <w:pStyle w:val="0"/>
        <w:jc w:val="right"/>
      </w:pPr>
      <w:r>
        <w:rPr>
          <w:sz w:val="20"/>
        </w:rPr>
        <w:t xml:space="preserve">от 13.08.2020 N 01-07/462</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ПО ДЕЛАМ НАЦИОНАЛЬНОСТЕЙ И АРХИВНОГО ДЕЛА</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ЧР от 13.09.2021 </w:t>
            </w:r>
            <w:hyperlink w:history="0" r:id="rId15" w:tooltip="Приказ Минкультуры ЧР от 13.09.2021 N 01-05/485 &quot;О внесении изменений в некоторые приказы Министерства культуры, по делам национальностей и архивного дела Чувашской Республики&quot; (Зарегистрировано в Госслужбе ЧР по делам юстиции 05.10.2021 N 7202) {КонсультантПлюс}">
              <w:r>
                <w:rPr>
                  <w:sz w:val="20"/>
                  <w:color w:val="0000ff"/>
                </w:rPr>
                <w:t xml:space="preserve">N 01-05/485</w:t>
              </w:r>
            </w:hyperlink>
            <w:r>
              <w:rPr>
                <w:sz w:val="20"/>
                <w:color w:val="392c69"/>
              </w:rPr>
              <w:t xml:space="preserve">,</w:t>
            </w:r>
          </w:p>
          <w:p>
            <w:pPr>
              <w:pStyle w:val="0"/>
              <w:jc w:val="center"/>
            </w:pPr>
            <w:r>
              <w:rPr>
                <w:sz w:val="20"/>
                <w:color w:val="392c69"/>
              </w:rPr>
              <w:t xml:space="preserve">от 18.01.2023 </w:t>
            </w:r>
            <w:hyperlink w:history="0" r:id="rId16" w:tooltip="Приказ Минкультуры ЧР от 18.01.2023 N 01-05/14 &quot;О внесении изменений в приказ Министерства культуры, по делам национальностей и архивного дела Чувашской Республики от 13 августа 2020 г. N 01-07/462&quot; (Зарегистрировано в Госслужбе ЧР по делам юстиции 10.02.2023 N 8380) {КонсультантПлюс}">
              <w:r>
                <w:rPr>
                  <w:sz w:val="20"/>
                  <w:color w:val="0000ff"/>
                </w:rPr>
                <w:t xml:space="preserve">N 01-05/14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культуры, по делам национальностей и архивного дела Чувашской Республики (далее соответственно - Общественный совет, Министерство) образован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20"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Конституцией Российской Федерации, федеральными конституционными законами,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Конституцией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Министерство.</w:t>
      </w:r>
    </w:p>
    <w:bookmarkStart w:id="59" w:name="P59"/>
    <w:bookmarkEnd w:id="59"/>
    <w:p>
      <w:pPr>
        <w:pStyle w:val="0"/>
        <w:spacing w:before="200" w:line-rule="auto"/>
        <w:ind w:firstLine="540"/>
        <w:jc w:val="both"/>
      </w:pPr>
      <w:r>
        <w:rPr>
          <w:sz w:val="20"/>
        </w:rPr>
        <w:t xml:space="preserve">2.3. Кандидатура в состав Общественного совета при Министерстве должна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Министерства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63" w:name="P63"/>
    <w:bookmarkEnd w:id="63"/>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4" w:name="P64"/>
    <w:bookmarkEnd w:id="64"/>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определяется министром культуры, по делам национальностей и архивного дела Чувашской Республики (далее - министр) и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5"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72" w:name="P72"/>
    <w:bookmarkEnd w:id="72"/>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9" w:tooltip="2.3. Кандидатура в состав Общественного совета при Министерстве должна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history="0" w:anchor="P63"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4"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Министерство направляются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6"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7"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регистрируется Министерством в системе электронного документооборота в день поступления с указанием даты и времени его поступления.</w:t>
      </w:r>
    </w:p>
    <w:bookmarkStart w:id="74" w:name="P74"/>
    <w:bookmarkEnd w:id="74"/>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72"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74"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7" w:name="P87"/>
    <w:bookmarkEnd w:id="87"/>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Министерства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проектах, конкурсах - 1 балл, участие в республиканских проектах, конкурсах - 2 балла, участие во всероссийских проектах, конкурсах - 3 балла, участие в международных проектах, конкурсах - 4 балла, наличие печатных публикаций, монографий, авторских программ, учебно-методических пособий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7"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в Министерство.</w:t>
      </w:r>
    </w:p>
    <w:p>
      <w:pPr>
        <w:pStyle w:val="0"/>
        <w:spacing w:before="200" w:line-rule="auto"/>
        <w:ind w:firstLine="540"/>
        <w:jc w:val="both"/>
      </w:pPr>
      <w:r>
        <w:rPr>
          <w:sz w:val="20"/>
        </w:rPr>
        <w:t xml:space="preserve">2.25. Министерство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 утверждается приказом Министерства.</w:t>
      </w:r>
    </w:p>
    <w:p>
      <w:pPr>
        <w:pStyle w:val="0"/>
        <w:spacing w:before="200" w:line-rule="auto"/>
        <w:ind w:firstLine="540"/>
        <w:jc w:val="both"/>
      </w:pPr>
      <w:r>
        <w:rPr>
          <w:sz w:val="20"/>
        </w:rPr>
        <w:t xml:space="preserve">2.27. Приказ Министерства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3.1.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Министерства;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3 рабочих дней со дня подготовки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2" w:tooltip="Приказ Минкультуры ЧР от 18.01.2023 N 01-05/14 &quot;О внесении изменений в приказ Министерства культуры, по делам национальностей и архивного дела Чувашской Республики от 13 августа 2020 г. N 01-07/462&quot; (Зарегистрировано в Госслужбе ЧР по делам юстиции 10.02.2023 N 8380) {КонсультантПлюс}">
        <w:r>
          <w:rPr>
            <w:sz w:val="20"/>
            <w:color w:val="0000ff"/>
          </w:rPr>
          <w:t xml:space="preserve">Приказа</w:t>
        </w:r>
      </w:hyperlink>
      <w:r>
        <w:rPr>
          <w:sz w:val="20"/>
        </w:rPr>
        <w:t xml:space="preserve"> Минкультуры ЧР от 18.01.2023 N 01-05/14)</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3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3" w:tooltip="Приказ Минкультуры ЧР от 18.01.2023 N 01-05/14 &quot;О внесении изменений в приказ Министерства культуры, по делам национальностей и архивного дела Чувашской Республики от 13 августа 2020 г. N 01-07/462&quot; (Зарегистрировано в Госслужбе ЧР по делам юстиции 10.02.2023 N 8380) {КонсультантПлюс}">
        <w:r>
          <w:rPr>
            <w:sz w:val="20"/>
            <w:color w:val="0000ff"/>
          </w:rPr>
          <w:t xml:space="preserve">Приказа</w:t>
        </w:r>
      </w:hyperlink>
      <w:r>
        <w:rPr>
          <w:sz w:val="20"/>
        </w:rPr>
        <w:t xml:space="preserve"> Минкультуры ЧР от 18.01.2023 N 01-05/14)</w:t>
      </w:r>
    </w:p>
    <w:p>
      <w:pPr>
        <w:pStyle w:val="0"/>
        <w:spacing w:before="200" w:line-rule="auto"/>
        <w:ind w:firstLine="540"/>
        <w:jc w:val="both"/>
      </w:pPr>
      <w:r>
        <w:rPr>
          <w:sz w:val="20"/>
        </w:rPr>
        <w:t xml:space="preserve">4.10. Общественный совет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Министерства.</w:t>
      </w:r>
    </w:p>
    <w:bookmarkStart w:id="205" w:name="P205"/>
    <w:bookmarkEnd w:id="205"/>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205"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структурным подразделением по организационным и правовым вопросам Министерства.</w:t>
      </w:r>
    </w:p>
    <w:p>
      <w:pPr>
        <w:pStyle w:val="0"/>
        <w:jc w:val="both"/>
      </w:pPr>
      <w:r>
        <w:rPr>
          <w:sz w:val="20"/>
        </w:rPr>
        <w:t xml:space="preserve">(в ред. </w:t>
      </w:r>
      <w:hyperlink w:history="0" r:id="rId38" w:tooltip="Приказ Минкультуры ЧР от 13.09.2021 N 01-05/485 &quot;О внесении изменений в некоторые приказы Министерства культуры, по делам национальностей и архивного дела Чувашской Республики&quot; (Зарегистрировано в Госслужбе ЧР по делам юстиции 05.10.2021 N 7202) {КонсультантПлюс}">
        <w:r>
          <w:rPr>
            <w:sz w:val="20"/>
            <w:color w:val="0000ff"/>
          </w:rPr>
          <w:t xml:space="preserve">Приказа</w:t>
        </w:r>
      </w:hyperlink>
      <w:r>
        <w:rPr>
          <w:sz w:val="20"/>
        </w:rPr>
        <w:t xml:space="preserve"> Минкультуры ЧР от 13.09.2021 N 01-05/485)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ЧР от 13.08.2020 N 01-07/462</w:t>
            <w:br/>
            <w:t>(ред. от 18.01.2023)</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3BB731765F946D87A8442CBB2C99A9D329F4E0F47938B4E1CBB54EA49665D9558CB4C3A55DEFD86F62BF0C4948D7F9FD9C82D8BA4AAC47BFB3710DC6EFO" TargetMode = "External"/>
	<Relationship Id="rId8" Type="http://schemas.openxmlformats.org/officeDocument/2006/relationships/hyperlink" Target="consultantplus://offline/ref=8F3BB731765F946D87A8442CBB2C99A9D329F4E0F47832B0E2CFB54EA49665D9558CB4C3A55DEFD86F62BF0D4B48D7F9FD9C82D8BA4AAC47BFB3710DC6EFO" TargetMode = "External"/>
	<Relationship Id="rId9" Type="http://schemas.openxmlformats.org/officeDocument/2006/relationships/hyperlink" Target="consultantplus://offline/ref=8F3BB731765F946D87A8442CBB2C99A9D329F4E0F47F3EBCE0C1B54EA49665D9558CB4C3B75DB7D46D65A10D4A5D81A8BBCCEAO" TargetMode = "External"/>
	<Relationship Id="rId10" Type="http://schemas.openxmlformats.org/officeDocument/2006/relationships/hyperlink" Target="consultantplus://offline/ref=8F3BB731765F946D87A8442CBB2C99A9D329F4E0F47F3CBCECCBB54EA49665D9558CB4C3B75DB7D46D65A10D4A5D81A8BBCCEAO" TargetMode = "External"/>
	<Relationship Id="rId11" Type="http://schemas.openxmlformats.org/officeDocument/2006/relationships/hyperlink" Target="consultantplus://offline/ref=8F3BB731765F946D87A8442CBB2C99A9D329F4E0F47F3AB4E2CBB54EA49665D9558CB4C3B75DB7D46D65A10D4A5D81A8BBCCEAO" TargetMode = "External"/>
	<Relationship Id="rId12" Type="http://schemas.openxmlformats.org/officeDocument/2006/relationships/hyperlink" Target="consultantplus://offline/ref=8F3BB731765F946D87A8442CBB2C99A9D329F4E0F47D38BDE2CDB54EA49665D9558CB4C3B75DB7D46D65A10D4A5D81A8BBCCEAO" TargetMode = "External"/>
	<Relationship Id="rId13" Type="http://schemas.openxmlformats.org/officeDocument/2006/relationships/hyperlink" Target="consultantplus://offline/ref=8F3BB731765F946D87A8442CBB2C99A9D329F4E0F47D3DB2E1C9B54EA49665D9558CB4C3B75DB7D46D65A10D4A5D81A8BBCCEAO" TargetMode = "External"/>
	<Relationship Id="rId14" Type="http://schemas.openxmlformats.org/officeDocument/2006/relationships/hyperlink" Target="consultantplus://offline/ref=8F3BB731765F946D87A8442CBB2C99A9D329F4E0F47F3BBDE4C0B54EA49665D9558CB4C3B75DB7D46D65A10D4A5D81A8BBCCEAO" TargetMode = "External"/>
	<Relationship Id="rId15" Type="http://schemas.openxmlformats.org/officeDocument/2006/relationships/hyperlink" Target="consultantplus://offline/ref=8F3BB731765F946D87A8442CBB2C99A9D329F4E0F47938B4E1CBB54EA49665D9558CB4C3A55DEFD86F62BF0C4A48D7F9FD9C82D8BA4AAC47BFB3710DC6EFO" TargetMode = "External"/>
	<Relationship Id="rId16" Type="http://schemas.openxmlformats.org/officeDocument/2006/relationships/hyperlink" Target="consultantplus://offline/ref=8F3BB731765F946D87A8442CBB2C99A9D329F4E0F47832B0E2CFB54EA49665D9558CB4C3A55DEFD86F62BF0D4B48D7F9FD9C82D8BA4AAC47BFB3710DC6EFO" TargetMode = "External"/>
	<Relationship Id="rId17" Type="http://schemas.openxmlformats.org/officeDocument/2006/relationships/hyperlink" Target="consultantplus://offline/ref=8F3BB731765F946D87A85A21AD40C7ADD823AEE5F67B30E2B89DB319FBC6638C07CCEA9AE41EFCD9697CBD0D4EC4E0O" TargetMode = "External"/>
	<Relationship Id="rId18" Type="http://schemas.openxmlformats.org/officeDocument/2006/relationships/hyperlink" Target="consultantplus://offline/ref=8F3BB731765F946D87A8442CBB2C99A9D329F4E0F47F3EBCE2CAB54EA49665D9558CB4C3B75DB7D46D65A10D4A5D81A8BBCCEAO" TargetMode = "External"/>
	<Relationship Id="rId19" Type="http://schemas.openxmlformats.org/officeDocument/2006/relationships/hyperlink" Target="consultantplus://offline/ref=8F3BB731765F946D87A85A21AD40C7ADD823AEE5F67B30E2B89DB319FBC6638C07CCEA9AE41EFCD9697CBD0D4EC4E0O" TargetMode = "External"/>
	<Relationship Id="rId20" Type="http://schemas.openxmlformats.org/officeDocument/2006/relationships/hyperlink" Target="consultantplus://offline/ref=8F3BB731765F946D87A8442CBB2C99A9D329F4E0F47F3EBCE2CAB54EA49665D9558CB4C3B75DB7D46D65A10D4A5D81A8BBCCEAO" TargetMode = "External"/>
	<Relationship Id="rId21" Type="http://schemas.openxmlformats.org/officeDocument/2006/relationships/hyperlink" Target="consultantplus://offline/ref=8F3BB731765F946D87A85A21AD40C7ADD823AEE5F67B30E2B89DB319FBC6638C07CCEA9AE41EFCD9697CBD0D4EC4E0O" TargetMode = "External"/>
	<Relationship Id="rId22" Type="http://schemas.openxmlformats.org/officeDocument/2006/relationships/hyperlink" Target="consultantplus://offline/ref=8F3BB731765F946D87A8442CBB2C99A9D329F4E0F47F3EBCE2CAB54EA49665D9558CB4C3B75DB7D46D65A10D4A5D81A8BBCCEAO" TargetMode = "External"/>
	<Relationship Id="rId23" Type="http://schemas.openxmlformats.org/officeDocument/2006/relationships/hyperlink" Target="consultantplus://offline/ref=8F3BB731765F946D87A85A21AD40C7ADD92AAEEEF67C30E2B89DB319FBC6638C07CCEA9AE41EFCD9697CBD0D4EC4E0O" TargetMode = "External"/>
	<Relationship Id="rId24" Type="http://schemas.openxmlformats.org/officeDocument/2006/relationships/hyperlink" Target="consultantplus://offline/ref=8F3BB731765F946D87A85A21AD40C7ADD827A2E5F67930E2B89DB319FBC6638C07CCEA9AE41EFCD9697CBD0D4EC4E0O" TargetMode = "External"/>
	<Relationship Id="rId25" Type="http://schemas.openxmlformats.org/officeDocument/2006/relationships/hyperlink" Target="consultantplus://offline/ref=8F3BB731765F946D87A85A21AD40C7ADD827A2E5F67930E2B89DB319FBC6638C07CCEA9AE41EFCD9697CBD0D4EC4E0O" TargetMode = "External"/>
	<Relationship Id="rId26" Type="http://schemas.openxmlformats.org/officeDocument/2006/relationships/hyperlink" Target="consultantplus://offline/ref=8F3BB731765F946D87A85A21AD40C7ADD827ABEFF27E30E2B89DB319FBC6638C07CCEA9AE41EFCD9697CBD0D4EC4E0O" TargetMode = "External"/>
	<Relationship Id="rId27" Type="http://schemas.openxmlformats.org/officeDocument/2006/relationships/hyperlink" Target="consultantplus://offline/ref=8F3BB731765F946D87A85A21AD40C7ADD823AEE5F67B30E2B89DB319FBC6638C07CCEA9AE41EFCD9697CBD0D4EC4E0O" TargetMode = "External"/>
	<Relationship Id="rId28" Type="http://schemas.openxmlformats.org/officeDocument/2006/relationships/hyperlink" Target="consultantplus://offline/ref=8F3BB731765F946D87A85A21AD40C7ADD823AEE5F67B30E2B89DB319FBC6638C07CCEA9AE41EFCD9697CBD0D4EC4E0O" TargetMode = "External"/>
	<Relationship Id="rId29" Type="http://schemas.openxmlformats.org/officeDocument/2006/relationships/hyperlink" Target="consultantplus://offline/ref=8F3BB731765F946D87A85A21AD40C7ADD823AEE5F67B30E2B89DB319FBC6638C07CCEA9AE41EFCD9697CBD0D4EC4E0O" TargetMode = "External"/>
	<Relationship Id="rId30" Type="http://schemas.openxmlformats.org/officeDocument/2006/relationships/hyperlink" Target="consultantplus://offline/ref=8F3BB731765F946D87A85A21AD40C7ADD823AEE5F67B30E2B89DB319FBC6638C07CCEA9AE41EFCD9697CBD0D4EC4E0O" TargetMode = "External"/>
	<Relationship Id="rId31" Type="http://schemas.openxmlformats.org/officeDocument/2006/relationships/hyperlink" Target="consultantplus://offline/ref=8F3BB731765F946D87A85A21AD40C7ADD823AEE5F67B30E2B89DB319FBC6638C15CCB296E619E3D06F69EB5C08168EAABED78FDCA356AC43CAE2O" TargetMode = "External"/>
	<Relationship Id="rId32" Type="http://schemas.openxmlformats.org/officeDocument/2006/relationships/hyperlink" Target="consultantplus://offline/ref=8F3BB731765F946D87A8442CBB2C99A9D329F4E0F47832B0E2CFB54EA49665D9558CB4C3A55DEFD86F62BF0D4B48D7F9FD9C82D8BA4AAC47BFB3710DC6EFO" TargetMode = "External"/>
	<Relationship Id="rId33" Type="http://schemas.openxmlformats.org/officeDocument/2006/relationships/hyperlink" Target="consultantplus://offline/ref=8F3BB731765F946D87A8442CBB2C99A9D329F4E0F47832B0E2CFB54EA49665D9558CB4C3A55DEFD86F62BF0C4C48D7F9FD9C82D8BA4AAC47BFB3710DC6EFO" TargetMode = "External"/>
	<Relationship Id="rId34" Type="http://schemas.openxmlformats.org/officeDocument/2006/relationships/hyperlink" Target="consultantplus://offline/ref=8F3BB731765F946D87A85A21AD40C7ADD823AEE5F67B30E2B89DB319FBC6638C07CCEA9AE41EFCD9697CBD0D4EC4E0O" TargetMode = "External"/>
	<Relationship Id="rId35" Type="http://schemas.openxmlformats.org/officeDocument/2006/relationships/hyperlink" Target="consultantplus://offline/ref=8F3BB731765F946D87A85A21AD40C7ADD823AEE5F67B30E2B89DB319FBC6638C07CCEA9AE41EFCD9697CBD0D4EC4E0O" TargetMode = "External"/>
	<Relationship Id="rId36" Type="http://schemas.openxmlformats.org/officeDocument/2006/relationships/hyperlink" Target="consultantplus://offline/ref=8F3BB731765F946D87A85A21AD40C7ADD823AEE5F67B30E2B89DB319FBC6638C07CCEA9AE41EFCD9697CBD0D4EC4E0O" TargetMode = "External"/>
	<Relationship Id="rId37" Type="http://schemas.openxmlformats.org/officeDocument/2006/relationships/hyperlink" Target="consultantplus://offline/ref=8F3BB731765F946D87A85A21AD40C7ADD823AEE5F67B30E2B89DB319FBC6638C07CCEA9AE41EFCD9697CBD0D4EC4E0O" TargetMode = "External"/>
	<Relationship Id="rId38" Type="http://schemas.openxmlformats.org/officeDocument/2006/relationships/hyperlink" Target="consultantplus://offline/ref=8F3BB731765F946D87A8442CBB2C99A9D329F4E0F47938B4E1CBB54EA49665D9558CB4C3A55DEFD86F62BF0C4A48D7F9FD9C82D8BA4AAC47BFB3710DC6E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ЧР от 13.08.2020 N 01-07/462
(ред. от 18.01.2023)
"Об утверждении Положения об Общественном совете при Министерстве культуры, по делам национальностей и архивного дела Чувашской Республики"
(Зарегистрировано в Госслужбе ЧР по делам юстиции 25.08.2020 N 6223)</dc:title>
  <dcterms:created xsi:type="dcterms:W3CDTF">2023-06-27T14:04:02Z</dcterms:created>
</cp:coreProperties>
</file>