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Указ Губернатора Ивановской области от 11.06.2025 N 46-уг</w:t>
              <w:br/>
              <w:t xml:space="preserve">(ред. от 29.08.2025)</w:t>
              <w:br/>
              <w:t xml:space="preserve">"О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br/>
              <w:t xml:space="preserve">(вместе с "Положением 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11 июня 2025 года</w:t>
            </w:r>
          </w:p>
        </w:tc>
        <w:tc>
          <w:tcPr>
            <w:tcW w:w="5103" w:type="dxa"/>
            <w:tcBorders>
              <w:top w:val="nil"/>
              <w:left w:val="nil"/>
              <w:bottom w:val="nil"/>
              <w:right w:val="nil"/>
            </w:tcBorders>
          </w:tcPr>
          <w:p>
            <w:pPr>
              <w:pStyle w:val="0"/>
              <w:outlineLvl w:val="0"/>
              <w:jc w:val="right"/>
            </w:pPr>
            <w:r>
              <w:rPr>
                <w:sz w:val="20"/>
              </w:rPr>
              <w:t xml:space="preserve">N 46-уг</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ГУБЕРНАТОРА ИВАНОВСКОЙ ОБЛАСТИ</w:t>
      </w:r>
    </w:p>
    <w:p>
      <w:pPr>
        <w:pStyle w:val="2"/>
        <w:jc w:val="center"/>
      </w:pPr>
      <w:r>
        <w:rPr>
          <w:sz w:val="20"/>
        </w:rPr>
      </w:r>
    </w:p>
    <w:p>
      <w:pPr>
        <w:pStyle w:val="2"/>
        <w:jc w:val="center"/>
      </w:pPr>
      <w:r>
        <w:rPr>
          <w:sz w:val="20"/>
        </w:rPr>
        <w:t xml:space="preserve">О КОМИССИИ ИВАНОВСКОЙ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ПРИЧИННО-СЛЕДСТВЕННОЙ СВЯЗИ МЕЖДУ СМЕРТЬЮ</w:t>
      </w:r>
    </w:p>
    <w:p>
      <w:pPr>
        <w:pStyle w:val="2"/>
        <w:jc w:val="center"/>
      </w:pPr>
      <w:r>
        <w:rPr>
          <w:sz w:val="20"/>
        </w:rPr>
        <w:t xml:space="preserve">(ГИБЕЛЬЮ) ДОБРОВОЛЬЦА (ВОЛОНТЕРА) И ВРЕДОМ ЖИЗНИ</w:t>
      </w:r>
    </w:p>
    <w:p>
      <w:pPr>
        <w:pStyle w:val="2"/>
        <w:jc w:val="center"/>
      </w:pPr>
      <w:r>
        <w:rPr>
          <w:sz w:val="20"/>
        </w:rPr>
        <w:t xml:space="preserve">ИЛИ ЗДОРОВЬЮ ДОБРОВОЛЬЦА (ВОЛОНТЕРА), ПОЛУЧЕННЫМ</w:t>
      </w:r>
    </w:p>
    <w:p>
      <w:pPr>
        <w:pStyle w:val="2"/>
        <w:jc w:val="center"/>
      </w:pPr>
      <w:r>
        <w:rPr>
          <w:sz w:val="20"/>
        </w:rPr>
        <w:t xml:space="preserve">ДОБРОВОЛЬЦЕМ (ВОЛОНТЕРОМ) ПРИ ОСУЩЕСТВЛЕНИИ ИМ</w:t>
      </w:r>
    </w:p>
    <w:p>
      <w:pPr>
        <w:pStyle w:val="2"/>
        <w:jc w:val="center"/>
      </w:pPr>
      <w:r>
        <w:rPr>
          <w:sz w:val="20"/>
        </w:rPr>
        <w:t xml:space="preserve">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w:t>
      </w:r>
    </w:p>
    <w:p>
      <w:pPr>
        <w:pStyle w:val="2"/>
        <w:jc w:val="center"/>
      </w:pPr>
      <w:r>
        <w:rPr>
          <w:sz w:val="20"/>
        </w:rPr>
        <w:t xml:space="preserve">ИЛИ ЗДОРОВЬЮ ДОБРОВОЛЬЦА (ВОЛОНТЕРА), ПОЛУЧЕННОГО</w:t>
      </w:r>
    </w:p>
    <w:p>
      <w:pPr>
        <w:pStyle w:val="2"/>
        <w:jc w:val="center"/>
      </w:pPr>
      <w:r>
        <w:rPr>
          <w:sz w:val="20"/>
        </w:rPr>
        <w:t xml:space="preserve">ДОБРОВОЛЬЦЕМ (ВОЛОНТЕРОМ) ПРИ ОСУЩЕСТВЛЕНИИ ИМ</w:t>
      </w:r>
    </w:p>
    <w:p>
      <w:pPr>
        <w:pStyle w:val="2"/>
        <w:jc w:val="center"/>
      </w:pPr>
      <w:r>
        <w:rPr>
          <w:sz w:val="20"/>
        </w:rPr>
        <w:t xml:space="preserve">ДОБРОВОЛЬЧЕСКОЙ (ВОЛОНТЕРСКОЙ)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Указ Губернатора Ивановской области от 29.08.2025 N 68-уг &quot;О внесении изменений в указ Губернатора Ивановской области от 11.06.2025 N 46-уг &quot;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КонсультантПлюс}">
              <w:r>
                <w:rPr>
                  <w:sz w:val="20"/>
                  <w:color w:val="0000ff"/>
                </w:rPr>
                <w:t xml:space="preserve">Указа</w:t>
              </w:r>
            </w:hyperlink>
            <w:r>
              <w:rPr>
                <w:sz w:val="20"/>
                <w:color w:val="392c69"/>
              </w:rPr>
              <w:t xml:space="preserve"> Губернатора Ивановской области от 29.08.2025 N 68-уг)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постановлениями Правительства Российской Федерации от 06.05.2022 </w:t>
      </w:r>
      <w:hyperlink w:history="0" r:id="rId9"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N 824</w:t>
        </w:r>
      </w:hyperlink>
      <w:r>
        <w:rPr>
          <w:sz w:val="20"/>
        </w:rPr>
        <w:t xml:space="preserve"> "Об утверждении Правил назначения и осуществления единовременных выплат, установленных указами Президента Российской Федерации от 30 апреля 2022 г.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 N 640 "О мерах социальной защиты работников некоторых государственных предприятий" и от 14 ноября 2024 г. N 968 "О дополнительных социальных гарантиях отдельным категориям лиц", от 07.03.2023 </w:t>
      </w:r>
      <w:hyperlink w:history="0" r:id="rId10"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N 356</w:t>
        </w:r>
      </w:hyperlink>
      <w:r>
        <w:rPr>
          <w:sz w:val="20"/>
        </w:rPr>
        <w:t xml:space="preserve">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w:t>
      </w:r>
      <w:hyperlink w:history="0" r:id="rId11" w:tooltip="Указ Губернатора Ивановской области от 12.11.2019 N 105-уг &quot;Об утверждении Порядка создания и деятельности консультативных и совещательных органов, создаваемых Губернатором Ивановской области и Правительством Ивановской области, и признании утратившими силу некоторых указов Губернатора Ивановской области&quot; {КонсультантПлюс}">
        <w:r>
          <w:rPr>
            <w:sz w:val="20"/>
            <w:color w:val="0000ff"/>
          </w:rPr>
          <w:t xml:space="preserve">указом</w:t>
        </w:r>
      </w:hyperlink>
      <w:r>
        <w:rPr>
          <w:sz w:val="20"/>
        </w:rPr>
        <w:t xml:space="preserve"> Губернатора Ивановской области от 12.11.2019 N 105-уг "Об утверждении Порядка создания и деятельности консультативных и совещательных органов, создаваемых Губернатором Ивановской области и Правительством Ивановской области, и признании утратившими силу некоторых указов Губернатора Ивановской области" постановляю:</w:t>
      </w:r>
    </w:p>
    <w:p>
      <w:pPr>
        <w:pStyle w:val="0"/>
        <w:ind w:firstLine="540"/>
        <w:jc w:val="both"/>
      </w:pPr>
      <w:r>
        <w:rPr>
          <w:sz w:val="20"/>
        </w:rPr>
      </w:r>
    </w:p>
    <w:p>
      <w:pPr>
        <w:pStyle w:val="0"/>
        <w:ind w:firstLine="540"/>
        <w:jc w:val="both"/>
      </w:pPr>
      <w:r>
        <w:rPr>
          <w:sz w:val="20"/>
        </w:rPr>
        <w:t xml:space="preserve">1. Создать комиссию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Комиссия).</w:t>
      </w:r>
    </w:p>
    <w:p>
      <w:pPr>
        <w:pStyle w:val="0"/>
        <w:ind w:firstLine="540"/>
        <w:jc w:val="both"/>
      </w:pPr>
      <w:r>
        <w:rPr>
          <w:sz w:val="20"/>
        </w:rPr>
      </w:r>
    </w:p>
    <w:p>
      <w:pPr>
        <w:pStyle w:val="0"/>
        <w:ind w:firstLine="540"/>
        <w:jc w:val="both"/>
      </w:pPr>
      <w:r>
        <w:rPr>
          <w:sz w:val="20"/>
        </w:rPr>
        <w:t xml:space="preserve">2. Утвердить </w:t>
      </w:r>
      <w:hyperlink w:history="0" w:anchor="P49" w:tooltip="ПОЛОЖЕНИЕ">
        <w:r>
          <w:rPr>
            <w:sz w:val="20"/>
            <w:color w:val="0000ff"/>
          </w:rPr>
          <w:t xml:space="preserve">Положение</w:t>
        </w:r>
      </w:hyperlink>
      <w:r>
        <w:rPr>
          <w:sz w:val="20"/>
        </w:rPr>
        <w:t xml:space="preserve"> о Комиссии (приложение 1) и ее </w:t>
      </w:r>
      <w:hyperlink w:history="0" w:anchor="P145" w:tooltip="СОСТАВ">
        <w:r>
          <w:rPr>
            <w:sz w:val="20"/>
            <w:color w:val="0000ff"/>
          </w:rPr>
          <w:t xml:space="preserve">состав</w:t>
        </w:r>
      </w:hyperlink>
      <w:r>
        <w:rPr>
          <w:sz w:val="20"/>
        </w:rPr>
        <w:t xml:space="preserve"> (приложение 2).</w:t>
      </w:r>
    </w:p>
    <w:p>
      <w:pPr>
        <w:pStyle w:val="0"/>
        <w:ind w:firstLine="540"/>
        <w:jc w:val="both"/>
      </w:pPr>
      <w:r>
        <w:rPr>
          <w:sz w:val="20"/>
        </w:rPr>
      </w:r>
    </w:p>
    <w:p>
      <w:pPr>
        <w:pStyle w:val="0"/>
        <w:ind w:firstLine="540"/>
        <w:jc w:val="both"/>
      </w:pPr>
      <w:r>
        <w:rPr>
          <w:sz w:val="20"/>
        </w:rPr>
        <w:t xml:space="preserve">3. Дополнительно возложить на Комиссию полномочия по установлению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на этих территориях (включая перевозки пассажиров и грузов), до истечения 1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w:t>
      </w:r>
    </w:p>
    <w:p>
      <w:pPr>
        <w:pStyle w:val="0"/>
        <w:jc w:val="both"/>
      </w:pPr>
      <w:r>
        <w:rPr>
          <w:sz w:val="20"/>
        </w:rPr>
      </w:r>
    </w:p>
    <w:p>
      <w:pPr>
        <w:pStyle w:val="0"/>
        <w:jc w:val="right"/>
      </w:pPr>
      <w:r>
        <w:rPr>
          <w:sz w:val="20"/>
        </w:rPr>
        <w:t xml:space="preserve">Губернатор Ивановской области</w:t>
      </w:r>
    </w:p>
    <w:p>
      <w:pPr>
        <w:pStyle w:val="0"/>
        <w:jc w:val="right"/>
      </w:pPr>
      <w:r>
        <w:rPr>
          <w:sz w:val="20"/>
        </w:rPr>
        <w:t xml:space="preserve">С.С.ВОСКРЕСЕНСКИЙ</w:t>
      </w:r>
    </w:p>
    <w:p>
      <w:pPr>
        <w:pStyle w:val="0"/>
      </w:pPr>
      <w:r>
        <w:rPr>
          <w:sz w:val="20"/>
        </w:rPr>
        <w:t xml:space="preserve">г. Иваново</w:t>
      </w:r>
    </w:p>
    <w:p>
      <w:pPr>
        <w:pStyle w:val="0"/>
        <w:spacing w:before="200" w:lineRule="auto"/>
      </w:pPr>
      <w:r>
        <w:rPr>
          <w:sz w:val="20"/>
        </w:rPr>
        <w:t xml:space="preserve">11 июня 2025 года</w:t>
      </w:r>
    </w:p>
    <w:p>
      <w:pPr>
        <w:pStyle w:val="0"/>
        <w:spacing w:before="200" w:lineRule="auto"/>
      </w:pPr>
      <w:r>
        <w:rPr>
          <w:sz w:val="20"/>
        </w:rPr>
        <w:t xml:space="preserve">N 46-уг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указу</w:t>
      </w:r>
    </w:p>
    <w:p>
      <w:pPr>
        <w:pStyle w:val="0"/>
        <w:jc w:val="right"/>
      </w:pPr>
      <w:r>
        <w:rPr>
          <w:sz w:val="20"/>
        </w:rPr>
        <w:t xml:space="preserve">Губернатора</w:t>
      </w:r>
    </w:p>
    <w:p>
      <w:pPr>
        <w:pStyle w:val="0"/>
        <w:jc w:val="right"/>
      </w:pPr>
      <w:r>
        <w:rPr>
          <w:sz w:val="20"/>
        </w:rPr>
        <w:t xml:space="preserve">Ивановской области</w:t>
      </w:r>
    </w:p>
    <w:p>
      <w:pPr>
        <w:pStyle w:val="0"/>
        <w:jc w:val="right"/>
      </w:pPr>
      <w:r>
        <w:rPr>
          <w:sz w:val="20"/>
        </w:rPr>
        <w:t xml:space="preserve">от 11.06.2025 N 46-уг</w:t>
      </w:r>
    </w:p>
    <w:p>
      <w:pPr>
        <w:pStyle w:val="0"/>
        <w:jc w:val="center"/>
      </w:pPr>
      <w:r>
        <w:rPr>
          <w:sz w:val="20"/>
        </w:rPr>
      </w:r>
    </w:p>
    <w:bookmarkStart w:id="49" w:name="P49"/>
    <w:bookmarkEnd w:id="49"/>
    <w:p>
      <w:pPr>
        <w:pStyle w:val="2"/>
        <w:jc w:val="center"/>
      </w:pPr>
      <w:r>
        <w:rPr>
          <w:sz w:val="20"/>
        </w:rPr>
        <w:t xml:space="preserve">ПОЛОЖЕНИЕ</w:t>
      </w:r>
    </w:p>
    <w:p>
      <w:pPr>
        <w:pStyle w:val="2"/>
        <w:jc w:val="center"/>
      </w:pPr>
      <w:r>
        <w:rPr>
          <w:sz w:val="20"/>
        </w:rPr>
        <w:t xml:space="preserve">О КОМИССИИ ИВАНОВСКОЙ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 ИМ</w:t>
      </w:r>
    </w:p>
    <w:p>
      <w:pPr>
        <w:pStyle w:val="2"/>
        <w:jc w:val="center"/>
      </w:pPr>
      <w:r>
        <w:rPr>
          <w:sz w:val="20"/>
        </w:rPr>
        <w:t xml:space="preserve">ВИДА ДОБРОВОЛЬЧЕСКОЙ (ВОЛОНТЕРСКОЙ) ДЕЯТЕЛЬНОСТИ, А ТАКЖЕ</w:t>
      </w:r>
    </w:p>
    <w:p>
      <w:pPr>
        <w:pStyle w:val="2"/>
        <w:jc w:val="center"/>
      </w:pPr>
      <w:r>
        <w:rPr>
          <w:sz w:val="20"/>
        </w:rPr>
        <w:t xml:space="preserve">ПРИЧИННО-СЛЕДСТВЕННОЙ СВЯЗИ МЕЖДУ СМЕРТЬЮ (ГИБЕЛЬЮ)</w:t>
      </w:r>
    </w:p>
    <w:p>
      <w:pPr>
        <w:pStyle w:val="2"/>
        <w:jc w:val="center"/>
      </w:pPr>
      <w:r>
        <w:rPr>
          <w:sz w:val="20"/>
        </w:rPr>
        <w:t xml:space="preserve">ДОБРОВОЛЬЦА (ВОЛОНТЕРА) И ВРЕДОМ ЖИЗНИ ИЛИ ЗДОРОВЬЮ</w:t>
      </w:r>
    </w:p>
    <w:p>
      <w:pPr>
        <w:pStyle w:val="2"/>
        <w:jc w:val="center"/>
      </w:pPr>
      <w:r>
        <w:rPr>
          <w:sz w:val="20"/>
        </w:rPr>
        <w:t xml:space="preserve">ДОБРОВОЛЬЦА (ВОЛОНТЕРА), ПОЛУЧЕННЫМ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В СЛУЧАЕ, ЕСЛИ СМЕРТЬ</w:t>
      </w:r>
    </w:p>
    <w:p>
      <w:pPr>
        <w:pStyle w:val="2"/>
        <w:jc w:val="center"/>
      </w:pPr>
      <w:r>
        <w:rPr>
          <w:sz w:val="20"/>
        </w:rPr>
        <w:t xml:space="preserve">(ГИБЕЛЬ) ДОБРОВОЛЬЦА (ВОЛОНТЕРА) НАСТУПИЛА ДО ИСТЕЧЕНИЯ</w:t>
      </w:r>
    </w:p>
    <w:p>
      <w:pPr>
        <w:pStyle w:val="2"/>
        <w:jc w:val="center"/>
      </w:pPr>
      <w:r>
        <w:rPr>
          <w:sz w:val="20"/>
        </w:rPr>
        <w:t xml:space="preserve">ОДНОГО ГОДА СО ДНЯ ПОЛУЧЕНИЯ ВРЕДА ЖИЗНИ ИЛИ ЗДОРОВЬЮ</w:t>
      </w:r>
    </w:p>
    <w:p>
      <w:pPr>
        <w:pStyle w:val="2"/>
        <w:jc w:val="center"/>
      </w:pPr>
      <w:r>
        <w:rPr>
          <w:sz w:val="20"/>
        </w:rPr>
        <w:t xml:space="preserve">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Указ Губернатора Ивановской области от 29.08.2025 N 68-уг &quot;О внесении изменений в указ Губернатора Ивановской области от 11.06.2025 N 46-уг &quot;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КонсультантПлюс}">
              <w:r>
                <w:rPr>
                  <w:sz w:val="20"/>
                  <w:color w:val="0000ff"/>
                </w:rPr>
                <w:t xml:space="preserve">Указа</w:t>
              </w:r>
            </w:hyperlink>
            <w:r>
              <w:rPr>
                <w:sz w:val="20"/>
                <w:color w:val="392c69"/>
              </w:rPr>
              <w:t xml:space="preserve"> Губернатора Ивановской области от 29.08.2025 N 68-уг)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Комиссия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Комиссия), создана в соответствии с постановлениями Правительства Российской Федерации от 07.03.2023 </w:t>
      </w:r>
      <w:hyperlink w:history="0" r:id="rId13"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N 356</w:t>
        </w:r>
      </w:hyperlink>
      <w:r>
        <w:rPr>
          <w:sz w:val="20"/>
        </w:rPr>
        <w:t xml:space="preserve">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и от 06.05.2022 </w:t>
      </w:r>
      <w:hyperlink w:history="0" r:id="rId14"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N 824</w:t>
        </w:r>
      </w:hyperlink>
      <w:r>
        <w:rPr>
          <w:sz w:val="20"/>
        </w:rPr>
        <w:t xml:space="preserve"> "Об утверждении Правил назначения и осуществления единовременных выплат, установленных указами Президента Российской Федерации от 30 апреля 2022 г.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 N 640 "О мерах социальной защиты работников некоторых государственных предприятий" и от 14 ноября 2024 г. N 968 "О дополнительных социальных гарантиях отдельным категориям лиц" (далее - Правила).</w:t>
      </w:r>
    </w:p>
    <w:p>
      <w:pPr>
        <w:pStyle w:val="0"/>
        <w:spacing w:before="200" w:lineRule="auto"/>
        <w:ind w:firstLine="540"/>
        <w:jc w:val="both"/>
      </w:pPr>
      <w:r>
        <w:rPr>
          <w:sz w:val="20"/>
        </w:rPr>
        <w:t xml:space="preserve">1.2. Комиссия в своей деятельности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16" w:tooltip="Закон Ивановской области от 18.02.2009 N 20-ОЗ (ред. от 30.05.2022) &quot;Устав Ивановской области&quot; (принят Ивановской областной Думой 29.01.2009) (с изм. и доп., вступающими в силу с 01.01.2023) {КонсультантПлюс}">
        <w:r>
          <w:rPr>
            <w:sz w:val="20"/>
            <w:color w:val="0000ff"/>
          </w:rPr>
          <w:t xml:space="preserve">Уставом</w:t>
        </w:r>
      </w:hyperlink>
      <w:r>
        <w:rPr>
          <w:sz w:val="20"/>
        </w:rPr>
        <w:t xml:space="preserve"> Ивановской области, законами Ивановской области, указами и распоряжениями Губернатора Ивановской области, постановлениями и распоряжениями Правительства Ивановской области, а также настоящим Положением.</w:t>
      </w:r>
    </w:p>
    <w:p>
      <w:pPr>
        <w:pStyle w:val="0"/>
        <w:spacing w:before="200" w:lineRule="auto"/>
        <w:ind w:firstLine="540"/>
        <w:jc w:val="both"/>
      </w:pPr>
      <w:r>
        <w:rPr>
          <w:sz w:val="20"/>
        </w:rPr>
        <w:t xml:space="preserve">1.3. Комиссия осуществляет свою деятельность во взаимодействии с федеральными органами исполнительной власти, федеральными государственными органами, органами государственной власти Ивановской области, органами местного самоуправления муниципальных образований Ивановской области, иными органами и организациями (далее - органы и организации), индивидуальными предпринимателями, указанными в </w:t>
      </w:r>
      <w:hyperlink w:history="0" w:anchor="P76" w:tooltip="2.1. Задачей Комиссии является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
        <w:r>
          <w:rPr>
            <w:sz w:val="20"/>
            <w:color w:val="0000ff"/>
          </w:rPr>
          <w:t xml:space="preserve">пункте 2.1</w:t>
        </w:r>
      </w:hyperlink>
      <w:r>
        <w:rPr>
          <w:sz w:val="20"/>
        </w:rPr>
        <w:t xml:space="preserve"> настоящего Положения.</w:t>
      </w:r>
    </w:p>
    <w:p>
      <w:pPr>
        <w:pStyle w:val="0"/>
        <w:spacing w:before="200" w:lineRule="auto"/>
        <w:ind w:firstLine="540"/>
        <w:jc w:val="both"/>
      </w:pPr>
      <w:r>
        <w:rPr>
          <w:sz w:val="20"/>
        </w:rPr>
        <w:t xml:space="preserve">1.4. Местонахождение Комиссии: 153000, г. Иваново, ул. Пушкина, д. 9 (место проведения заседаний Комиссии).</w:t>
      </w:r>
    </w:p>
    <w:p>
      <w:pPr>
        <w:pStyle w:val="0"/>
        <w:jc w:val="center"/>
      </w:pPr>
      <w:r>
        <w:rPr>
          <w:sz w:val="20"/>
        </w:rPr>
      </w:r>
    </w:p>
    <w:p>
      <w:pPr>
        <w:pStyle w:val="2"/>
        <w:outlineLvl w:val="1"/>
        <w:jc w:val="center"/>
      </w:pPr>
      <w:r>
        <w:rPr>
          <w:sz w:val="20"/>
        </w:rPr>
        <w:t xml:space="preserve">2. Задачи, функции и права Комиссии</w:t>
      </w:r>
    </w:p>
    <w:p>
      <w:pPr>
        <w:pStyle w:val="0"/>
        <w:jc w:val="center"/>
      </w:pPr>
      <w:r>
        <w:rPr>
          <w:sz w:val="20"/>
        </w:rPr>
      </w:r>
    </w:p>
    <w:bookmarkStart w:id="76" w:name="P76"/>
    <w:bookmarkEnd w:id="76"/>
    <w:p>
      <w:pPr>
        <w:pStyle w:val="0"/>
        <w:ind w:firstLine="540"/>
        <w:jc w:val="both"/>
      </w:pPr>
      <w:r>
        <w:rPr>
          <w:sz w:val="20"/>
        </w:rPr>
        <w:t xml:space="preserve">2.1. Задачей Комиссии является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а также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(включая перевозки пассажиров и грузов) на этих территориях, до истечения 1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 (далее - причинно-следственная связь).</w:t>
      </w:r>
    </w:p>
    <w:p>
      <w:pPr>
        <w:pStyle w:val="0"/>
        <w:spacing w:before="200" w:lineRule="auto"/>
        <w:ind w:firstLine="540"/>
        <w:jc w:val="both"/>
      </w:pPr>
      <w:r>
        <w:rPr>
          <w:sz w:val="20"/>
        </w:rPr>
        <w:t xml:space="preserve">2.2. Для реализации задачи, указанной в </w:t>
      </w:r>
      <w:hyperlink w:history="0" w:anchor="P76" w:tooltip="2.1. Задачей Комиссии является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
        <w:r>
          <w:rPr>
            <w:sz w:val="20"/>
            <w:color w:val="0000ff"/>
          </w:rPr>
          <w:t xml:space="preserve">пункте 2.1</w:t>
        </w:r>
      </w:hyperlink>
      <w:r>
        <w:rPr>
          <w:sz w:val="20"/>
        </w:rPr>
        <w:t xml:space="preserve"> настоящего Положения, Комиссия выполняет следующие функции:</w:t>
      </w:r>
    </w:p>
    <w:bookmarkStart w:id="78" w:name="P78"/>
    <w:bookmarkEnd w:id="78"/>
    <w:p>
      <w:pPr>
        <w:pStyle w:val="0"/>
        <w:spacing w:before="200" w:lineRule="auto"/>
        <w:ind w:firstLine="540"/>
        <w:jc w:val="both"/>
      </w:pPr>
      <w:r>
        <w:rPr>
          <w:sz w:val="20"/>
        </w:rPr>
        <w:t xml:space="preserve">а) рассматривает ходатайства об установлении причинно-следственной связи Федерального агентства по делам молодежи (далее - ходатайство) с приложением к ним копий:</w:t>
      </w:r>
    </w:p>
    <w:p>
      <w:pPr>
        <w:pStyle w:val="0"/>
        <w:spacing w:before="200" w:lineRule="auto"/>
        <w:ind w:firstLine="540"/>
        <w:jc w:val="both"/>
      </w:pPr>
      <w:r>
        <w:rPr>
          <w:sz w:val="20"/>
        </w:rPr>
        <w:t xml:space="preserve">документов, подтверждающих полномочия представителя Федерального агентства по делам молодежи;</w:t>
      </w:r>
    </w:p>
    <w:p>
      <w:pPr>
        <w:pStyle w:val="0"/>
        <w:spacing w:before="200" w:lineRule="auto"/>
        <w:ind w:firstLine="540"/>
        <w:jc w:val="both"/>
      </w:pPr>
      <w:r>
        <w:rPr>
          <w:sz w:val="20"/>
        </w:rPr>
        <w:t xml:space="preserve">документов, полученных от добровольца (волонтера) или лиц, указанных в </w:t>
      </w:r>
      <w:hyperlink w:history="0" r:id="rId17"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пункте 6</w:t>
        </w:r>
      </w:hyperlink>
      <w:r>
        <w:rPr>
          <w:sz w:val="20"/>
        </w:rPr>
        <w:t xml:space="preserve">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утвержденных постановлением Правительства Российской Федерации от 07.03.2023 N 356 (далее - Правила назначения выплат и компенсации), в соответствии с </w:t>
      </w:r>
      <w:hyperlink w:history="0" r:id="rId18"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пунктами 7</w:t>
        </w:r>
      </w:hyperlink>
      <w:r>
        <w:rPr>
          <w:sz w:val="20"/>
        </w:rPr>
        <w:t xml:space="preserve">, </w:t>
      </w:r>
      <w:hyperlink w:history="0" r:id="rId19"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8</w:t>
        </w:r>
      </w:hyperlink>
      <w:r>
        <w:rPr>
          <w:sz w:val="20"/>
        </w:rPr>
        <w:t xml:space="preserve"> Правил назначения выплат и компенсации;</w:t>
      </w:r>
    </w:p>
    <w:bookmarkStart w:id="81" w:name="P81"/>
    <w:bookmarkEnd w:id="81"/>
    <w:p>
      <w:pPr>
        <w:pStyle w:val="0"/>
        <w:spacing w:before="200" w:lineRule="auto"/>
        <w:ind w:firstLine="540"/>
        <w:jc w:val="both"/>
      </w:pPr>
      <w:r>
        <w:rPr>
          <w:sz w:val="20"/>
        </w:rPr>
        <w:t xml:space="preserve">б) рассматривает документы, направленные в Комиссию в соответствии с </w:t>
      </w:r>
      <w:hyperlink w:history="0" r:id="rId20"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пунктом 11</w:t>
        </w:r>
      </w:hyperlink>
      <w:r>
        <w:rPr>
          <w:sz w:val="20"/>
        </w:rPr>
        <w:t xml:space="preserve">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на этих территориях (включая перевозки пассажиров и грузов), до истечения 1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 являющихся приложением к Правилам.</w:t>
      </w:r>
    </w:p>
    <w:p>
      <w:pPr>
        <w:pStyle w:val="0"/>
        <w:spacing w:before="200" w:lineRule="auto"/>
        <w:ind w:firstLine="540"/>
        <w:jc w:val="both"/>
      </w:pPr>
      <w:r>
        <w:rPr>
          <w:sz w:val="20"/>
        </w:rPr>
        <w:t xml:space="preserve">Ходатайства и документы, указанные в </w:t>
      </w:r>
      <w:hyperlink w:history="0" w:anchor="P78" w:tooltip="а) рассматривает ходатайства об установлении причинно-следственной связи Федерального агентства по делам молодежи (далее - ходатайство) с приложением к ним копий:">
        <w:r>
          <w:rPr>
            <w:sz w:val="20"/>
            <w:color w:val="0000ff"/>
          </w:rPr>
          <w:t xml:space="preserve">подпунктах "а"</w:t>
        </w:r>
      </w:hyperlink>
      <w:r>
        <w:rPr>
          <w:sz w:val="20"/>
        </w:rPr>
        <w:t xml:space="preserve"> и </w:t>
      </w:r>
      <w:hyperlink w:history="0" w:anchor="P81" w:tooltip="б) рассматривает документы, направленные в Комиссию в соответствии с пунктом 11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
        <w:r>
          <w:rPr>
            <w:sz w:val="20"/>
            <w:color w:val="0000ff"/>
          </w:rPr>
          <w:t xml:space="preserve">"б"</w:t>
        </w:r>
      </w:hyperlink>
      <w:r>
        <w:rPr>
          <w:sz w:val="20"/>
        </w:rPr>
        <w:t xml:space="preserve"> настоящего пункта (далее - ходатайства и документы), подлежат рассмотрению Комиссией не позднее 15 календарных дней с даты их поступления.</w:t>
      </w:r>
    </w:p>
    <w:p>
      <w:pPr>
        <w:pStyle w:val="0"/>
        <w:spacing w:before="200" w:lineRule="auto"/>
        <w:ind w:firstLine="540"/>
        <w:jc w:val="both"/>
      </w:pPr>
      <w:r>
        <w:rPr>
          <w:sz w:val="20"/>
        </w:rPr>
        <w:t xml:space="preserve">2.3. Для осуществления возложенных задач и функций Комиссия вправе:</w:t>
      </w:r>
    </w:p>
    <w:p>
      <w:pPr>
        <w:pStyle w:val="0"/>
        <w:spacing w:before="200" w:lineRule="auto"/>
        <w:ind w:firstLine="540"/>
        <w:jc w:val="both"/>
      </w:pPr>
      <w:r>
        <w:rPr>
          <w:sz w:val="20"/>
        </w:rPr>
        <w:t xml:space="preserve">запрашивать и получать в установленном порядке необходимые материалы и информацию от органов и организаций, индивидуальных предпринимателей путем направления запросов. Срок рассмотрения таких запросов органами и организациями не должен превышать 5 календарных дней с даты регистрации запросов Комиссии;</w:t>
      </w:r>
    </w:p>
    <w:p>
      <w:pPr>
        <w:pStyle w:val="0"/>
        <w:spacing w:before="200" w:lineRule="auto"/>
        <w:ind w:firstLine="540"/>
        <w:jc w:val="both"/>
      </w:pPr>
      <w:r>
        <w:rPr>
          <w:sz w:val="20"/>
        </w:rPr>
        <w:t xml:space="preserve">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приглашать для участия в работе Комиссии должностных лиц и специалистов (экспертов) органов и организаций, не входящих в состав Комиссии, по вопросам деятельности Комиссии.</w:t>
      </w:r>
    </w:p>
    <w:p>
      <w:pPr>
        <w:pStyle w:val="0"/>
        <w:jc w:val="center"/>
      </w:pPr>
      <w:r>
        <w:rPr>
          <w:sz w:val="20"/>
        </w:rPr>
      </w:r>
    </w:p>
    <w:p>
      <w:pPr>
        <w:pStyle w:val="2"/>
        <w:outlineLvl w:val="1"/>
        <w:jc w:val="center"/>
      </w:pPr>
      <w:r>
        <w:rPr>
          <w:sz w:val="20"/>
        </w:rPr>
        <w:t xml:space="preserve">3. Состав и порядок работы Комиссии</w:t>
      </w:r>
    </w:p>
    <w:p>
      <w:pPr>
        <w:pStyle w:val="0"/>
        <w:jc w:val="center"/>
      </w:pPr>
      <w:r>
        <w:rPr>
          <w:sz w:val="20"/>
        </w:rPr>
      </w:r>
    </w:p>
    <w:p>
      <w:pPr>
        <w:pStyle w:val="0"/>
        <w:ind w:firstLine="540"/>
        <w:jc w:val="both"/>
      </w:pPr>
      <w:r>
        <w:rPr>
          <w:sz w:val="20"/>
        </w:rPr>
        <w:t xml:space="preserve">3.1. Комиссия формируется в составе председателя Комиссии, заместителя председателя Комиссии, ответственного секретаря Комиссии и членов Комиссии.</w:t>
      </w:r>
    </w:p>
    <w:p>
      <w:pPr>
        <w:pStyle w:val="0"/>
        <w:spacing w:before="200" w:lineRule="auto"/>
        <w:ind w:firstLine="540"/>
        <w:jc w:val="both"/>
      </w:pPr>
      <w:r>
        <w:rPr>
          <w:sz w:val="20"/>
        </w:rPr>
        <w:t xml:space="preserve">Состав Комиссии утверждается указом Губернатора Ивановской области. Численный состав Комиссии составляет 7 человек.</w:t>
      </w:r>
    </w:p>
    <w:p>
      <w:pPr>
        <w:pStyle w:val="0"/>
        <w:spacing w:before="200" w:lineRule="auto"/>
        <w:ind w:firstLine="540"/>
        <w:jc w:val="both"/>
      </w:pPr>
      <w:r>
        <w:rPr>
          <w:sz w:val="20"/>
        </w:rPr>
        <w:t xml:space="preserve">3.2. Председатель Комиссии:</w:t>
      </w:r>
    </w:p>
    <w:p>
      <w:pPr>
        <w:pStyle w:val="0"/>
        <w:spacing w:before="200" w:lineRule="auto"/>
        <w:ind w:firstLine="540"/>
        <w:jc w:val="both"/>
      </w:pPr>
      <w:r>
        <w:rPr>
          <w:sz w:val="20"/>
        </w:rPr>
        <w:t xml:space="preserve">осуществляет руководство деятельностью Комиссии;</w:t>
      </w:r>
    </w:p>
    <w:p>
      <w:pPr>
        <w:pStyle w:val="0"/>
        <w:spacing w:before="200" w:lineRule="auto"/>
        <w:ind w:firstLine="540"/>
        <w:jc w:val="both"/>
      </w:pPr>
      <w:r>
        <w:rPr>
          <w:sz w:val="20"/>
        </w:rPr>
        <w:t xml:space="preserve">ведет заседание Комиссии и председательствует на нем;</w:t>
      </w:r>
    </w:p>
    <w:p>
      <w:pPr>
        <w:pStyle w:val="0"/>
        <w:spacing w:before="200" w:lineRule="auto"/>
        <w:ind w:firstLine="540"/>
        <w:jc w:val="both"/>
      </w:pPr>
      <w:r>
        <w:rPr>
          <w:sz w:val="20"/>
        </w:rPr>
        <w:t xml:space="preserve">распределяет обязанности между членами Комиссии;</w:t>
      </w:r>
    </w:p>
    <w:p>
      <w:pPr>
        <w:pStyle w:val="0"/>
        <w:spacing w:before="200" w:lineRule="auto"/>
        <w:ind w:firstLine="540"/>
        <w:jc w:val="both"/>
      </w:pPr>
      <w:r>
        <w:rPr>
          <w:sz w:val="20"/>
        </w:rPr>
        <w:t xml:space="preserve">определяет дату, место и время проведения заседания Комиссии;</w:t>
      </w:r>
    </w:p>
    <w:p>
      <w:pPr>
        <w:pStyle w:val="0"/>
        <w:spacing w:before="200" w:lineRule="auto"/>
        <w:ind w:firstLine="540"/>
        <w:jc w:val="both"/>
      </w:pPr>
      <w:r>
        <w:rPr>
          <w:sz w:val="20"/>
        </w:rPr>
        <w:t xml:space="preserve">утверждает повестку дня заседания Комиссии;</w:t>
      </w:r>
    </w:p>
    <w:p>
      <w:pPr>
        <w:pStyle w:val="0"/>
        <w:spacing w:before="200" w:lineRule="auto"/>
        <w:ind w:firstLine="540"/>
        <w:jc w:val="both"/>
      </w:pPr>
      <w:r>
        <w:rPr>
          <w:sz w:val="20"/>
        </w:rPr>
        <w:t xml:space="preserve">абзац утратил силу. - </w:t>
      </w:r>
      <w:hyperlink w:history="0" r:id="rId21" w:tooltip="Указ Губернатора Ивановской области от 29.08.2025 N 68-уг &quot;О внесении изменений в указ Губернатора Ивановской области от 11.06.2025 N 46-уг &quot;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КонсультантПлюс}">
        <w:r>
          <w:rPr>
            <w:sz w:val="20"/>
            <w:color w:val="0000ff"/>
          </w:rPr>
          <w:t xml:space="preserve">Указ</w:t>
        </w:r>
      </w:hyperlink>
      <w:r>
        <w:rPr>
          <w:sz w:val="20"/>
        </w:rPr>
        <w:t xml:space="preserve"> Губернатора Ивановской области от 29.08.2025 N 68-уг;</w:t>
      </w:r>
    </w:p>
    <w:p>
      <w:pPr>
        <w:pStyle w:val="0"/>
        <w:spacing w:before="200" w:lineRule="auto"/>
        <w:ind w:firstLine="540"/>
        <w:jc w:val="both"/>
      </w:pPr>
      <w:r>
        <w:rPr>
          <w:sz w:val="20"/>
        </w:rPr>
        <w:t xml:space="preserve">подписывает запросы Комиссии о предоставлении необходимых материалов и информации от органов и организаций;</w:t>
      </w:r>
    </w:p>
    <w:p>
      <w:pPr>
        <w:pStyle w:val="0"/>
        <w:spacing w:before="200" w:lineRule="auto"/>
        <w:ind w:firstLine="540"/>
        <w:jc w:val="both"/>
      </w:pPr>
      <w:r>
        <w:rPr>
          <w:sz w:val="20"/>
        </w:rPr>
        <w:t xml:space="preserve">организует экспертные и аналитические мероприятия.</w:t>
      </w:r>
    </w:p>
    <w:p>
      <w:pPr>
        <w:pStyle w:val="0"/>
        <w:spacing w:before="200" w:lineRule="auto"/>
        <w:ind w:firstLine="540"/>
        <w:jc w:val="both"/>
      </w:pPr>
      <w:r>
        <w:rPr>
          <w:sz w:val="20"/>
        </w:rPr>
        <w:t xml:space="preserve">3.3. Заместитель Председателя Комиссии в отсутствие председателя Комиссии и (или) по его поручению исполняет функции председателя Комиссии, а также пользуется всеми полномочиями членов Комиссии.</w:t>
      </w:r>
    </w:p>
    <w:p>
      <w:pPr>
        <w:pStyle w:val="0"/>
        <w:spacing w:before="200" w:lineRule="auto"/>
        <w:ind w:firstLine="540"/>
        <w:jc w:val="both"/>
      </w:pPr>
      <w:r>
        <w:rPr>
          <w:sz w:val="20"/>
        </w:rPr>
        <w:t xml:space="preserve">3.4. Ответственный секретарь Комиссии:</w:t>
      </w:r>
    </w:p>
    <w:p>
      <w:pPr>
        <w:pStyle w:val="0"/>
        <w:spacing w:before="200" w:lineRule="auto"/>
        <w:ind w:firstLine="540"/>
        <w:jc w:val="both"/>
      </w:pPr>
      <w:r>
        <w:rPr>
          <w:sz w:val="20"/>
        </w:rPr>
        <w:t xml:space="preserve">организует сбор и подготовку материалов для рассмотрения на заседаниях Комиссии;</w:t>
      </w:r>
    </w:p>
    <w:p>
      <w:pPr>
        <w:pStyle w:val="0"/>
        <w:spacing w:before="200" w:lineRule="auto"/>
        <w:ind w:firstLine="540"/>
        <w:jc w:val="both"/>
      </w:pPr>
      <w:r>
        <w:rPr>
          <w:sz w:val="20"/>
        </w:rPr>
        <w:t xml:space="preserve">формирует проект повестки дня заседания Комиссии;</w:t>
      </w:r>
    </w:p>
    <w:p>
      <w:pPr>
        <w:pStyle w:val="0"/>
        <w:spacing w:before="200" w:lineRule="auto"/>
        <w:ind w:firstLine="540"/>
        <w:jc w:val="both"/>
      </w:pPr>
      <w:r>
        <w:rPr>
          <w:sz w:val="20"/>
        </w:rPr>
        <w:t xml:space="preserve">знакомит членов Комиссии с материалами и документами, поступающими в Комиссию;</w:t>
      </w:r>
    </w:p>
    <w:p>
      <w:pPr>
        <w:pStyle w:val="0"/>
        <w:spacing w:before="200" w:lineRule="auto"/>
        <w:ind w:firstLine="540"/>
        <w:jc w:val="both"/>
      </w:pPr>
      <w:r>
        <w:rPr>
          <w:sz w:val="20"/>
        </w:rPr>
        <w:t xml:space="preserve">извещает членов Комиссии и приглашенных на ее заседание лиц о дате, времени и месте проведения заседания Комиссии, а также о повестке дня заседания Комиссии в срок не позднее 2 рабочих дней до дня проведения заседания Комиссии;</w:t>
      </w:r>
    </w:p>
    <w:p>
      <w:pPr>
        <w:pStyle w:val="0"/>
        <w:spacing w:before="200" w:lineRule="auto"/>
        <w:ind w:firstLine="540"/>
        <w:jc w:val="both"/>
      </w:pPr>
      <w:r>
        <w:rPr>
          <w:sz w:val="20"/>
        </w:rPr>
        <w:t xml:space="preserve">оформляет протокол заседания Комиссии в срок не позднее 3 рабочих дней со дня проведения заседания Комиссии;</w:t>
      </w:r>
    </w:p>
    <w:p>
      <w:pPr>
        <w:pStyle w:val="0"/>
        <w:spacing w:before="200" w:lineRule="auto"/>
        <w:ind w:firstLine="540"/>
        <w:jc w:val="both"/>
      </w:pPr>
      <w:r>
        <w:rPr>
          <w:sz w:val="20"/>
        </w:rPr>
        <w:t xml:space="preserve">осуществляет контроль за исполнением решений, принятых Комиссией.</w:t>
      </w:r>
    </w:p>
    <w:p>
      <w:pPr>
        <w:pStyle w:val="0"/>
        <w:jc w:val="both"/>
      </w:pPr>
      <w:r>
        <w:rPr>
          <w:sz w:val="20"/>
        </w:rPr>
        <w:t xml:space="preserve">(абзац введен </w:t>
      </w:r>
      <w:hyperlink w:history="0" r:id="rId22" w:tooltip="Указ Губернатора Ивановской области от 29.08.2025 N 68-уг &quot;О внесении изменений в указ Губернатора Ивановской области от 11.06.2025 N 46-уг &quot;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КонсультантПлюс}">
        <w:r>
          <w:rPr>
            <w:sz w:val="20"/>
            <w:color w:val="0000ff"/>
          </w:rPr>
          <w:t xml:space="preserve">Указом</w:t>
        </w:r>
      </w:hyperlink>
      <w:r>
        <w:rPr>
          <w:sz w:val="20"/>
        </w:rPr>
        <w:t xml:space="preserve"> Губернатора Ивановской области от 29.08.2025 N 68-уг)</w:t>
      </w:r>
    </w:p>
    <w:p>
      <w:pPr>
        <w:pStyle w:val="0"/>
        <w:spacing w:before="200" w:lineRule="auto"/>
        <w:ind w:firstLine="540"/>
        <w:jc w:val="both"/>
      </w:pPr>
      <w:r>
        <w:rPr>
          <w:sz w:val="20"/>
        </w:rPr>
        <w:t xml:space="preserve">3.5. Члены Комиссии:</w:t>
      </w:r>
    </w:p>
    <w:p>
      <w:pPr>
        <w:pStyle w:val="0"/>
        <w:spacing w:before="200" w:lineRule="auto"/>
        <w:ind w:firstLine="540"/>
        <w:jc w:val="both"/>
      </w:pPr>
      <w:r>
        <w:rPr>
          <w:sz w:val="20"/>
        </w:rPr>
        <w:t xml:space="preserve">вносят предложения о созыве заседаний Комиссии по списку приглашенных на заседание Комиссии;</w:t>
      </w:r>
    </w:p>
    <w:p>
      <w:pPr>
        <w:pStyle w:val="0"/>
        <w:spacing w:before="200" w:lineRule="auto"/>
        <w:ind w:firstLine="540"/>
        <w:jc w:val="both"/>
      </w:pPr>
      <w:r>
        <w:rPr>
          <w:sz w:val="20"/>
        </w:rPr>
        <w:t xml:space="preserve">осуществляют всесторонний, полный, объективный и комплексный анализ материалов, представленных на заседаниях Комиссии;</w:t>
      </w:r>
    </w:p>
    <w:p>
      <w:pPr>
        <w:pStyle w:val="0"/>
        <w:spacing w:before="200" w:lineRule="auto"/>
        <w:ind w:firstLine="540"/>
        <w:jc w:val="both"/>
      </w:pPr>
      <w:r>
        <w:rPr>
          <w:sz w:val="20"/>
        </w:rPr>
        <w:t xml:space="preserve">лично участвуют в заседаниях Комиссии и голосуют по обсуждаемым вопросам;</w:t>
      </w:r>
    </w:p>
    <w:p>
      <w:pPr>
        <w:pStyle w:val="0"/>
        <w:spacing w:before="200" w:lineRule="auto"/>
        <w:ind w:firstLine="540"/>
        <w:jc w:val="both"/>
      </w:pPr>
      <w:r>
        <w:rPr>
          <w:sz w:val="20"/>
        </w:rPr>
        <w:t xml:space="preserve">выполняют поручения председателя Комиссии;</w:t>
      </w:r>
    </w:p>
    <w:p>
      <w:pPr>
        <w:pStyle w:val="0"/>
        <w:spacing w:before="200" w:lineRule="auto"/>
        <w:ind w:firstLine="540"/>
        <w:jc w:val="both"/>
      </w:pPr>
      <w:r>
        <w:rPr>
          <w:sz w:val="20"/>
        </w:rPr>
        <w:t xml:space="preserve">обладают равными правами при обсуждении рассматриваемых на заседании вопросов;</w:t>
      </w:r>
    </w:p>
    <w:p>
      <w:pPr>
        <w:pStyle w:val="0"/>
        <w:spacing w:before="200" w:lineRule="auto"/>
        <w:ind w:firstLine="540"/>
        <w:jc w:val="both"/>
      </w:pPr>
      <w:r>
        <w:rPr>
          <w:sz w:val="20"/>
        </w:rPr>
        <w:t xml:space="preserve">вправе при несогласии с принятым решением изложить в письменной форме особое мнение, которое подлежит обязательному приобщению к протоколу заседания Комиссии;</w:t>
      </w:r>
    </w:p>
    <w:p>
      <w:pPr>
        <w:pStyle w:val="0"/>
        <w:spacing w:before="200" w:lineRule="auto"/>
        <w:ind w:firstLine="540"/>
        <w:jc w:val="both"/>
      </w:pPr>
      <w:r>
        <w:rPr>
          <w:sz w:val="20"/>
        </w:rPr>
        <w:t xml:space="preserve">не вправе разглашать сведения, ставшие им известными в ходе работы Комиссии.</w:t>
      </w:r>
    </w:p>
    <w:p>
      <w:pPr>
        <w:pStyle w:val="0"/>
        <w:jc w:val="both"/>
      </w:pPr>
      <w:r>
        <w:rPr>
          <w:sz w:val="20"/>
        </w:rPr>
        <w:t xml:space="preserve">(в ред. </w:t>
      </w:r>
      <w:hyperlink w:history="0" r:id="rId23" w:tooltip="Указ Губернатора Ивановской области от 29.08.2025 N 68-уг &quot;О внесении изменений в указ Губернатора Ивановской области от 11.06.2025 N 46-уг &quot;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КонсультантПлюс}">
        <w:r>
          <w:rPr>
            <w:sz w:val="20"/>
            <w:color w:val="0000ff"/>
          </w:rPr>
          <w:t xml:space="preserve">Указа</w:t>
        </w:r>
      </w:hyperlink>
      <w:r>
        <w:rPr>
          <w:sz w:val="20"/>
        </w:rPr>
        <w:t xml:space="preserve"> Губернатора Ивановской области от 29.08.2025 N 68-уг)</w:t>
      </w:r>
    </w:p>
    <w:p>
      <w:pPr>
        <w:pStyle w:val="0"/>
        <w:spacing w:before="200" w:lineRule="auto"/>
        <w:ind w:firstLine="540"/>
        <w:jc w:val="both"/>
      </w:pPr>
      <w:r>
        <w:rPr>
          <w:sz w:val="20"/>
        </w:rPr>
        <w:t xml:space="preserve">3.6. Председатель Комиссии, заместитель председателя Комиссии, ответственный секретарь Комиссии, члены Комиссии участвуют в заседаниях Комиссии лично.</w:t>
      </w:r>
    </w:p>
    <w:p>
      <w:pPr>
        <w:pStyle w:val="0"/>
        <w:spacing w:before="200" w:lineRule="auto"/>
        <w:ind w:firstLine="540"/>
        <w:jc w:val="both"/>
      </w:pPr>
      <w:r>
        <w:rPr>
          <w:sz w:val="20"/>
        </w:rPr>
        <w:t xml:space="preserve">3.7. При невозможности участия в заседании Комиссии по уважительной причине (временная нетрудоспособность, отпуск, служебная командировка) члена Комиссии или ответственного секретаря Комиссии осуществляется замена:</w:t>
      </w:r>
    </w:p>
    <w:p>
      <w:pPr>
        <w:pStyle w:val="0"/>
        <w:spacing w:before="200" w:lineRule="auto"/>
        <w:ind w:firstLine="540"/>
        <w:jc w:val="both"/>
      </w:pPr>
      <w:r>
        <w:rPr>
          <w:sz w:val="20"/>
        </w:rPr>
        <w:t xml:space="preserve">члена Комиссии, являющегося руководителем органа государственной власти Ивановской области, территориального органа федерального органа исполнительной власти по Ивановской области, исполнительного органа государственной власти Ивановской области, государственного органа Ивановской области, органа местного самоуправления муниципального образования Ивановской области, организации, - лицом, исполняющим его обязанности;</w:t>
      </w:r>
    </w:p>
    <w:p>
      <w:pPr>
        <w:pStyle w:val="0"/>
        <w:spacing w:before="200" w:lineRule="auto"/>
        <w:ind w:firstLine="540"/>
        <w:jc w:val="both"/>
      </w:pPr>
      <w:r>
        <w:rPr>
          <w:sz w:val="20"/>
        </w:rPr>
        <w:t xml:space="preserve">члена Комиссии, являющегося государственным гражданским служащим органа государственной власти Ивановской области, территориального органа федерального органа исполнительной власти по Ивановской области, исполнительного органа государственной власти Ивановской области, аппарата Правительства Ивановской области, государственного органа Ивановской области или являющегося муниципальным служащим органа местного самоуправления муниципального образования Ивановской области, - иным государственным гражданским или муниципальным служащим по поручению руководителя этого органа;</w:t>
      </w:r>
    </w:p>
    <w:p>
      <w:pPr>
        <w:pStyle w:val="0"/>
        <w:spacing w:before="200" w:lineRule="auto"/>
        <w:ind w:firstLine="540"/>
        <w:jc w:val="both"/>
      </w:pPr>
      <w:r>
        <w:rPr>
          <w:sz w:val="20"/>
        </w:rPr>
        <w:t xml:space="preserve">ответственного секретаря Комиссии - иным государственным гражданским служащим Ивановской области, замещающим должность государственной гражданской службы Ивановской области в исполнительном органе государственной власти Ивановской области, осуществляющем организационно-техническое обеспечение деятельности Комиссии, который определяется руководителем соответствующего исполнительного органа государственной власти Ивановской области по поручению председателя Комиссии.</w:t>
      </w:r>
    </w:p>
    <w:p>
      <w:pPr>
        <w:pStyle w:val="0"/>
        <w:spacing w:before="200" w:lineRule="auto"/>
        <w:ind w:firstLine="540"/>
        <w:jc w:val="both"/>
      </w:pPr>
      <w:r>
        <w:rPr>
          <w:sz w:val="20"/>
        </w:rPr>
        <w:t xml:space="preserve">3.8. Замена заместителя председателя Комиссии другими лицами не допускается.</w:t>
      </w:r>
    </w:p>
    <w:p>
      <w:pPr>
        <w:pStyle w:val="0"/>
        <w:spacing w:before="200" w:lineRule="auto"/>
        <w:ind w:firstLine="540"/>
        <w:jc w:val="both"/>
      </w:pPr>
      <w:r>
        <w:rPr>
          <w:sz w:val="20"/>
        </w:rPr>
        <w:t xml:space="preserve">3.9. В случае замены члена Комиссии или ответственного секретаря Комиссии иными лицами указанные лица в полном объеме обладают правами и выполняют обязанности соответственно члена Комиссии или ответственного секретаря Комиссии.</w:t>
      </w:r>
    </w:p>
    <w:p>
      <w:pPr>
        <w:pStyle w:val="0"/>
        <w:spacing w:before="200" w:lineRule="auto"/>
        <w:ind w:firstLine="540"/>
        <w:jc w:val="both"/>
      </w:pPr>
      <w:r>
        <w:rPr>
          <w:sz w:val="20"/>
        </w:rPr>
        <w:t xml:space="preserve">3.10. Основной формой деятельности Комиссии являются заседания, проводимые по мере необходимости (при поступлении ходатайств и документов). Заседание Комиссии признается правомочным, если в нем принимает участие более половины ее членов.</w:t>
      </w:r>
    </w:p>
    <w:p>
      <w:pPr>
        <w:pStyle w:val="0"/>
        <w:spacing w:before="200" w:lineRule="auto"/>
        <w:ind w:firstLine="540"/>
        <w:jc w:val="both"/>
      </w:pPr>
      <w:r>
        <w:rPr>
          <w:sz w:val="20"/>
        </w:rPr>
        <w:t xml:space="preserve">3.11. Решения Комиссии принимаются большинством голосов присутствующих на заседании членов Комиссии с учетом представленного письменного мнения отсутствующих членов Комиссии. В случае равенства голосов решающим является голос лица, председательствующего на заседании Комиссии.</w:t>
      </w:r>
    </w:p>
    <w:p>
      <w:pPr>
        <w:pStyle w:val="0"/>
        <w:spacing w:before="200" w:lineRule="auto"/>
        <w:ind w:firstLine="540"/>
        <w:jc w:val="both"/>
      </w:pPr>
      <w:r>
        <w:rPr>
          <w:sz w:val="20"/>
        </w:rPr>
        <w:t xml:space="preserve">3.12. Результаты рассмотрения Комиссией ходатайств и документов оформляются:</w:t>
      </w:r>
    </w:p>
    <w:p>
      <w:pPr>
        <w:pStyle w:val="0"/>
        <w:spacing w:before="200" w:lineRule="auto"/>
        <w:ind w:firstLine="540"/>
        <w:jc w:val="both"/>
      </w:pPr>
      <w:r>
        <w:rPr>
          <w:sz w:val="20"/>
        </w:rPr>
        <w:t xml:space="preserve">протоколом, содержащим принятые решения, который подписывается председателем Комиссии (заместителем председателя Комиссии при отсутствии председателя Комиссии) и всеми членами Комиссии;</w:t>
      </w:r>
    </w:p>
    <w:bookmarkStart w:id="130" w:name="P130"/>
    <w:bookmarkEnd w:id="130"/>
    <w:p>
      <w:pPr>
        <w:pStyle w:val="0"/>
        <w:spacing w:before="200" w:lineRule="auto"/>
        <w:ind w:firstLine="540"/>
        <w:jc w:val="both"/>
      </w:pPr>
      <w:hyperlink w:history="0" r:id="rId24"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заключением</w:t>
        </w:r>
      </w:hyperlink>
      <w:r>
        <w:rPr>
          <w:sz w:val="20"/>
        </w:rPr>
        <w:t xml:space="preserve"> о причинно-следственной связи по форме, утвержденной приложением 2 к Правилам назначения и выплаты компенсации, которое подписывается председателем Комиссии (заместителем председателя Комиссии при отсутствии председателя Комиссии);</w:t>
      </w:r>
    </w:p>
    <w:bookmarkStart w:id="131" w:name="P131"/>
    <w:bookmarkEnd w:id="131"/>
    <w:p>
      <w:pPr>
        <w:pStyle w:val="0"/>
        <w:spacing w:before="200" w:lineRule="auto"/>
        <w:ind w:firstLine="540"/>
        <w:jc w:val="both"/>
      </w:pPr>
      <w:hyperlink w:history="0" r:id="rId25"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заключением</w:t>
        </w:r>
      </w:hyperlink>
      <w:r>
        <w:rPr>
          <w:sz w:val="20"/>
        </w:rPr>
        <w:t xml:space="preserve"> о причинно-следственной связи между смертью волонтера, осуществлявшего свою деятельность на территориях Донецкой Народной Республики, Луганской Народной Республики, Запорожской области и Херсонской области, физического лица, привлеченного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прибывшего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на этих территориях (включая перевозки пассажиров и грузов), и увечьем (ранением, травмой, контузией) или заболеванием, полученными такими волонтером, лицом при осуществлении волонтерской деятельности, выполнении соответствующих задач, работ (оказании услуг) на территориях Донецкой Народной Республики, Луганской Народной Республики, Запорожской области и Херсонской области, в случае, если смерть указанных волонтера, лица наступила до истечения 1 года со дня прекращения волонтерской деятельности на этих территориях, возвращения с этих территорий вследствие полученного увечья (ранения, травмы, контузии) или заболевания, по форме, утвержденной приложением к Правилам.</w:t>
      </w:r>
    </w:p>
    <w:p>
      <w:pPr>
        <w:pStyle w:val="0"/>
        <w:spacing w:before="200" w:lineRule="auto"/>
        <w:ind w:firstLine="540"/>
        <w:jc w:val="both"/>
      </w:pPr>
      <w:r>
        <w:rPr>
          <w:sz w:val="20"/>
        </w:rPr>
        <w:t xml:space="preserve">3.13. Заключения, указанные в </w:t>
      </w:r>
      <w:hyperlink w:history="0" w:anchor="P130" w:tooltip="заключением о причинно-следственной связи по форме, утвержденной приложением 2 к Правилам назначения и выплаты компенсации, которое подписывается председателем Комиссии (заместителем председателя Комиссии при отсутствии председателя Комиссии);">
        <w:r>
          <w:rPr>
            <w:sz w:val="20"/>
            <w:color w:val="0000ff"/>
          </w:rPr>
          <w:t xml:space="preserve">абзацах третьем</w:t>
        </w:r>
      </w:hyperlink>
      <w:r>
        <w:rPr>
          <w:sz w:val="20"/>
        </w:rPr>
        <w:t xml:space="preserve"> и </w:t>
      </w:r>
      <w:hyperlink w:history="0" w:anchor="P131" w:tooltip="заключением о причинно-следственной связи между смертью волонтера, осуществлявшего свою деятельность на территориях Донецкой Народной Республики, Луганской Народной Республики, Запорожской области и Херсонской области, физического лица, привлеченного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его для непосредственного участия в выполнении работ (оказании у...">
        <w:r>
          <w:rPr>
            <w:sz w:val="20"/>
            <w:color w:val="0000ff"/>
          </w:rPr>
          <w:t xml:space="preserve">четвертом пункта 3.12</w:t>
        </w:r>
      </w:hyperlink>
      <w:r>
        <w:rPr>
          <w:sz w:val="20"/>
        </w:rPr>
        <w:t xml:space="preserve"> настоящего Положения, действуют бессрочно на всей территории Российской Федерации и направляются ответственным секретарем Комиссии в адрес Федерального агентства по делам молодежи, орган или организацию, индивидуальному предпринимателю не позднее 3 рабочих дней с даты проведения заседания Комиссии и подписания заключения.</w:t>
      </w:r>
    </w:p>
    <w:p>
      <w:pPr>
        <w:pStyle w:val="0"/>
        <w:spacing w:before="200" w:lineRule="auto"/>
        <w:ind w:firstLine="540"/>
        <w:jc w:val="both"/>
      </w:pPr>
      <w:r>
        <w:rPr>
          <w:sz w:val="20"/>
        </w:rPr>
        <w:t xml:space="preserve">3.14. Организационное, правовое и материально-техническое обеспечение деятельности Комиссии осуществляет комитет Ивановской области по молодежной политике.</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Приложение 2</w:t>
      </w:r>
    </w:p>
    <w:p>
      <w:pPr>
        <w:pStyle w:val="0"/>
        <w:jc w:val="right"/>
      </w:pPr>
      <w:r>
        <w:rPr>
          <w:sz w:val="20"/>
        </w:rPr>
        <w:t xml:space="preserve">к указу</w:t>
      </w:r>
    </w:p>
    <w:p>
      <w:pPr>
        <w:pStyle w:val="0"/>
        <w:jc w:val="right"/>
      </w:pPr>
      <w:r>
        <w:rPr>
          <w:sz w:val="20"/>
        </w:rPr>
        <w:t xml:space="preserve">Губернатора</w:t>
      </w:r>
    </w:p>
    <w:p>
      <w:pPr>
        <w:pStyle w:val="0"/>
        <w:jc w:val="right"/>
      </w:pPr>
      <w:r>
        <w:rPr>
          <w:sz w:val="20"/>
        </w:rPr>
        <w:t xml:space="preserve">Ивановской области</w:t>
      </w:r>
    </w:p>
    <w:p>
      <w:pPr>
        <w:pStyle w:val="0"/>
        <w:jc w:val="right"/>
      </w:pPr>
      <w:r>
        <w:rPr>
          <w:sz w:val="20"/>
        </w:rPr>
        <w:t xml:space="preserve">от 11.06.2025 N 46-уг</w:t>
      </w:r>
    </w:p>
    <w:p>
      <w:pPr>
        <w:pStyle w:val="0"/>
        <w:jc w:val="center"/>
      </w:pPr>
      <w:r>
        <w:rPr>
          <w:sz w:val="20"/>
        </w:rPr>
      </w:r>
    </w:p>
    <w:bookmarkStart w:id="145" w:name="P145"/>
    <w:bookmarkEnd w:id="145"/>
    <w:p>
      <w:pPr>
        <w:pStyle w:val="2"/>
        <w:jc w:val="center"/>
      </w:pPr>
      <w:r>
        <w:rPr>
          <w:sz w:val="20"/>
        </w:rPr>
        <w:t xml:space="preserve">СОСТАВ</w:t>
      </w:r>
    </w:p>
    <w:p>
      <w:pPr>
        <w:pStyle w:val="2"/>
        <w:jc w:val="center"/>
      </w:pPr>
      <w:r>
        <w:rPr>
          <w:sz w:val="20"/>
        </w:rPr>
        <w:t xml:space="preserve">КОМИССИИ ИВАНОВСКОЙ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 ИМ</w:t>
      </w:r>
    </w:p>
    <w:p>
      <w:pPr>
        <w:pStyle w:val="2"/>
        <w:jc w:val="center"/>
      </w:pPr>
      <w:r>
        <w:rPr>
          <w:sz w:val="20"/>
        </w:rPr>
        <w:t xml:space="preserve">ВИДА ДОБРОВОЛЬЧЕСКОЙ (ВОЛОНТЕРСКОЙ) ДЕЯТЕЛЬНОСТИ, А ТАКЖЕ</w:t>
      </w:r>
    </w:p>
    <w:p>
      <w:pPr>
        <w:pStyle w:val="2"/>
        <w:jc w:val="center"/>
      </w:pPr>
      <w:r>
        <w:rPr>
          <w:sz w:val="20"/>
        </w:rPr>
        <w:t xml:space="preserve">ПРИЧИННО-СЛЕДСТВЕННОЙ СВЯЗИ МЕЖДУ СМЕРТЬЮ (ГИБЕЛЬЮ)</w:t>
      </w:r>
    </w:p>
    <w:p>
      <w:pPr>
        <w:pStyle w:val="2"/>
        <w:jc w:val="center"/>
      </w:pPr>
      <w:r>
        <w:rPr>
          <w:sz w:val="20"/>
        </w:rPr>
        <w:t xml:space="preserve">ДОБРОВОЛЬЦА (ВОЛОНТЕРА) И ВРЕДОМ ЖИЗНИ ИЛИ ЗДОРОВЬЮ</w:t>
      </w:r>
    </w:p>
    <w:p>
      <w:pPr>
        <w:pStyle w:val="2"/>
        <w:jc w:val="center"/>
      </w:pPr>
      <w:r>
        <w:rPr>
          <w:sz w:val="20"/>
        </w:rPr>
        <w:t xml:space="preserve">ДОБРОВОЛЬЦА (ВОЛОНТЕРА), ПОЛУЧЕННЫМ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В СЛУЧАЕ, ЕСЛИ СМЕРТЬ (ГИБЕЛЬ)</w:t>
      </w:r>
    </w:p>
    <w:p>
      <w:pPr>
        <w:pStyle w:val="2"/>
        <w:jc w:val="center"/>
      </w:pPr>
      <w:r>
        <w:rPr>
          <w:sz w:val="20"/>
        </w:rPr>
        <w:t xml:space="preserve">ДОБРОВОЛЬЦА (ВОЛОНТЕРА) НАСТУПИЛА ДО ИСТЕЧЕНИЯ ОДНОГО ГОДА</w:t>
      </w:r>
    </w:p>
    <w:p>
      <w:pPr>
        <w:pStyle w:val="2"/>
        <w:jc w:val="center"/>
      </w:pPr>
      <w:r>
        <w:rPr>
          <w:sz w:val="20"/>
        </w:rPr>
        <w:t xml:space="preserve">СО ДНЯ ПОЛУЧЕНИЯ ВРЕДА ЖИЗНИ ИЛИ ЗДОРОВЬЮ ДОБРОВОЛЬЦА</w:t>
      </w:r>
    </w:p>
    <w:p>
      <w:pPr>
        <w:pStyle w:val="2"/>
        <w:jc w:val="center"/>
      </w:pPr>
      <w:r>
        <w:rPr>
          <w:sz w:val="20"/>
        </w:rPr>
        <w:t xml:space="preserve">(ВОЛОНТЕРА), ПОЛУЧЕННОГО ДОБРОВОЛЬЦЕМ (ВОЛОНТЕРОМ)</w:t>
      </w:r>
    </w:p>
    <w:p>
      <w:pPr>
        <w:pStyle w:val="2"/>
        <w:jc w:val="center"/>
      </w:pPr>
      <w:r>
        <w:rPr>
          <w:sz w:val="20"/>
        </w:rPr>
        <w:t xml:space="preserve">ПРИ ОСУЩЕСТВЛЕНИИ ИМ ДОБРОВОЛЬЧЕСКОЙ</w:t>
      </w:r>
    </w:p>
    <w:p>
      <w:pPr>
        <w:pStyle w:val="2"/>
        <w:jc w:val="center"/>
      </w:pPr>
      <w:r>
        <w:rPr>
          <w:sz w:val="20"/>
        </w:rPr>
        <w:t xml:space="preserve">(ВОЛОНТЕРСКОЙ) ДЕЯТЕЛЬНОСТИ</w:t>
      </w:r>
    </w:p>
    <w:p>
      <w:pPr>
        <w:pStyle w:val="0"/>
        <w:jc w:val="center"/>
      </w:pPr>
      <w:r>
        <w:rPr>
          <w:sz w:val="20"/>
        </w:rPr>
      </w:r>
    </w:p>
    <w:tbl>
      <w:tblPr>
        <w:tblInd w:w="0" w:type="dxa"/>
        <w:tblLayout w:type="fixed"/>
        <w:tblCellMar>
          <w:top w:w="102" w:type="dxa"/>
          <w:left w:w="62" w:type="dxa"/>
          <w:bottom w:w="102" w:type="dxa"/>
          <w:right w:w="62" w:type="dxa"/>
        </w:tblCellMar>
      </w:tblPr>
      <w:tblGrid>
        <w:gridCol w:w="3175"/>
        <w:gridCol w:w="5896"/>
      </w:tblGrid>
      <w:tr>
        <w:tc>
          <w:tcPr>
            <w:tcW w:w="3175" w:type="dxa"/>
            <w:tcBorders>
              <w:top w:val="nil"/>
              <w:left w:val="nil"/>
              <w:bottom w:val="nil"/>
              <w:right w:val="nil"/>
            </w:tcBorders>
          </w:tcPr>
          <w:p>
            <w:pPr>
              <w:pStyle w:val="0"/>
              <w:jc w:val="both"/>
            </w:pPr>
            <w:r>
              <w:rPr>
                <w:sz w:val="20"/>
              </w:rPr>
              <w:t xml:space="preserve">Нестеров</w:t>
            </w:r>
          </w:p>
          <w:p>
            <w:pPr>
              <w:pStyle w:val="0"/>
              <w:jc w:val="both"/>
            </w:pPr>
            <w:r>
              <w:rPr>
                <w:sz w:val="20"/>
              </w:rPr>
              <w:t xml:space="preserve">Евгений Леонидович</w:t>
            </w:r>
          </w:p>
        </w:tc>
        <w:tc>
          <w:tcPr>
            <w:tcW w:w="5896" w:type="dxa"/>
            <w:tcBorders>
              <w:top w:val="nil"/>
              <w:left w:val="nil"/>
              <w:bottom w:val="nil"/>
              <w:right w:val="nil"/>
            </w:tcBorders>
          </w:tcPr>
          <w:p>
            <w:pPr>
              <w:pStyle w:val="0"/>
              <w:jc w:val="both"/>
            </w:pPr>
            <w:r>
              <w:rPr>
                <w:sz w:val="20"/>
              </w:rPr>
              <w:t xml:space="preserve">заместитель Председателя Правительства Ивановской области, председатель комиссии</w:t>
            </w:r>
          </w:p>
        </w:tc>
      </w:tr>
      <w:tr>
        <w:tc>
          <w:tcPr>
            <w:tcW w:w="3175" w:type="dxa"/>
            <w:tcBorders>
              <w:top w:val="nil"/>
              <w:left w:val="nil"/>
              <w:bottom w:val="nil"/>
              <w:right w:val="nil"/>
            </w:tcBorders>
          </w:tcPr>
          <w:p>
            <w:pPr>
              <w:pStyle w:val="0"/>
              <w:jc w:val="both"/>
            </w:pPr>
            <w:r>
              <w:rPr>
                <w:sz w:val="20"/>
              </w:rPr>
              <w:t xml:space="preserve">Дрыганова</w:t>
            </w:r>
          </w:p>
          <w:p>
            <w:pPr>
              <w:pStyle w:val="0"/>
              <w:jc w:val="both"/>
            </w:pPr>
            <w:r>
              <w:rPr>
                <w:sz w:val="20"/>
              </w:rPr>
              <w:t xml:space="preserve">Елена Владиславовна</w:t>
            </w:r>
          </w:p>
        </w:tc>
        <w:tc>
          <w:tcPr>
            <w:tcW w:w="5896" w:type="dxa"/>
            <w:tcBorders>
              <w:top w:val="nil"/>
              <w:left w:val="nil"/>
              <w:bottom w:val="nil"/>
              <w:right w:val="nil"/>
            </w:tcBorders>
          </w:tcPr>
          <w:p>
            <w:pPr>
              <w:pStyle w:val="0"/>
              <w:jc w:val="both"/>
            </w:pPr>
            <w:r>
              <w:rPr>
                <w:sz w:val="20"/>
              </w:rPr>
              <w:t xml:space="preserve">заместитель Председателя Правительства Ивановской области, заместитель председателя комиссии</w:t>
            </w:r>
          </w:p>
        </w:tc>
      </w:tr>
      <w:tr>
        <w:tc>
          <w:tcPr>
            <w:tcW w:w="3175" w:type="dxa"/>
            <w:tcBorders>
              <w:top w:val="nil"/>
              <w:left w:val="nil"/>
              <w:bottom w:val="nil"/>
              <w:right w:val="nil"/>
            </w:tcBorders>
          </w:tcPr>
          <w:p>
            <w:pPr>
              <w:pStyle w:val="0"/>
              <w:jc w:val="both"/>
            </w:pPr>
            <w:r>
              <w:rPr>
                <w:sz w:val="20"/>
              </w:rPr>
              <w:t xml:space="preserve">Смородинова</w:t>
            </w:r>
          </w:p>
          <w:p>
            <w:pPr>
              <w:pStyle w:val="0"/>
              <w:jc w:val="both"/>
            </w:pPr>
            <w:r>
              <w:rPr>
                <w:sz w:val="20"/>
              </w:rPr>
              <w:t xml:space="preserve">Ульяна Валентиновна</w:t>
            </w:r>
          </w:p>
        </w:tc>
        <w:tc>
          <w:tcPr>
            <w:tcW w:w="5896" w:type="dxa"/>
            <w:tcBorders>
              <w:top w:val="nil"/>
              <w:left w:val="nil"/>
              <w:bottom w:val="nil"/>
              <w:right w:val="nil"/>
            </w:tcBorders>
          </w:tcPr>
          <w:p>
            <w:pPr>
              <w:pStyle w:val="0"/>
              <w:jc w:val="both"/>
            </w:pPr>
            <w:r>
              <w:rPr>
                <w:sz w:val="20"/>
              </w:rPr>
              <w:t xml:space="preserve">председатель комитета Ивановской области по молодежной политике, ответственный секретарь комиссии</w:t>
            </w:r>
          </w:p>
        </w:tc>
      </w:tr>
      <w:tr>
        <w:tc>
          <w:tcPr>
            <w:tcW w:w="3175" w:type="dxa"/>
            <w:tcBorders>
              <w:top w:val="nil"/>
              <w:left w:val="nil"/>
              <w:bottom w:val="nil"/>
              <w:right w:val="nil"/>
            </w:tcBorders>
          </w:tcPr>
          <w:p>
            <w:pPr>
              <w:pStyle w:val="0"/>
              <w:jc w:val="both"/>
            </w:pPr>
            <w:r>
              <w:rPr>
                <w:sz w:val="20"/>
              </w:rPr>
              <w:t xml:space="preserve">Ивина</w:t>
            </w:r>
          </w:p>
          <w:p>
            <w:pPr>
              <w:pStyle w:val="0"/>
              <w:jc w:val="both"/>
            </w:pPr>
            <w:r>
              <w:rPr>
                <w:sz w:val="20"/>
              </w:rPr>
              <w:t xml:space="preserve">Анастасия Ильдаровна</w:t>
            </w:r>
          </w:p>
        </w:tc>
        <w:tc>
          <w:tcPr>
            <w:tcW w:w="5896" w:type="dxa"/>
            <w:tcBorders>
              <w:top w:val="nil"/>
              <w:left w:val="nil"/>
              <w:bottom w:val="nil"/>
              <w:right w:val="nil"/>
            </w:tcBorders>
          </w:tcPr>
          <w:p>
            <w:pPr>
              <w:pStyle w:val="0"/>
              <w:jc w:val="both"/>
            </w:pPr>
            <w:r>
              <w:rPr>
                <w:sz w:val="20"/>
              </w:rPr>
              <w:t xml:space="preserve">заместитель директора Департамента социальной защиты населения Ивановской области, член комиссии</w:t>
            </w:r>
          </w:p>
        </w:tc>
      </w:tr>
      <w:tr>
        <w:tc>
          <w:tcPr>
            <w:tcW w:w="3175" w:type="dxa"/>
            <w:tcBorders>
              <w:top w:val="nil"/>
              <w:left w:val="nil"/>
              <w:bottom w:val="nil"/>
              <w:right w:val="nil"/>
            </w:tcBorders>
          </w:tcPr>
          <w:p>
            <w:pPr>
              <w:pStyle w:val="0"/>
              <w:jc w:val="both"/>
            </w:pPr>
            <w:r>
              <w:rPr>
                <w:sz w:val="20"/>
              </w:rPr>
              <w:t xml:space="preserve">Павлухин</w:t>
            </w:r>
          </w:p>
          <w:p>
            <w:pPr>
              <w:pStyle w:val="0"/>
              <w:jc w:val="both"/>
            </w:pPr>
            <w:r>
              <w:rPr>
                <w:sz w:val="20"/>
              </w:rPr>
              <w:t xml:space="preserve">Виктор Александрович</w:t>
            </w:r>
          </w:p>
        </w:tc>
        <w:tc>
          <w:tcPr>
            <w:tcW w:w="5896" w:type="dxa"/>
            <w:tcBorders>
              <w:top w:val="nil"/>
              <w:left w:val="nil"/>
              <w:bottom w:val="nil"/>
              <w:right w:val="nil"/>
            </w:tcBorders>
          </w:tcPr>
          <w:p>
            <w:pPr>
              <w:pStyle w:val="0"/>
              <w:jc w:val="both"/>
            </w:pPr>
            <w:r>
              <w:rPr>
                <w:sz w:val="20"/>
              </w:rPr>
              <w:t xml:space="preserve">главный советник группы юридического и кадрового обеспечения комитета Ивановской области по молодежной политике, член комиссии</w:t>
            </w:r>
          </w:p>
        </w:tc>
      </w:tr>
      <w:tr>
        <w:tc>
          <w:tcPr>
            <w:tcW w:w="3175" w:type="dxa"/>
            <w:tcBorders>
              <w:top w:val="nil"/>
              <w:left w:val="nil"/>
              <w:bottom w:val="nil"/>
              <w:right w:val="nil"/>
            </w:tcBorders>
          </w:tcPr>
          <w:p>
            <w:pPr>
              <w:pStyle w:val="0"/>
              <w:jc w:val="both"/>
            </w:pPr>
            <w:r>
              <w:rPr>
                <w:sz w:val="20"/>
              </w:rPr>
              <w:t xml:space="preserve">Слабинская</w:t>
            </w:r>
          </w:p>
          <w:p>
            <w:pPr>
              <w:pStyle w:val="0"/>
              <w:jc w:val="both"/>
            </w:pPr>
            <w:r>
              <w:rPr>
                <w:sz w:val="20"/>
              </w:rPr>
              <w:t xml:space="preserve">Татьяна Владимировна</w:t>
            </w:r>
          </w:p>
        </w:tc>
        <w:tc>
          <w:tcPr>
            <w:tcW w:w="5896" w:type="dxa"/>
            <w:tcBorders>
              <w:top w:val="nil"/>
              <w:left w:val="nil"/>
              <w:bottom w:val="nil"/>
              <w:right w:val="nil"/>
            </w:tcBorders>
          </w:tcPr>
          <w:p>
            <w:pPr>
              <w:pStyle w:val="0"/>
              <w:jc w:val="both"/>
            </w:pPr>
            <w:r>
              <w:rPr>
                <w:sz w:val="20"/>
              </w:rPr>
              <w:t xml:space="preserve">заместитель директора Департамента здравоохранения Ивановской области, член комиссии</w:t>
            </w:r>
          </w:p>
        </w:tc>
      </w:tr>
      <w:tr>
        <w:tc>
          <w:tcPr>
            <w:tcW w:w="3175" w:type="dxa"/>
            <w:tcBorders>
              <w:top w:val="nil"/>
              <w:left w:val="nil"/>
              <w:bottom w:val="nil"/>
              <w:right w:val="nil"/>
            </w:tcBorders>
          </w:tcPr>
          <w:p>
            <w:pPr>
              <w:pStyle w:val="0"/>
              <w:jc w:val="both"/>
            </w:pPr>
            <w:r>
              <w:rPr>
                <w:sz w:val="20"/>
              </w:rPr>
              <w:t xml:space="preserve">Титова</w:t>
            </w:r>
          </w:p>
          <w:p>
            <w:pPr>
              <w:pStyle w:val="0"/>
              <w:jc w:val="both"/>
            </w:pPr>
            <w:r>
              <w:rPr>
                <w:sz w:val="20"/>
              </w:rPr>
              <w:t xml:space="preserve">Виктория Сергеевна</w:t>
            </w:r>
          </w:p>
        </w:tc>
        <w:tc>
          <w:tcPr>
            <w:tcW w:w="5896" w:type="dxa"/>
            <w:tcBorders>
              <w:top w:val="nil"/>
              <w:left w:val="nil"/>
              <w:bottom w:val="nil"/>
              <w:right w:val="nil"/>
            </w:tcBorders>
          </w:tcPr>
          <w:p>
            <w:pPr>
              <w:pStyle w:val="0"/>
              <w:jc w:val="both"/>
            </w:pPr>
            <w:r>
              <w:rPr>
                <w:sz w:val="20"/>
              </w:rPr>
              <w:t xml:space="preserve">председатель Ивановской региональной общественной организации "Ресурсный центр организации добровольческой деятельности "Ивановский волонтерский центр", член комиссии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Ивановской области от 11.06.2025 N 46-уг</w:t>
            <w:br/>
            <w:t>(ред. от 29.08.2025)</w:t>
            <w:br/>
            <w:t>"О комиссии Ивановской области по установ...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24&amp;n=196929&amp;dst=100007" TargetMode = "External"/><Relationship Id="rId9" Type="http://schemas.openxmlformats.org/officeDocument/2006/relationships/hyperlink" Target="https://login.consultant.ru/link/?req=doc&amp;base=LAW&amp;n=493818" TargetMode = "External"/><Relationship Id="rId10" Type="http://schemas.openxmlformats.org/officeDocument/2006/relationships/hyperlink" Target="https://login.consultant.ru/link/?req=doc&amp;base=LAW&amp;n=445336" TargetMode = "External"/><Relationship Id="rId11" Type="http://schemas.openxmlformats.org/officeDocument/2006/relationships/hyperlink" Target="https://login.consultant.ru/link/?req=doc&amp;base=RLAW224&amp;n=143523" TargetMode = "External"/><Relationship Id="rId12" Type="http://schemas.openxmlformats.org/officeDocument/2006/relationships/hyperlink" Target="https://login.consultant.ru/link/?req=doc&amp;base=RLAW224&amp;n=196929&amp;dst=100008" TargetMode = "External"/><Relationship Id="rId13" Type="http://schemas.openxmlformats.org/officeDocument/2006/relationships/hyperlink" Target="https://login.consultant.ru/link/?req=doc&amp;base=LAW&amp;n=445336" TargetMode = "External"/><Relationship Id="rId14" Type="http://schemas.openxmlformats.org/officeDocument/2006/relationships/hyperlink" Target="https://login.consultant.ru/link/?req=doc&amp;base=LAW&amp;n=493818"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RLAW224&amp;n=169464" TargetMode = "External"/><Relationship Id="rId17" Type="http://schemas.openxmlformats.org/officeDocument/2006/relationships/hyperlink" Target="https://login.consultant.ru/link/?req=doc&amp;base=LAW&amp;n=445336&amp;dst=100025" TargetMode = "External"/><Relationship Id="rId18" Type="http://schemas.openxmlformats.org/officeDocument/2006/relationships/hyperlink" Target="https://login.consultant.ru/link/?req=doc&amp;base=LAW&amp;n=445336&amp;dst=100031" TargetMode = "External"/><Relationship Id="rId19" Type="http://schemas.openxmlformats.org/officeDocument/2006/relationships/hyperlink" Target="https://login.consultant.ru/link/?req=doc&amp;base=LAW&amp;n=445336&amp;dst=100038" TargetMode = "External"/><Relationship Id="rId20" Type="http://schemas.openxmlformats.org/officeDocument/2006/relationships/hyperlink" Target="https://login.consultant.ru/link/?req=doc&amp;base=LAW&amp;n=493818&amp;dst=193" TargetMode = "External"/><Relationship Id="rId21" Type="http://schemas.openxmlformats.org/officeDocument/2006/relationships/hyperlink" Target="https://login.consultant.ru/link/?req=doc&amp;base=RLAW224&amp;n=196929&amp;dst=100009" TargetMode = "External"/><Relationship Id="rId22" Type="http://schemas.openxmlformats.org/officeDocument/2006/relationships/hyperlink" Target="https://login.consultant.ru/link/?req=doc&amp;base=RLAW224&amp;n=196929&amp;dst=100010" TargetMode = "External"/><Relationship Id="rId23" Type="http://schemas.openxmlformats.org/officeDocument/2006/relationships/hyperlink" Target="https://login.consultant.ru/link/?req=doc&amp;base=RLAW224&amp;n=196929&amp;dst=100012" TargetMode = "External"/><Relationship Id="rId24" Type="http://schemas.openxmlformats.org/officeDocument/2006/relationships/hyperlink" Target="https://login.consultant.ru/link/?req=doc&amp;base=LAW&amp;n=445336&amp;dst=100093" TargetMode = "External"/><Relationship Id="rId25" Type="http://schemas.openxmlformats.org/officeDocument/2006/relationships/hyperlink" Target="https://login.consultant.ru/link/?req=doc&amp;base=LAW&amp;n=493818&amp;dst=20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Ивановской области от 11.06.2025 N 46-уг
(ред. от 29.08.2025)
"О комиссии Ивановской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dc:title>
  <dcterms:created xsi:type="dcterms:W3CDTF">2026-01-08T11:33:36Z</dcterms:created>
</cp:coreProperties>
</file>