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Парламента КБР от 31.10.2009 N 177-П-П</w:t>
              <w:br/>
              <w:t xml:space="preserve">(ред. от 31.10.2024)</w:t>
              <w:br/>
              <w:t xml:space="preserve">"О Положении о Молодежной палате при Парламенте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ПАРЛАМЕНТ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31 октября 2009 г. N 177-П-П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ПОЛОЖЕНИИ О МОЛОДЕЖНОЙ ПАЛАТЕ</w:t>
      </w:r>
    </w:p>
    <w:p>
      <w:pPr>
        <w:pStyle w:val="2"/>
        <w:jc w:val="center"/>
      </w:pPr>
      <w:r>
        <w:rPr>
          <w:sz w:val="20"/>
        </w:rPr>
        <w:t xml:space="preserve">ПРИ ПАРЛАМЕНТЕ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Парламента КБР от 22.12.2011 </w:t>
            </w:r>
            <w:hyperlink w:history="0" r:id="rId7" w:tooltip="Постановление Парламента КБР от 22.12.2011 N 1008-П-П &quot;О внесении изменения в пункт 4.2 Положения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1008-П-П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29.03.2012 </w:t>
            </w:r>
            <w:hyperlink w:history="0" r:id="rId8" w:tooltip="Постановление Парламента КБР от 29.03.2012 N 1083-П-П &quot;О внесении изменений в пункт 4.2 Положения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1083-П-П</w:t>
              </w:r>
            </w:hyperlink>
            <w:r>
              <w:rPr>
                <w:sz w:val="20"/>
                <w:color w:val="392c69"/>
              </w:rPr>
              <w:t xml:space="preserve">, от 10.06.2014 </w:t>
            </w:r>
            <w:hyperlink w:history="0" r:id="rId9" w:tooltip="Постановление Парламента КБР от 10.06.2014 N 1996-П-П &quot;О внесении изменений в пункт 4.2 Положения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1996-П-П</w:t>
              </w:r>
            </w:hyperlink>
            <w:r>
              <w:rPr>
                <w:sz w:val="20"/>
                <w:color w:val="392c69"/>
              </w:rPr>
              <w:t xml:space="preserve">, от 24.11.2016 </w:t>
            </w:r>
            <w:hyperlink w:history="0" r:id="rId10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589-П-П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26.10.2017 </w:t>
            </w:r>
            <w:hyperlink w:history="0" r:id="rId11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771-П-П</w:t>
              </w:r>
            </w:hyperlink>
            <w:r>
              <w:rPr>
                <w:sz w:val="20"/>
                <w:color w:val="392c69"/>
              </w:rPr>
              <w:t xml:space="preserve">, от 30.09.2020 </w:t>
            </w:r>
            <w:hyperlink w:history="0" r:id="rId12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208-П-П</w:t>
              </w:r>
            </w:hyperlink>
            <w:r>
              <w:rPr>
                <w:sz w:val="20"/>
                <w:color w:val="392c69"/>
              </w:rPr>
              <w:t xml:space="preserve">, от 31.10.2024 </w:t>
            </w:r>
            <w:hyperlink w:history="0" r:id="rId13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46-П-П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Парламент Кабардино-Балкарской Республики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Молодежной палате при Парламенте Кабардино-Балкарской Республики (прилагается).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14" w:tooltip="Постановление Парламента КБР от 07.12.2006 N 1000-П-П &quot;О Молодежной палате при Парламенте Кабардино-Балкарской Республики&quot; ------------ Недействующая редакция {КонсультантПлюс}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Молодежной палате при Парламенте Кабардино-Балкарской Республики, утвержденное Постановлением Парламента Кабардино-Балкарской Республики от 7 декабря 2006 года N 1000-П-П ("Кабардино-Балкарская правда", 2007, N 17 - 21).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Парламента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А.ЧЕЧЕНОВ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Парламента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31 октября 2009 г. N 177-П-П</w:t>
      </w:r>
    </w:p>
    <w:p>
      <w:pPr>
        <w:pStyle w:val="0"/>
        <w:jc w:val="right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МОЛОДЕЖНОЙ ПАЛАТЕ ПРИ ПАРЛАМЕНТЕ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Парламента КБР от 22.12.2011 </w:t>
            </w:r>
            <w:hyperlink w:history="0" r:id="rId15" w:tooltip="Постановление Парламента КБР от 22.12.2011 N 1008-П-П &quot;О внесении изменения в пункт 4.2 Положения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1008-П-П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29.03.2012 </w:t>
            </w:r>
            <w:hyperlink w:history="0" r:id="rId16" w:tooltip="Постановление Парламента КБР от 29.03.2012 N 1083-П-П &quot;О внесении изменений в пункт 4.2 Положения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1083-П-П</w:t>
              </w:r>
            </w:hyperlink>
            <w:r>
              <w:rPr>
                <w:sz w:val="20"/>
                <w:color w:val="392c69"/>
              </w:rPr>
              <w:t xml:space="preserve">, от 10.06.2014 </w:t>
            </w:r>
            <w:hyperlink w:history="0" r:id="rId17" w:tooltip="Постановление Парламента КБР от 10.06.2014 N 1996-П-П &quot;О внесении изменений в пункт 4.2 Положения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1996-П-П</w:t>
              </w:r>
            </w:hyperlink>
            <w:r>
              <w:rPr>
                <w:sz w:val="20"/>
                <w:color w:val="392c69"/>
              </w:rPr>
              <w:t xml:space="preserve">, от 24.11.2016 </w:t>
            </w:r>
            <w:hyperlink w:history="0" r:id="rId18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589-П-П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26.10.2017 </w:t>
            </w:r>
            <w:hyperlink w:history="0" r:id="rId19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771-П-П</w:t>
              </w:r>
            </w:hyperlink>
            <w:r>
              <w:rPr>
                <w:sz w:val="20"/>
                <w:color w:val="392c69"/>
              </w:rPr>
              <w:t xml:space="preserve">, от 30.09.2020 </w:t>
            </w:r>
            <w:hyperlink w:history="0" r:id="rId20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208-П-П</w:t>
              </w:r>
            </w:hyperlink>
            <w:r>
              <w:rPr>
                <w:sz w:val="20"/>
                <w:color w:val="392c69"/>
              </w:rPr>
              <w:t xml:space="preserve">, от 31.10.2024 </w:t>
            </w:r>
            <w:hyperlink w:history="0" r:id="rId2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46-П-П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Молодежная палата при Парламенте Кабардино-Балкарской Республики (далее - Молодежная палата) является коллегиальным совещательным органом при Парламенте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Состав Молодежной палаты утверждается Парламентом Кабардино-Балкарской Республики сроком на два года шесть месяцев и осуществляет свою работу до первого заседания Молодежной палаты нового состава.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24.11.2016 </w:t>
      </w:r>
      <w:hyperlink w:history="0" r:id="rId22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589-П-П</w:t>
        </w:r>
      </w:hyperlink>
      <w:r>
        <w:rPr>
          <w:sz w:val="20"/>
        </w:rPr>
        <w:t xml:space="preserve">, от 31.10.2024 </w:t>
      </w:r>
      <w:hyperlink w:history="0" r:id="rId23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Молодежная палата осуществляет свою деятельность на общественных началах, руководствуясь </w:t>
      </w:r>
      <w:hyperlink w:history="0"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25" w:tooltip="Федеральный закон от 30.12.2020 N 489-ФЗ (ред. от 22.04.2024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молодежной политике в Российской Федерации", иными нормативными правовыми актами Российской Федерации, </w:t>
      </w:r>
      <w:hyperlink w:history="0" r:id="rId26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Кабардино-Балкарской Республики, </w:t>
      </w:r>
      <w:hyperlink w:history="0" r:id="rId27" w:tooltip="Закон Кабардино-Балкарской Республики от 11.05.2022 N 17-РЗ &quot;О молодежной политике в Кабардино-Балкарской Республике&quot; (принят Парламентом КБР 21.04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"О молодежной политике в Кабардино-Балкарской Республике", иными нормативными правовыми актами Кабардино-Балкарской Республики, настоящим Положением, регламентом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цели и задачи Молодежной палаты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Целью работы Молодежной палаты является содействие деятельности Парламента Кабардино-Балкарской Республики по законодательному обеспечению прав и законных интересов молодежи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Задачами Молодежной палаты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приобщение молодежи к парламентской деятельности, формирование правовой и политической культуры, поддержка созидательной, гражданской активности молодежи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предложений по совершенствованию законодательства, затрагивающего права и законные интересы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взаимодействие с органами государственной власти республики, органами местного самоуправления, общественными организациями и гражданами в сфере реализации инициатив, направленных на защиту прав и законных интересов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содействие взаимодействию общественных организаций с органами государственной власти и органами местного самоуправления в целях защиты и учета потребностей и интересов молодежи при формировании и реализации молодежной политики, а также в целях содействия общественному контролю за деятельностью государственных органов и органов местного самоуправления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 информационно-аналитической деятельности в области государственной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содействие учету общественно значимых интересов молодежи органами государственной власти и органами местного самоуправления при решении вопросов социально-экономического, общественно-политического развития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организация работы по воспитанию гражданственности, патриотизма, преемственности традиций, уважения к отечественной истории, историческим, культурным, национальным и иным традициям народов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(пп. 7 введен </w:t>
      </w:r>
      <w:hyperlink w:history="0" r:id="rId30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 Молодежной палаты</w:t>
      </w:r>
    </w:p>
    <w:p>
      <w:pPr>
        <w:pStyle w:val="0"/>
        <w:ind w:left="540"/>
        <w:jc w:val="both"/>
      </w:pPr>
      <w:r>
        <w:rPr>
          <w:sz w:val="20"/>
        </w:rPr>
      </w:r>
    </w:p>
    <w:bookmarkStart w:id="63" w:name="P63"/>
    <w:bookmarkEnd w:id="63"/>
    <w:p>
      <w:pPr>
        <w:pStyle w:val="0"/>
        <w:ind w:firstLine="540"/>
        <w:jc w:val="both"/>
      </w:pPr>
      <w:r>
        <w:rPr>
          <w:sz w:val="20"/>
        </w:rPr>
        <w:t xml:space="preserve">3.1. Членами Молодежной палаты могут быть граждане Российской Федерации в возрасте от 18 до 35 лет включительно на день представления кандидатуры, проживающие на территории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Кандидатуры членов Молодежной палаты представляются Председателем Парламента Кабардино-Балкарской Республики, представительными органами муниципальных районов, городских округов Кабардино-Балкарской Республики, региональными отделениями политических партий и иных общероссийских общественных организаций, зарегистрированными в Кабардино-Балкарской Республике, республиканскими общественными организациями, а также студенческими органами образовательных организаций среднего профессионального и высшего образования (далее - субъекты права внесения кандидатур).</w:t>
      </w:r>
    </w:p>
    <w:p>
      <w:pPr>
        <w:pStyle w:val="0"/>
        <w:jc w:val="both"/>
      </w:pPr>
      <w:r>
        <w:rPr>
          <w:sz w:val="20"/>
        </w:rPr>
        <w:t xml:space="preserve">(п. 3.1 в ред. </w:t>
      </w:r>
      <w:hyperlink w:history="0" r:id="rId3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Не допускаются к выдвижению кандидатов в члены Молодежной палаты: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общественные организации, зарегистрированные в установленном законодательством порядке менее чем за один год до опубликования объявления Парламента Кабардино-Балкарской Республики о формировании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общественные организации, которым в соответствии с Федеральным </w:t>
      </w:r>
      <w:hyperlink w:history="0" r:id="rId32" w:tooltip="Федеральный закон от 25.07.2002 N 114-ФЗ (ред. от 15.05.2024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противодействии экстремистской деятельности"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общественные организации, деятельность которых приостановлена в соответствии с Федеральным </w:t>
      </w:r>
      <w:hyperlink w:history="0" r:id="rId33" w:tooltip="Федеральный закон от 25.07.2002 N 114-ФЗ (ред. от 15.05.2024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противодействии экстремистской деятельности", если решение о приостановлении не было признано судом незаконным;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общественные организации, чья деятельность признана в установленном порядке не соответствующей уставным целям;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26.10.2017 N 771-П-П)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общественные организации, которые в соответствии с действующим законодательством включены в реестр иностранных агентов.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hyperlink w:history="0" r:id="rId35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Членами Молодежной палаты не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лица, замещающие государственные или муниципальные должности, должности государственной или муниципальной службы, за исключением должности депутата представительного органа муниципального района, городского округа;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36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лица, признанные недееспособными на основании решения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лица, имеющие непогашенную или неснятую судимость;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лица, членство которых в Молодежной палате ранее было прекращено на основании грубого нарушения ими этических норм, предусмотренных регламентом Молодежной палаты. В этом случае запрет на членство в Молодежной палате относится только к работе Молодежной палаты следующего состава;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лица, не являющиеся членами субъектов права внесения кандидатур (за исключением кандидатур, представляемых Председателем Парламента Кабардино-Балкарской Республики);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лица, входящие в состав другого постоянно действующего молодежного совещательного органа при органе государственной власти Кабардино-Балкарской Республики или Общественной палате Кабардино-Балкарской Республики;</w:t>
      </w:r>
    </w:p>
    <w:p>
      <w:pPr>
        <w:pStyle w:val="0"/>
        <w:jc w:val="both"/>
      </w:pPr>
      <w:r>
        <w:rPr>
          <w:sz w:val="20"/>
        </w:rPr>
        <w:t xml:space="preserve">(пп. 6 в ред. </w:t>
      </w:r>
      <w:hyperlink w:history="0" r:id="rId38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лица, признанные иностранными агентами.</w:t>
      </w:r>
    </w:p>
    <w:p>
      <w:pPr>
        <w:pStyle w:val="0"/>
        <w:jc w:val="both"/>
      </w:pPr>
      <w:r>
        <w:rPr>
          <w:sz w:val="20"/>
        </w:rPr>
        <w:t xml:space="preserve">(пп. 7 введен </w:t>
      </w:r>
      <w:hyperlink w:history="0" r:id="rId39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формирования Молодежной палаты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Молодежная палата формируется на основе предложений субъектов права внесения кандидатур.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Молодежная палата формируется в количестве 35 членов по следующим квотам: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один - от Председателя Парламента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одному депутату от представительного органа муниципального района, городского округа, за исключением представительного органа городского округа Нальчик, представляемого двумя депутатами;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 одному представителю от региональных политических партий, представленных в Государственной Думе Федерального Собрания Российской Федерации или в Парламенте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представители общественных организаций, студенческих органов образовательных организаций среднего профессионального и высшего образования (не более одного от каждой организации) - по результатам отбора профильным комитетом Парламента Кабардино-Балкарской Республики в количестве, остающемся после замещения вышеуказанных квот.</w:t>
      </w:r>
    </w:p>
    <w:p>
      <w:pPr>
        <w:pStyle w:val="0"/>
        <w:jc w:val="both"/>
      </w:pPr>
      <w:r>
        <w:rPr>
          <w:sz w:val="20"/>
        </w:rPr>
        <w:t xml:space="preserve">(п. 4.2 в ред. </w:t>
      </w:r>
      <w:hyperlink w:history="0" r:id="rId40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4.2.1. Один кандидат может быть представителем только одного субъекта права внесения кандидатур.</w:t>
      </w:r>
    </w:p>
    <w:p>
      <w:pPr>
        <w:pStyle w:val="0"/>
        <w:jc w:val="both"/>
      </w:pPr>
      <w:r>
        <w:rPr>
          <w:sz w:val="20"/>
        </w:rPr>
        <w:t xml:space="preserve">(п. 4.2.1 введен </w:t>
      </w:r>
      <w:hyperlink w:history="0" r:id="rId4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4.2.2. От одного субъекта права внесения кандидатур может быть представлен только один кандидат (за исключением представительного органа городского округа Нальчик).</w:t>
      </w:r>
    </w:p>
    <w:p>
      <w:pPr>
        <w:pStyle w:val="0"/>
        <w:jc w:val="both"/>
      </w:pPr>
      <w:r>
        <w:rPr>
          <w:sz w:val="20"/>
        </w:rPr>
        <w:t xml:space="preserve">(п. 4.2.2 введен </w:t>
      </w:r>
      <w:hyperlink w:history="0" r:id="rId42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Не позднее чем за 40 дней до истечения срока работы действующего состава (досрочного прекращения срока работы действующего состава) Молодежной палаты Парламент Кабардино-Балкарской Республики размещает объявление о начале процедуры формирования нового состава Молодежной палаты в официальных печатных органах Кабардино-Балкарской Республики, а также на официальном сайте Парламента Кабардино-Балкарской Республики в сети "Интернет".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24.11.2016 </w:t>
      </w:r>
      <w:hyperlink w:history="0" r:id="rId43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589-П-П</w:t>
        </w:r>
      </w:hyperlink>
      <w:r>
        <w:rPr>
          <w:sz w:val="20"/>
        </w:rPr>
        <w:t xml:space="preserve">, от 31.10.2024 </w:t>
      </w:r>
      <w:hyperlink w:history="0" r:id="rId44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bookmarkStart w:id="102" w:name="P102"/>
    <w:bookmarkEnd w:id="1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В течение 20 дней со дня опубликования объявления Парламента Кабардино-Балкарской Республики о формировании Молодежной палаты субъекты права внесения кандидатур направляют в профильный комитет Парламента Кабардино-Балкарской Республики решение руководящего коллегиального органа, а также </w:t>
      </w:r>
      <w:hyperlink w:history="0" w:anchor="P309" w:tooltip="ЗАЯВКА">
        <w:r>
          <w:rPr>
            <w:sz w:val="20"/>
            <w:color w:val="0000ff"/>
          </w:rPr>
          <w:t xml:space="preserve">заявку</w:t>
        </w:r>
      </w:hyperlink>
      <w:r>
        <w:rPr>
          <w:sz w:val="20"/>
        </w:rPr>
        <w:t xml:space="preserve"> по форме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профильный комитет Парламента Кабардино-Балкарской Республики представляются также: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заверенная копия учредительного документа политической партии, иной общественной организации, выдвинувшей кандидата;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46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исключен. - </w:t>
      </w:r>
      <w:hyperlink w:history="0" r:id="rId47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Парламента КБР от 30.09.2020 N 208-П-П;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характеристика кандидата, выданная субъектом права представления кандидатуры, за исключением Председателя Парламента Кабардино-Балкарской Республики;</w:t>
      </w:r>
    </w:p>
    <w:p>
      <w:pPr>
        <w:pStyle w:val="0"/>
        <w:jc w:val="both"/>
      </w:pPr>
      <w:r>
        <w:rPr>
          <w:sz w:val="20"/>
        </w:rPr>
        <w:t xml:space="preserve">(пп. 3 в ред. </w:t>
      </w:r>
      <w:hyperlink w:history="0" r:id="rId48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заявление о согласии на обработку персональных данных;</w:t>
      </w:r>
    </w:p>
    <w:p>
      <w:pPr>
        <w:pStyle w:val="0"/>
        <w:jc w:val="both"/>
      </w:pPr>
      <w:r>
        <w:rPr>
          <w:sz w:val="20"/>
        </w:rPr>
        <w:t xml:space="preserve">(пп. 4 введен </w:t>
      </w:r>
      <w:hyperlink w:history="0" r:id="rId49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30.09.2020 N 208-П-П)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копия паспорта, а для лиц, получивших образование, - также копия документа о получении соответствующего образования;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hyperlink w:history="0" r:id="rId50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две цветные фотографии размером 35 x 45 мм на матовой фотобумаге.</w:t>
      </w:r>
    </w:p>
    <w:p>
      <w:pPr>
        <w:pStyle w:val="0"/>
        <w:jc w:val="both"/>
      </w:pPr>
      <w:r>
        <w:rPr>
          <w:sz w:val="20"/>
        </w:rPr>
        <w:t xml:space="preserve">(пп. 6 введен </w:t>
      </w:r>
      <w:hyperlink w:history="0" r:id="rId5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Для участия в проведении отборочных процедур при профильном комитете Парламента Кабардино-Балкарской Республики создается экспертная комиссия, в состав которой включаются деятели науки, образования, культуры, представители исполнительного органа Кабардино-Балкарской Республики в сфере молодежной политики, общественных организаций средств массовой информации. В состав экспертной комиссии не могут входить депутаты Парламента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30.09.2020 </w:t>
      </w:r>
      <w:hyperlink w:history="0" r:id="rId52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208-П-П</w:t>
        </w:r>
      </w:hyperlink>
      <w:r>
        <w:rPr>
          <w:sz w:val="20"/>
        </w:rPr>
        <w:t xml:space="preserve">, от 31.10.2024 </w:t>
      </w:r>
      <w:hyperlink w:history="0" r:id="rId53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Персональный состав экспертной комиссии утверждается распоряжением Председателя Парламента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bookmarkStart w:id="120" w:name="P120"/>
    <w:bookmarkEnd w:id="12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В течение 10 дней со дня окончания приема заявок экспертная комиссия осуществляет проверку поданных документов и принимает решение о допуске выдвинутых кандидатов к участию в отборе в состав Молодежной палаты. Данное решение принимается простым большинством голосов открытым голосованием и оформляется протоколом, который направляется в профильный комитет Парламента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bookmarkStart w:id="122" w:name="P122"/>
    <w:bookmarkEnd w:id="12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В течение 10 дней со дня принятия решения, указанного в </w:t>
      </w:r>
      <w:hyperlink w:history="0" w:anchor="P120" w:tooltip="4.6. В течение 10 дней со дня окончания приема заявок экспертная комиссия осуществляет проверку поданных документов и принимает решение о допуске выдвинутых кандидатов к участию в отборе в состав Молодежной палаты. Данное решение принимается простым большинством голосов открытым голосованием и оформляется протоколом, который направляется в профильный комитет Парламента Кабардино-Балкарской Республики.">
        <w:r>
          <w:rPr>
            <w:sz w:val="20"/>
            <w:color w:val="0000ff"/>
          </w:rPr>
          <w:t xml:space="preserve">пункте 4.6</w:t>
        </w:r>
      </w:hyperlink>
      <w:r>
        <w:rPr>
          <w:sz w:val="20"/>
        </w:rPr>
        <w:t xml:space="preserve"> настоящего Положения, на заседании профильного комитета Парламента Кабардино-Балкарской Республики проводится конкурсный отбор кандидатур в состав Молодежной палаты, по результатам которого на рассмотрение Парламента Кабардино-Балкарской Республики вносится проект соответствующего постановления.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заседании профильного комитета принимают участие члены экспертной комиссии с правом совещательного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Состав Молодежной палаты считается правомочным при наличии в нем не менее двух третей от установленного числа членов палаты.</w:t>
      </w:r>
    </w:p>
    <w:p>
      <w:pPr>
        <w:pStyle w:val="0"/>
        <w:jc w:val="both"/>
      </w:pPr>
      <w:r>
        <w:rPr>
          <w:sz w:val="20"/>
        </w:rPr>
        <w:t xml:space="preserve">(п. 4.8 в ред. </w:t>
      </w:r>
      <w:hyperlink w:history="0" r:id="rId57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В случае, если полный состав Молодежной палаты в количестве, предусмотренном </w:t>
      </w:r>
      <w:hyperlink w:history="0" w:anchor="P90" w:tooltip="4.2. Молодежная палата формируется в количестве 35 членов по следующим квотам:">
        <w:r>
          <w:rPr>
            <w:sz w:val="20"/>
            <w:color w:val="0000ff"/>
          </w:rPr>
          <w:t xml:space="preserve">пунктом 4.2</w:t>
        </w:r>
      </w:hyperlink>
      <w:r>
        <w:rPr>
          <w:sz w:val="20"/>
        </w:rPr>
        <w:t xml:space="preserve"> настоящего Положения, не будет сформирован либо в случае прекращения членства в Молодежной палате, не приводящем к неправомочности ее состава (в срок не менее чем за 6 месяцев до окончания срока полномочий Молодежной палаты действующего состава), Парламент Кабардино-Балкарской Республики вправе объявить о дополнительном приеме заявок по кандидатурам в состав Молодежной палаты по соответствующей квоте представительства.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Молодежная палата не будет сформирована в правомочном составе либо если прекращение членства в Молодежной палате приведет к неправомочности ее состава (в срок не менее чем за 6 месяцев до окончания срока работы Молодежной палаты действующего состава), Парламент Кабардино-Балкарской Республики объявляет о новом приеме заявок по кандидатурам в состав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24.11.2016 </w:t>
      </w:r>
      <w:hyperlink w:history="0" r:id="rId59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589-П-П</w:t>
        </w:r>
      </w:hyperlink>
      <w:r>
        <w:rPr>
          <w:sz w:val="20"/>
        </w:rPr>
        <w:t xml:space="preserve">, от 30.09.2020 </w:t>
      </w:r>
      <w:hyperlink w:history="0" r:id="rId60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208-П-П</w:t>
        </w:r>
      </w:hyperlink>
      <w:r>
        <w:rPr>
          <w:sz w:val="20"/>
        </w:rPr>
        <w:t xml:space="preserve">, от 31.10.2024 </w:t>
      </w:r>
      <w:hyperlink w:history="0" r:id="rId6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Дополнительный прием заявок по кандидатурам в состав Молодежной палаты осуществляется в порядке, предусмотренном </w:t>
      </w:r>
      <w:hyperlink w:history="0" w:anchor="P102" w:tooltip="4.4. В течение 20 дней со дня опубликования объявления Парламента Кабардино-Балкарской Республики о формировании Молодежной палаты субъекты права внесения кандидатур направляют в профильный комитет Парламента Кабардино-Балкарской Республики решение руководящего коллегиального органа, а также заявку по форме согласно приложению.">
        <w:r>
          <w:rPr>
            <w:sz w:val="20"/>
            <w:color w:val="0000ff"/>
          </w:rPr>
          <w:t xml:space="preserve">пунктами 4.4</w:t>
        </w:r>
      </w:hyperlink>
      <w:r>
        <w:rPr>
          <w:sz w:val="20"/>
        </w:rPr>
        <w:t xml:space="preserve"> - </w:t>
      </w:r>
      <w:hyperlink w:history="0" w:anchor="P122" w:tooltip="4.7. В течение 10 дней со дня принятия решения, указанного в пункте 4.6 настоящего Положения, на заседании профильного комитета Парламента Кабардино-Балкарской Республики проводится конкурсный отбор кандидатур в состав Молодежной палаты, по результатам которого на рассмотрение Парламента Кабардино-Балкарской Республики вносится проект соответствующего постановления.">
        <w:r>
          <w:rPr>
            <w:sz w:val="20"/>
            <w:color w:val="0000ff"/>
          </w:rPr>
          <w:t xml:space="preserve">4.7</w:t>
        </w:r>
      </w:hyperlink>
      <w:r>
        <w:rPr>
          <w:sz w:val="20"/>
        </w:rPr>
        <w:t xml:space="preserve"> настоящего Положения. При этом сроки, предусмотренные указанными пунктами, сокращаются наполовину.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При проведении дополнительного отбора кандидатур в состав Молодежной палаты от общественных организаций, студенческих органов образовательных организаций среднего профессионального и высшего образования могут быть рассмотрены кандидатуры, выдвинутые при формировании действующего состава Молодежной палаты.</w:t>
      </w:r>
    </w:p>
    <w:p>
      <w:pPr>
        <w:pStyle w:val="0"/>
        <w:jc w:val="both"/>
      </w:pPr>
      <w:r>
        <w:rPr>
          <w:sz w:val="20"/>
        </w:rPr>
        <w:t xml:space="preserve">(п. 4.10 в ред. </w:t>
      </w:r>
      <w:hyperlink w:history="0" r:id="rId63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Досрочное прекращение членства в Молодежной палате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64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Членство в Молодежной палате прекращается досрочно в случаях: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досрочного прекращения работы Молодежной палаты;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66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подачи членом Молодежной палаты заявления о выходе из состава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неспособности члена Молодежной палаты по состоянию здоровья более девяти месяцев участвовать в работе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вступления в законную силу вынесенного в отношении члена Молодежной палаты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признания члена Молодежной палаты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грубого нарушения членом Молодежной палаты этических норм, установленных регламентом Молодежной палаты, - по решению не менее половины членов Молодежной палаты, принятому на пленарном заседании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исключен. - </w:t>
      </w:r>
      <w:hyperlink w:history="0" r:id="rId67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Парламента КБР от 30.09.2020 N 208-П-П;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смерти члена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систематического (три или более раза подряд) без уважительных причин пропуска заседаний Молодежной палаты и (или) ее комиссии, членом которой он является;</w:t>
      </w:r>
    </w:p>
    <w:p>
      <w:pPr>
        <w:pStyle w:val="0"/>
        <w:jc w:val="both"/>
      </w:pPr>
      <w:r>
        <w:rPr>
          <w:sz w:val="20"/>
        </w:rPr>
        <w:t xml:space="preserve">(пп. 9 в ред. </w:t>
      </w:r>
      <w:hyperlink w:history="0" r:id="rId68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достижения членом Молодежной палаты предельного возраста, установленного </w:t>
      </w:r>
      <w:hyperlink w:history="0" w:anchor="P63" w:tooltip="3.1. Членами Молодежной палаты могут быть граждане Российской Федерации в возрасте от 18 до 35 лет включительно на день представления кандидатуры, проживающие на территории Кабардино-Балкарской Республики.">
        <w:r>
          <w:rPr>
            <w:sz w:val="20"/>
            <w:color w:val="0000ff"/>
          </w:rPr>
          <w:t xml:space="preserve">пунктом 3.1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(пп. 10 введен </w:t>
      </w:r>
      <w:hyperlink w:history="0" r:id="rId69" w:tooltip="Постановление Парламента КБР от 30.09.2020 N 208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30.09.2020 N 208-П-П)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прекращения гражданства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(пп. 11 введен </w:t>
      </w:r>
      <w:hyperlink w:history="0" r:id="rId70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выезда за пределы Кабардино-Балкарской Республики на постоянное место жительства.</w:t>
      </w:r>
    </w:p>
    <w:p>
      <w:pPr>
        <w:pStyle w:val="0"/>
        <w:jc w:val="both"/>
      </w:pPr>
      <w:r>
        <w:rPr>
          <w:sz w:val="20"/>
        </w:rPr>
        <w:t xml:space="preserve">(пп. 12 введен </w:t>
      </w:r>
      <w:hyperlink w:history="0" r:id="rId7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Досрочное прекращение членства в Молодежной палате оформляется постановлением Парламента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(п. 5.2 в ред. </w:t>
      </w:r>
      <w:hyperlink w:history="0" r:id="rId72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Прекращение работы Молодежной палаты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73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</w:t>
      </w:r>
    </w:p>
    <w:p>
      <w:pPr>
        <w:pStyle w:val="0"/>
        <w:jc w:val="center"/>
      </w:pPr>
      <w:r>
        <w:rPr>
          <w:sz w:val="20"/>
        </w:rPr>
        <w:t xml:space="preserve">от 24.11.2016 N 589-П-П)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Молодежная палата действующего состава прекращает свою работу: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4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истечении срока работы соответствующего состава;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hyperlink w:history="0" r:id="rId75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решению Парламента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 решению Молодежной палаты.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Регламент Молодежной палаты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7.1. Молодежная палата утверждает регламент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7.2. Регламентом Молодежной палаты устанавливаются: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права, обязанности и этические нормы поведения членов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порядок участия членов Молодежной палаты в ее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сроки и порядок проведения заседаний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вопросы ведения и порядок деятельности Совета Молодежной палаты в части, не урегулированной настоящим Положением;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6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вопросы ведения и порядок деятельности секретаря Молодежной палаты в части, не урегулированной настоящим Положением;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порядок формирования и деятельности комиссий и рабочих групп Молодежной палаты, а также порядок избрания и вопросы ведения их руководителей в части, не урегулированной настоящим Положением;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формы и порядок принятия решений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порядок привлечения к работе Молодежной палаты общественных объединений, представители которых не вошли в ее состав, и формы их взаимодействия с Молодежной палатой;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подготовки и проведения мероприятий в Молодежной палате;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иные вопросы внутренней организации и порядка деятельности Молодежной палаты в соответствии с настоящим Положением.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Структура и организация работы Молодежной палаты</w:t>
      </w:r>
    </w:p>
    <w:p>
      <w:pPr>
        <w:pStyle w:val="0"/>
        <w:ind w:left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Молодежная палата на первом заседании избирает из своего состава председателя Молодежной палаты, кандидатура которого предлагается Председателем Парламента Кабардино-Балкарской Республики, заместителей председателя Молодежной палаты, секретаря Молодежной палаты.</w:t>
      </w:r>
    </w:p>
    <w:p>
      <w:pPr>
        <w:pStyle w:val="0"/>
        <w:jc w:val="both"/>
      </w:pPr>
      <w:r>
        <w:rPr>
          <w:sz w:val="20"/>
        </w:rPr>
        <w:t xml:space="preserve">(п. 8.1 в ред. </w:t>
      </w:r>
      <w:hyperlink w:history="0" r:id="rId79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8.1.1. Утратил силу. - </w:t>
      </w:r>
      <w:hyperlink w:history="0" r:id="rId80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Парламента КБР от 31.10.2024 N 46-П-П.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8.2. Выборы председателя Молодежной палаты, заместителей председателя Молодежной палаты и секретаря Молодежной палаты проводятся открытым голосованием.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26.10.2017 </w:t>
      </w:r>
      <w:hyperlink w:history="0" r:id="rId81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771-П-П</w:t>
        </w:r>
      </w:hyperlink>
      <w:r>
        <w:rPr>
          <w:sz w:val="20"/>
        </w:rPr>
        <w:t xml:space="preserve">, от 31.10.2024 </w:t>
      </w:r>
      <w:hyperlink w:history="0" r:id="rId82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 Молодежной палаты считается избранным председателем, заместителем председателя, секретарем Молодежной палаты, если за него проголосовало более половины от утвержденного состава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26.10.2017 </w:t>
      </w:r>
      <w:hyperlink w:history="0" r:id="rId83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771-П-П</w:t>
        </w:r>
      </w:hyperlink>
      <w:r>
        <w:rPr>
          <w:sz w:val="20"/>
        </w:rPr>
        <w:t xml:space="preserve">, от 31.10.2024 </w:t>
      </w:r>
      <w:hyperlink w:history="0" r:id="rId84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Избрание председателя, заместителей председателя, секретаря Молодежной палаты оформляется решением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26.10.2017 </w:t>
      </w:r>
      <w:hyperlink w:history="0" r:id="rId85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771-П-П</w:t>
        </w:r>
      </w:hyperlink>
      <w:r>
        <w:rPr>
          <w:sz w:val="20"/>
        </w:rPr>
        <w:t xml:space="preserve">, от 31.10.2024 </w:t>
      </w:r>
      <w:hyperlink w:history="0" r:id="rId86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четвертый утратил силу. - </w:t>
      </w:r>
      <w:hyperlink w:history="0" r:id="rId87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Парламента КБР от 26.10.2017 N 771-П-П.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8.3. Председатель Молодежной палаты: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обеспечивает организацию работы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ведет заседания Молодежной палаты и ее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информирует Парламент Кабардино-Балкарской Республики о рассмотренных на заседаниях Молодежной палаты и Совета Молодежной палаты вопросах и принятых решениях;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ведает внутренним распорядком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координирует подготовку материалов и проектов документов к заседаниям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возглавляет Совет Молодежной палаты и организует его работу;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распределяет обязанности между заместителями председателя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информирует членов Молодежной палаты о решениях органов государственной власти, касающихся деятельности Молодежной палаты, а также о работе Молодежной палаты, Совета Молодежной палаты и других ее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представляет Молодежную палату во взаимоотношениях с органами государственной власти, органами местного самоуправления, организациями и общественными объединениями, гражданами;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решает иные вопросы в соответствии с настоящим Положением и регламентом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8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8.4. Заместители председателя Молодежной палаты: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замещают председателя Молодежной палаты в его отсутствие;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пределах своих курируемых вопросов ведения координируют деятельность комиссий, экспертных и рабочих групп Молодежной палаты;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9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решают другие вопросы внутреннего распорядка деятельности Молодежной палаты в соответствии с регламентом Молодежной палаты, настоящим Положением и распределением обязанностей между заместителями председателя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8.5. Секретарь Молодежной палаты: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оповещение членов Молодежной палаты о предстоящем заседании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решение о направлении поступивших в Молодежную палату материалов на рассмотрение в соответствующие комиссии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взаимодействует с комиссиями, экспертными и рабочими группами Молодежной палаты при подготовке вопросов, выносимых на заседание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обеспечение членов Молодежной палаты необходимыми материалами и информацией о заседаниях Молодежной палаты и Совета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организует учет поступающей информации от членов комиссий, экспертных и рабочих групп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обобщает и представляет в Совет Молодежной палаты поступившие предложения в план работы Молодежной палаты и в проект повестки дня заседания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организует ведение делопроизводства Молодежной палаты, протоколирование заседаний Молодежной палаты и Совета Молодежной палаты;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0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обеспечивает регистрацию и хранение документов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организует и контролирует выполнение решений Молодежной палаты, Совета Молодежной палаты, поручений председателя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осуществляет взаимодействие с Аппаратом Парламента Кабардино-Балкарской Республики, комитетами Парламента Кабардино-Балкарской Республики по вопросам предоставления информации, необходимой для обеспечения деятельности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выполняет иные функции, возложенные на секретаря Молодежной палаты регламентом Молодежной палаты, настоящим Положением, председателем Молодежной палаты и Советом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8.6. Совет Молодежной палаты формируется для предварительной подготовки и рассмотрения организационных вопросов деятельности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Совета Молодежной палаты входят председатель Молодежной палаты, заместители председателя Молодежной палаты, секретарь Молодежной палаты, председатели комиссий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26.10.2017 </w:t>
      </w:r>
      <w:hyperlink w:history="0" r:id="rId91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771-П-П</w:t>
        </w:r>
      </w:hyperlink>
      <w:r>
        <w:rPr>
          <w:sz w:val="20"/>
        </w:rPr>
        <w:t xml:space="preserve">, от 31.10.2024 </w:t>
      </w:r>
      <w:hyperlink w:history="0" r:id="rId92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заседание Совета Молодежной палаты председатель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председателя Молодежной палаты на заседании Совета Молодежной палаты председательствует один из его заместителей.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Совет Молодежной палаты вправе принимать решения, если на заседании Совета присутствует более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Молодежной палаты вправе вносить в Совет Молодежной палаты предложения по проектам планов Молодежной палаты и повестке дня заседания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Совета Молодежной палаты оформляется протоколом заседания Совета Молодежной палаты и подписывается председательствующим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8.7. Комиссии Молодежной палаты формируются из числа членов Молодежной палаты на добровольной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Образование комиссий оформляется решением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и заместители председателя комиссии Молодежной палаты избираются из числа членов соответствующих комиссий на заседании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и заместитель председателя комиссии Молодежной палаты утверждаются на заседании Молодежной палаты по представлению соответствующей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 комиссиях Молодежной палаты утверждается решением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8.8. Утратил силу. - </w:t>
      </w:r>
      <w:hyperlink w:history="0" r:id="rId93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Парламента КБР от 26.10.2017 N 771-П-П.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8.9. Комиссии Молодежной палаты по вопросам, отнесенным к их ведению: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организуют работу по направлениям своей деятельности с соответствующими комитетами Парламента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осуществляют предварительное рассмотрение поступивших в Молодежную палату материалов по вопросам, касающимся прав и законных интересов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совместно с экспертными и рабочими группами Молодежной палаты готовят проекты рекомендаций и решений для рассмотрения на заседаниях Совета Молодежной палаты и Молодежной палаты;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дают заключения и предложения по подготовленным экспертными и рабочими группами Молодежной палаты проектам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решают вопросы организации своей работы.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8.10. Для выработки проектов документов, предложений и рекомендаций Молодежной палаты, подготовки заключений на поступившие на рассмотрение Молодежной палаты материалы, осуществления иной деятельности в соответствии с целями и задачами Молодежной палаты из числа членов Молодежной палаты могут создаваться экспертные и рабочие группы.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работе экспертных и рабочих групп Молодежной палаты могут привлекаться представители общественных объединений, ученые и специалисты в области молодежной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8.11. Заседания Молодежной палаты проводятся не реже одного раза в три месяца. В случае необходимости могут проводиться внеочередные заседания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8.12. Председатель, заместитель председателя, секретарь, председатель комиссии Молодежной палаты досрочно освобождаются от занимаемой должности: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26.10.2017 </w:t>
      </w:r>
      <w:hyperlink w:history="0" r:id="rId94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771-П-П</w:t>
        </w:r>
      </w:hyperlink>
      <w:r>
        <w:rPr>
          <w:sz w:val="20"/>
        </w:rPr>
        <w:t xml:space="preserve">, от 31.10.2024 </w:t>
      </w:r>
      <w:hyperlink w:history="0" r:id="rId95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ненадлежащего осуществления своих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инициативе Председателя Парламента Кабардино-Балкарской Республики;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 инициативе группы членов Молодежной палаты численностью не менее одной трети от утвержденного состава Молодежной палаты;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6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26.10.2017 N 771-П-П)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 письменному заявлению об освобождении от занимаемой должности.</w:t>
      </w:r>
    </w:p>
    <w:p>
      <w:pPr>
        <w:pStyle w:val="0"/>
        <w:jc w:val="both"/>
      </w:pPr>
      <w:r>
        <w:rPr>
          <w:sz w:val="20"/>
        </w:rPr>
        <w:t xml:space="preserve">(п. 8.12 введен </w:t>
      </w:r>
      <w:hyperlink w:history="0" r:id="rId97" w:tooltip="Постановление Парламента КБР от 24.11.2016 N 589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24.11.2016 N 589-П-П)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8.13. Решение об освобождении председателя, заместителя председателя, секретаря, председателя комиссии Молодежной палаты от занимаемой должности принимается на заседании Молодежной палаты большинством голосов от утвержденного состава Молодежной палаты.</w:t>
      </w:r>
    </w:p>
    <w:p>
      <w:pPr>
        <w:pStyle w:val="0"/>
        <w:jc w:val="both"/>
      </w:pPr>
      <w:r>
        <w:rPr>
          <w:sz w:val="20"/>
        </w:rPr>
        <w:t xml:space="preserve">(в ред. Постановлений Парламента КБР от 26.10.2017 </w:t>
      </w:r>
      <w:hyperlink w:history="0" r:id="rId98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771-П-П</w:t>
        </w:r>
      </w:hyperlink>
      <w:r>
        <w:rPr>
          <w:sz w:val="20"/>
        </w:rPr>
        <w:t xml:space="preserve">, от 31.10.2024 </w:t>
      </w:r>
      <w:hyperlink w:history="0" r:id="rId99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N 46-П-П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8.14. В случае досрочного освобождения от должности председателя, заместителя председателя, секретаря, председателя комиссии Молодежной палаты новые выборы проводятся на очередном заседании Молодежной палаты.</w:t>
      </w:r>
    </w:p>
    <w:p>
      <w:pPr>
        <w:pStyle w:val="0"/>
        <w:jc w:val="both"/>
      </w:pPr>
      <w:r>
        <w:rPr>
          <w:sz w:val="20"/>
        </w:rPr>
        <w:t xml:space="preserve">(п. 8.14 введен </w:t>
      </w:r>
      <w:hyperlink w:history="0" r:id="rId100" w:tooltip="Постановление Парламента КБР от 26.10.2017 N 771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26.10.2017 N 771-П-П; в ред. </w:t>
      </w:r>
      <w:hyperlink w:history="0" r:id="rId101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9. Участие членов Молодежной палаты в ее работе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9.1. Члены Молодежной палаты принимают личное участие в заседаниях Молодежной палаты, Совета Молодежной палаты, комиссий и рабочих групп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9.2. Члены Молодежной палаты вправе свободно высказывать свое мнение по любому вопросу деятельности Молодежной палаты.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10. Отчет о работе Молодежной палаты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02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10.1. Молодежная палата не реже одного раза в год представляет в Парламент Кабардино-Балкарской Республики отчет о своей работе и размещает его на своем сайте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(п. 10.1 в ред. </w:t>
      </w:r>
      <w:hyperlink w:history="0" r:id="rId103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10.2. Утратил силу. - </w:t>
      </w:r>
      <w:hyperlink w:history="0" r:id="rId104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Парламента КБР от 31.10.2024 N 46-П-П.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11. Гарантии деятельности члена Молодежной палаты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11.1. Член Молодежной палаты при осуществлении своей деятельности не связан решениями субъекта права внесения кандидатур, выдвинувшего его кандидатуру в состав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11.2. Отзыв члена Молодежной палаты не допускается.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12. Удостоверение члена Молодежной палаты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12.1. Член Молодежной палаты имеет удостоверение члена Молодежной палаты, являющееся документом, подтверждающим его членство в Молодежной палате.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12.2. Образец и описание удостоверения члена Молодежной палаты утверждаются Молодежной палатой.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12.3. Удостоверение члена Молодежной палаты подписывается руководителем Аппарата Парламента Кабардино-Балкарской Республики.</w:t>
      </w:r>
    </w:p>
    <w:p>
      <w:pPr>
        <w:pStyle w:val="0"/>
        <w:jc w:val="both"/>
      </w:pPr>
      <w:r>
        <w:rPr>
          <w:sz w:val="20"/>
        </w:rPr>
        <w:t xml:space="preserve">(п. 12.3 введен </w:t>
      </w:r>
      <w:hyperlink w:history="0" r:id="rId105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12.4. Удостоверение члена Молодежной палаты выдается на срок работы Молодежной палаты соответствующего состава.</w:t>
      </w:r>
    </w:p>
    <w:p>
      <w:pPr>
        <w:pStyle w:val="0"/>
        <w:jc w:val="both"/>
      </w:pPr>
      <w:r>
        <w:rPr>
          <w:sz w:val="20"/>
        </w:rPr>
        <w:t xml:space="preserve">(п. 12.4 введен </w:t>
      </w:r>
      <w:hyperlink w:history="0" r:id="rId106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Парламента КБР от 31.10.2024 N 46-П-П)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13. Содействие Парламента 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деятельности Молодежной палаты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13.1. Парламент Кабардино-Балкарской Республики содействует материально-техническому, информационному, методическому и организационному обеспечению деятельности Молодежной палаты.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13.2. Организационное взаимодействие Молодежной палаты и Парламента Кабардино-Балкарской Республики осуществляется через профильный комитет Парламента Кабардино-Балкарской Республики.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Молодежной палате при Парламенте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</w:pPr>
      <w:r>
        <w:rPr>
          <w:sz w:val="20"/>
        </w:rPr>
      </w:r>
    </w:p>
    <w:bookmarkStart w:id="309" w:name="P309"/>
    <w:bookmarkEnd w:id="309"/>
    <w:p>
      <w:pPr>
        <w:pStyle w:val="2"/>
        <w:jc w:val="center"/>
      </w:pPr>
      <w:r>
        <w:rPr>
          <w:sz w:val="20"/>
        </w:rPr>
        <w:t xml:space="preserve">ЗАЯВКА</w:t>
      </w:r>
    </w:p>
    <w:p>
      <w:pPr>
        <w:pStyle w:val="2"/>
        <w:jc w:val="center"/>
      </w:pPr>
      <w:r>
        <w:rPr>
          <w:sz w:val="20"/>
        </w:rPr>
        <w:t xml:space="preserve">О ВЫДВИЖЕНИИ КАНДИДАТА В ЧЛЕНЫ МОЛОДЕЖНОЙ ПАЛАТЫ</w:t>
      </w:r>
    </w:p>
    <w:p>
      <w:pPr>
        <w:pStyle w:val="2"/>
        <w:jc w:val="center"/>
      </w:pPr>
      <w:r>
        <w:rPr>
          <w:sz w:val="20"/>
        </w:rPr>
        <w:t xml:space="preserve">ПРИ ПАРЛАМЕНТЕ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7" w:tooltip="Постановление Парламента КБР от 31.10.2024 N 46-П-П &quot;О внесении изменений в Положение о Молодежной палате при Парламенте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Парламента КБР от 31.10.2024 N 46-П-П)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90"/>
        <w:gridCol w:w="6123"/>
        <w:gridCol w:w="2324"/>
      </w:tblGrid>
      <w:tr>
        <w:tblPrEx>
          <w:tblBorders>
            <w:insideH w:val="nil"/>
          </w:tblBorders>
        </w:tblPrEx>
        <w:tc>
          <w:tcPr>
            <w:tcW w:w="590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123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Ф.И.О.</w:t>
            </w:r>
          </w:p>
        </w:tc>
        <w:tc>
          <w:tcPr>
            <w:tcW w:w="23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для фотографии</w:t>
            </w:r>
          </w:p>
        </w:tc>
      </w:tr>
      <w:tr>
        <w:tc>
          <w:tcPr>
            <w:tcW w:w="590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123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Дата рождения кандидата</w:t>
            </w:r>
          </w:p>
        </w:tc>
        <w:tc>
          <w:tcPr>
            <w:vMerge w:val="continue"/>
          </w:tcPr>
          <w:p/>
        </w:tc>
      </w:tr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Место работы, должность кандидата (место учебы)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Субъект права внесения кандидатур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Статус кандидата в организации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Контактные данные (телефон, адрес, E-mail:, и т.п.) кандидата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Контактные данные (телефон, адрес, E-mail:, и т.п.) организации (органа)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6123" w:type="dxa"/>
          </w:tcPr>
          <w:p>
            <w:pPr>
              <w:pStyle w:val="0"/>
            </w:pPr>
            <w:r>
              <w:rPr>
                <w:sz w:val="20"/>
              </w:rPr>
              <w:t xml:space="preserve">Иные сведения о кандидате (заполняется по желанию)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Парламента КБР от 31.10.2009 N 177-П-П</w:t>
            <w:br/>
            <w:t>(ред. от 31.10.2024)</w:t>
            <w:br/>
            <w:t>"О Положении о Молодежной палате при Парламент...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22700&amp;dst=100005" TargetMode = "External"/>
	<Relationship Id="rId8" Type="http://schemas.openxmlformats.org/officeDocument/2006/relationships/hyperlink" Target="https://login.consultant.ru/link/?req=doc&amp;base=RLAW304&amp;n=23558&amp;dst=100005" TargetMode = "External"/>
	<Relationship Id="rId9" Type="http://schemas.openxmlformats.org/officeDocument/2006/relationships/hyperlink" Target="https://login.consultant.ru/link/?req=doc&amp;base=RLAW304&amp;n=34268&amp;dst=100005" TargetMode = "External"/>
	<Relationship Id="rId10" Type="http://schemas.openxmlformats.org/officeDocument/2006/relationships/hyperlink" Target="https://login.consultant.ru/link/?req=doc&amp;base=RLAW304&amp;n=51516&amp;dst=100005" TargetMode = "External"/>
	<Relationship Id="rId11" Type="http://schemas.openxmlformats.org/officeDocument/2006/relationships/hyperlink" Target="https://login.consultant.ru/link/?req=doc&amp;base=RLAW304&amp;n=58025&amp;dst=100005" TargetMode = "External"/>
	<Relationship Id="rId12" Type="http://schemas.openxmlformats.org/officeDocument/2006/relationships/hyperlink" Target="https://login.consultant.ru/link/?req=doc&amp;base=RLAW304&amp;n=75421&amp;dst=100005" TargetMode = "External"/>
	<Relationship Id="rId13" Type="http://schemas.openxmlformats.org/officeDocument/2006/relationships/hyperlink" Target="https://login.consultant.ru/link/?req=doc&amp;base=RLAW304&amp;n=115177&amp;dst=100005" TargetMode = "External"/>
	<Relationship Id="rId14" Type="http://schemas.openxmlformats.org/officeDocument/2006/relationships/hyperlink" Target="https://login.consultant.ru/link/?req=doc&amp;base=RLAW304&amp;n=10433&amp;dst=100010" TargetMode = "External"/>
	<Relationship Id="rId15" Type="http://schemas.openxmlformats.org/officeDocument/2006/relationships/hyperlink" Target="https://login.consultant.ru/link/?req=doc&amp;base=RLAW304&amp;n=22700&amp;dst=100005" TargetMode = "External"/>
	<Relationship Id="rId16" Type="http://schemas.openxmlformats.org/officeDocument/2006/relationships/hyperlink" Target="https://login.consultant.ru/link/?req=doc&amp;base=RLAW304&amp;n=23558&amp;dst=100005" TargetMode = "External"/>
	<Relationship Id="rId17" Type="http://schemas.openxmlformats.org/officeDocument/2006/relationships/hyperlink" Target="https://login.consultant.ru/link/?req=doc&amp;base=RLAW304&amp;n=34268&amp;dst=100005" TargetMode = "External"/>
	<Relationship Id="rId18" Type="http://schemas.openxmlformats.org/officeDocument/2006/relationships/hyperlink" Target="https://login.consultant.ru/link/?req=doc&amp;base=RLAW304&amp;n=51516&amp;dst=100005" TargetMode = "External"/>
	<Relationship Id="rId19" Type="http://schemas.openxmlformats.org/officeDocument/2006/relationships/hyperlink" Target="https://login.consultant.ru/link/?req=doc&amp;base=RLAW304&amp;n=58025&amp;dst=100005" TargetMode = "External"/>
	<Relationship Id="rId20" Type="http://schemas.openxmlformats.org/officeDocument/2006/relationships/hyperlink" Target="https://login.consultant.ru/link/?req=doc&amp;base=RLAW304&amp;n=75421&amp;dst=100005" TargetMode = "External"/>
	<Relationship Id="rId21" Type="http://schemas.openxmlformats.org/officeDocument/2006/relationships/hyperlink" Target="https://login.consultant.ru/link/?req=doc&amp;base=RLAW304&amp;n=115177&amp;dst=100005" TargetMode = "External"/>
	<Relationship Id="rId22" Type="http://schemas.openxmlformats.org/officeDocument/2006/relationships/hyperlink" Target="https://login.consultant.ru/link/?req=doc&amp;base=RLAW304&amp;n=51516&amp;dst=100006" TargetMode = "External"/>
	<Relationship Id="rId23" Type="http://schemas.openxmlformats.org/officeDocument/2006/relationships/hyperlink" Target="https://login.consultant.ru/link/?req=doc&amp;base=RLAW304&amp;n=115177&amp;dst=100006" TargetMode = "External"/>
	<Relationship Id="rId24" Type="http://schemas.openxmlformats.org/officeDocument/2006/relationships/hyperlink" Target="https://login.consultant.ru/link/?req=doc&amp;base=LAW&amp;n=2875" TargetMode = "External"/>
	<Relationship Id="rId25" Type="http://schemas.openxmlformats.org/officeDocument/2006/relationships/hyperlink" Target="https://login.consultant.ru/link/?req=doc&amp;base=LAW&amp;n=475125" TargetMode = "External"/>
	<Relationship Id="rId26" Type="http://schemas.openxmlformats.org/officeDocument/2006/relationships/hyperlink" Target="https://login.consultant.ru/link/?req=doc&amp;base=RLAW304&amp;n=90448" TargetMode = "External"/>
	<Relationship Id="rId27" Type="http://schemas.openxmlformats.org/officeDocument/2006/relationships/hyperlink" Target="https://login.consultant.ru/link/?req=doc&amp;base=RLAW304&amp;n=90390" TargetMode = "External"/>
	<Relationship Id="rId28" Type="http://schemas.openxmlformats.org/officeDocument/2006/relationships/hyperlink" Target="https://login.consultant.ru/link/?req=doc&amp;base=RLAW304&amp;n=115177&amp;dst=100007" TargetMode = "External"/>
	<Relationship Id="rId29" Type="http://schemas.openxmlformats.org/officeDocument/2006/relationships/hyperlink" Target="https://login.consultant.ru/link/?req=doc&amp;base=RLAW304&amp;n=115177&amp;dst=100008" TargetMode = "External"/>
	<Relationship Id="rId30" Type="http://schemas.openxmlformats.org/officeDocument/2006/relationships/hyperlink" Target="https://login.consultant.ru/link/?req=doc&amp;base=RLAW304&amp;n=115177&amp;dst=100009" TargetMode = "External"/>
	<Relationship Id="rId31" Type="http://schemas.openxmlformats.org/officeDocument/2006/relationships/hyperlink" Target="https://login.consultant.ru/link/?req=doc&amp;base=RLAW304&amp;n=115177&amp;dst=100011" TargetMode = "External"/>
	<Relationship Id="rId32" Type="http://schemas.openxmlformats.org/officeDocument/2006/relationships/hyperlink" Target="https://login.consultant.ru/link/?req=doc&amp;base=LAW&amp;n=476447" TargetMode = "External"/>
	<Relationship Id="rId33" Type="http://schemas.openxmlformats.org/officeDocument/2006/relationships/hyperlink" Target="https://login.consultant.ru/link/?req=doc&amp;base=LAW&amp;n=476447" TargetMode = "External"/>
	<Relationship Id="rId34" Type="http://schemas.openxmlformats.org/officeDocument/2006/relationships/hyperlink" Target="https://login.consultant.ru/link/?req=doc&amp;base=RLAW304&amp;n=58025&amp;dst=100006" TargetMode = "External"/>
	<Relationship Id="rId35" Type="http://schemas.openxmlformats.org/officeDocument/2006/relationships/hyperlink" Target="https://login.consultant.ru/link/?req=doc&amp;base=RLAW304&amp;n=115177&amp;dst=100014" TargetMode = "External"/>
	<Relationship Id="rId36" Type="http://schemas.openxmlformats.org/officeDocument/2006/relationships/hyperlink" Target="https://login.consultant.ru/link/?req=doc&amp;base=RLAW304&amp;n=115177&amp;dst=100017" TargetMode = "External"/>
	<Relationship Id="rId37" Type="http://schemas.openxmlformats.org/officeDocument/2006/relationships/hyperlink" Target="https://login.consultant.ru/link/?req=doc&amp;base=RLAW304&amp;n=115177&amp;dst=100019" TargetMode = "External"/>
	<Relationship Id="rId38" Type="http://schemas.openxmlformats.org/officeDocument/2006/relationships/hyperlink" Target="https://login.consultant.ru/link/?req=doc&amp;base=RLAW304&amp;n=115177&amp;dst=100020" TargetMode = "External"/>
	<Relationship Id="rId39" Type="http://schemas.openxmlformats.org/officeDocument/2006/relationships/hyperlink" Target="https://login.consultant.ru/link/?req=doc&amp;base=RLAW304&amp;n=115177&amp;dst=100022" TargetMode = "External"/>
	<Relationship Id="rId40" Type="http://schemas.openxmlformats.org/officeDocument/2006/relationships/hyperlink" Target="https://login.consultant.ru/link/?req=doc&amp;base=RLAW304&amp;n=115177&amp;dst=100024" TargetMode = "External"/>
	<Relationship Id="rId41" Type="http://schemas.openxmlformats.org/officeDocument/2006/relationships/hyperlink" Target="https://login.consultant.ru/link/?req=doc&amp;base=RLAW304&amp;n=115177&amp;dst=100030" TargetMode = "External"/>
	<Relationship Id="rId42" Type="http://schemas.openxmlformats.org/officeDocument/2006/relationships/hyperlink" Target="https://login.consultant.ru/link/?req=doc&amp;base=RLAW304&amp;n=115177&amp;dst=100032" TargetMode = "External"/>
	<Relationship Id="rId43" Type="http://schemas.openxmlformats.org/officeDocument/2006/relationships/hyperlink" Target="https://login.consultant.ru/link/?req=doc&amp;base=RLAW304&amp;n=51516&amp;dst=100012" TargetMode = "External"/>
	<Relationship Id="rId44" Type="http://schemas.openxmlformats.org/officeDocument/2006/relationships/hyperlink" Target="https://login.consultant.ru/link/?req=doc&amp;base=RLAW304&amp;n=115177&amp;dst=100033" TargetMode = "External"/>
	<Relationship Id="rId45" Type="http://schemas.openxmlformats.org/officeDocument/2006/relationships/hyperlink" Target="https://login.consultant.ru/link/?req=doc&amp;base=RLAW304&amp;n=115177&amp;dst=100035" TargetMode = "External"/>
	<Relationship Id="rId46" Type="http://schemas.openxmlformats.org/officeDocument/2006/relationships/hyperlink" Target="https://login.consultant.ru/link/?req=doc&amp;base=RLAW304&amp;n=115177&amp;dst=100036" TargetMode = "External"/>
	<Relationship Id="rId47" Type="http://schemas.openxmlformats.org/officeDocument/2006/relationships/hyperlink" Target="https://login.consultant.ru/link/?req=doc&amp;base=RLAW304&amp;n=75421&amp;dst=100011" TargetMode = "External"/>
	<Relationship Id="rId48" Type="http://schemas.openxmlformats.org/officeDocument/2006/relationships/hyperlink" Target="https://login.consultant.ru/link/?req=doc&amp;base=RLAW304&amp;n=115177&amp;dst=100038" TargetMode = "External"/>
	<Relationship Id="rId49" Type="http://schemas.openxmlformats.org/officeDocument/2006/relationships/hyperlink" Target="https://login.consultant.ru/link/?req=doc&amp;base=RLAW304&amp;n=75421&amp;dst=100012" TargetMode = "External"/>
	<Relationship Id="rId50" Type="http://schemas.openxmlformats.org/officeDocument/2006/relationships/hyperlink" Target="https://login.consultant.ru/link/?req=doc&amp;base=RLAW304&amp;n=115177&amp;dst=100040" TargetMode = "External"/>
	<Relationship Id="rId51" Type="http://schemas.openxmlformats.org/officeDocument/2006/relationships/hyperlink" Target="https://login.consultant.ru/link/?req=doc&amp;base=RLAW304&amp;n=115177&amp;dst=100042" TargetMode = "External"/>
	<Relationship Id="rId52" Type="http://schemas.openxmlformats.org/officeDocument/2006/relationships/hyperlink" Target="https://login.consultant.ru/link/?req=doc&amp;base=RLAW304&amp;n=75421&amp;dst=100014" TargetMode = "External"/>
	<Relationship Id="rId53" Type="http://schemas.openxmlformats.org/officeDocument/2006/relationships/hyperlink" Target="https://login.consultant.ru/link/?req=doc&amp;base=RLAW304&amp;n=115177&amp;dst=100044" TargetMode = "External"/>
	<Relationship Id="rId54" Type="http://schemas.openxmlformats.org/officeDocument/2006/relationships/hyperlink" Target="https://login.consultant.ru/link/?req=doc&amp;base=RLAW304&amp;n=115177&amp;dst=100045" TargetMode = "External"/>
	<Relationship Id="rId55" Type="http://schemas.openxmlformats.org/officeDocument/2006/relationships/hyperlink" Target="https://login.consultant.ru/link/?req=doc&amp;base=RLAW304&amp;n=115177&amp;dst=100046" TargetMode = "External"/>
	<Relationship Id="rId56" Type="http://schemas.openxmlformats.org/officeDocument/2006/relationships/hyperlink" Target="https://login.consultant.ru/link/?req=doc&amp;base=RLAW304&amp;n=115177&amp;dst=100046" TargetMode = "External"/>
	<Relationship Id="rId57" Type="http://schemas.openxmlformats.org/officeDocument/2006/relationships/hyperlink" Target="https://login.consultant.ru/link/?req=doc&amp;base=RLAW304&amp;n=115177&amp;dst=100047" TargetMode = "External"/>
	<Relationship Id="rId58" Type="http://schemas.openxmlformats.org/officeDocument/2006/relationships/hyperlink" Target="https://login.consultant.ru/link/?req=doc&amp;base=RLAW304&amp;n=115177&amp;dst=100050" TargetMode = "External"/>
	<Relationship Id="rId59" Type="http://schemas.openxmlformats.org/officeDocument/2006/relationships/hyperlink" Target="https://login.consultant.ru/link/?req=doc&amp;base=RLAW304&amp;n=51516&amp;dst=100013" TargetMode = "External"/>
	<Relationship Id="rId60" Type="http://schemas.openxmlformats.org/officeDocument/2006/relationships/hyperlink" Target="https://login.consultant.ru/link/?req=doc&amp;base=RLAW304&amp;n=75421&amp;dst=100015" TargetMode = "External"/>
	<Relationship Id="rId61" Type="http://schemas.openxmlformats.org/officeDocument/2006/relationships/hyperlink" Target="https://login.consultant.ru/link/?req=doc&amp;base=RLAW304&amp;n=115177&amp;dst=100051" TargetMode = "External"/>
	<Relationship Id="rId62" Type="http://schemas.openxmlformats.org/officeDocument/2006/relationships/hyperlink" Target="https://login.consultant.ru/link/?req=doc&amp;base=RLAW304&amp;n=115177&amp;dst=100052" TargetMode = "External"/>
	<Relationship Id="rId63" Type="http://schemas.openxmlformats.org/officeDocument/2006/relationships/hyperlink" Target="https://login.consultant.ru/link/?req=doc&amp;base=RLAW304&amp;n=115177&amp;dst=100053" TargetMode = "External"/>
	<Relationship Id="rId64" Type="http://schemas.openxmlformats.org/officeDocument/2006/relationships/hyperlink" Target="https://login.consultant.ru/link/?req=doc&amp;base=RLAW304&amp;n=115177&amp;dst=100055" TargetMode = "External"/>
	<Relationship Id="rId65" Type="http://schemas.openxmlformats.org/officeDocument/2006/relationships/hyperlink" Target="https://login.consultant.ru/link/?req=doc&amp;base=RLAW304&amp;n=115177&amp;dst=100057" TargetMode = "External"/>
	<Relationship Id="rId66" Type="http://schemas.openxmlformats.org/officeDocument/2006/relationships/hyperlink" Target="https://login.consultant.ru/link/?req=doc&amp;base=RLAW304&amp;n=115177&amp;dst=100058" TargetMode = "External"/>
	<Relationship Id="rId67" Type="http://schemas.openxmlformats.org/officeDocument/2006/relationships/hyperlink" Target="https://login.consultant.ru/link/?req=doc&amp;base=RLAW304&amp;n=75421&amp;dst=100017" TargetMode = "External"/>
	<Relationship Id="rId68" Type="http://schemas.openxmlformats.org/officeDocument/2006/relationships/hyperlink" Target="https://login.consultant.ru/link/?req=doc&amp;base=RLAW304&amp;n=115177&amp;dst=100060" TargetMode = "External"/>
	<Relationship Id="rId69" Type="http://schemas.openxmlformats.org/officeDocument/2006/relationships/hyperlink" Target="https://login.consultant.ru/link/?req=doc&amp;base=RLAW304&amp;n=75421&amp;dst=100018" TargetMode = "External"/>
	<Relationship Id="rId70" Type="http://schemas.openxmlformats.org/officeDocument/2006/relationships/hyperlink" Target="https://login.consultant.ru/link/?req=doc&amp;base=RLAW304&amp;n=115177&amp;dst=100062" TargetMode = "External"/>
	<Relationship Id="rId71" Type="http://schemas.openxmlformats.org/officeDocument/2006/relationships/hyperlink" Target="https://login.consultant.ru/link/?req=doc&amp;base=RLAW304&amp;n=115177&amp;dst=100064" TargetMode = "External"/>
	<Relationship Id="rId72" Type="http://schemas.openxmlformats.org/officeDocument/2006/relationships/hyperlink" Target="https://login.consultant.ru/link/?req=doc&amp;base=RLAW304&amp;n=115177&amp;dst=100065" TargetMode = "External"/>
	<Relationship Id="rId73" Type="http://schemas.openxmlformats.org/officeDocument/2006/relationships/hyperlink" Target="https://login.consultant.ru/link/?req=doc&amp;base=RLAW304&amp;n=51516&amp;dst=100015" TargetMode = "External"/>
	<Relationship Id="rId74" Type="http://schemas.openxmlformats.org/officeDocument/2006/relationships/hyperlink" Target="https://login.consultant.ru/link/?req=doc&amp;base=RLAW304&amp;n=51516&amp;dst=100016" TargetMode = "External"/>
	<Relationship Id="rId75" Type="http://schemas.openxmlformats.org/officeDocument/2006/relationships/hyperlink" Target="https://login.consultant.ru/link/?req=doc&amp;base=RLAW304&amp;n=51516&amp;dst=100016" TargetMode = "External"/>
	<Relationship Id="rId76" Type="http://schemas.openxmlformats.org/officeDocument/2006/relationships/hyperlink" Target="https://login.consultant.ru/link/?req=doc&amp;base=RLAW304&amp;n=51516&amp;dst=100019" TargetMode = "External"/>
	<Relationship Id="rId77" Type="http://schemas.openxmlformats.org/officeDocument/2006/relationships/hyperlink" Target="https://login.consultant.ru/link/?req=doc&amp;base=RLAW304&amp;n=51516&amp;dst=100019" TargetMode = "External"/>
	<Relationship Id="rId78" Type="http://schemas.openxmlformats.org/officeDocument/2006/relationships/hyperlink" Target="https://login.consultant.ru/link/?req=doc&amp;base=RLAW304&amp;n=51516&amp;dst=100019" TargetMode = "External"/>
	<Relationship Id="rId79" Type="http://schemas.openxmlformats.org/officeDocument/2006/relationships/hyperlink" Target="https://login.consultant.ru/link/?req=doc&amp;base=RLAW304&amp;n=115177&amp;dst=100067" TargetMode = "External"/>
	<Relationship Id="rId80" Type="http://schemas.openxmlformats.org/officeDocument/2006/relationships/hyperlink" Target="https://login.consultant.ru/link/?req=doc&amp;base=RLAW304&amp;n=115177&amp;dst=100069" TargetMode = "External"/>
	<Relationship Id="rId81" Type="http://schemas.openxmlformats.org/officeDocument/2006/relationships/hyperlink" Target="https://login.consultant.ru/link/?req=doc&amp;base=RLAW304&amp;n=58025&amp;dst=100014" TargetMode = "External"/>
	<Relationship Id="rId82" Type="http://schemas.openxmlformats.org/officeDocument/2006/relationships/hyperlink" Target="https://login.consultant.ru/link/?req=doc&amp;base=RLAW304&amp;n=115177&amp;dst=100070" TargetMode = "External"/>
	<Relationship Id="rId83" Type="http://schemas.openxmlformats.org/officeDocument/2006/relationships/hyperlink" Target="https://login.consultant.ru/link/?req=doc&amp;base=RLAW304&amp;n=58025&amp;dst=100015" TargetMode = "External"/>
	<Relationship Id="rId84" Type="http://schemas.openxmlformats.org/officeDocument/2006/relationships/hyperlink" Target="https://login.consultant.ru/link/?req=doc&amp;base=RLAW304&amp;n=115177&amp;dst=100070" TargetMode = "External"/>
	<Relationship Id="rId85" Type="http://schemas.openxmlformats.org/officeDocument/2006/relationships/hyperlink" Target="https://login.consultant.ru/link/?req=doc&amp;base=RLAW304&amp;n=58025&amp;dst=100016" TargetMode = "External"/>
	<Relationship Id="rId86" Type="http://schemas.openxmlformats.org/officeDocument/2006/relationships/hyperlink" Target="https://login.consultant.ru/link/?req=doc&amp;base=RLAW304&amp;n=115177&amp;dst=100070" TargetMode = "External"/>
	<Relationship Id="rId87" Type="http://schemas.openxmlformats.org/officeDocument/2006/relationships/hyperlink" Target="https://login.consultant.ru/link/?req=doc&amp;base=RLAW304&amp;n=58025&amp;dst=100017" TargetMode = "External"/>
	<Relationship Id="rId88" Type="http://schemas.openxmlformats.org/officeDocument/2006/relationships/hyperlink" Target="https://login.consultant.ru/link/?req=doc&amp;base=RLAW304&amp;n=51516&amp;dst=100022" TargetMode = "External"/>
	<Relationship Id="rId89" Type="http://schemas.openxmlformats.org/officeDocument/2006/relationships/hyperlink" Target="https://login.consultant.ru/link/?req=doc&amp;base=RLAW304&amp;n=51516&amp;dst=100023" TargetMode = "External"/>
	<Relationship Id="rId90" Type="http://schemas.openxmlformats.org/officeDocument/2006/relationships/hyperlink" Target="https://login.consultant.ru/link/?req=doc&amp;base=RLAW304&amp;n=115177&amp;dst=100072" TargetMode = "External"/>
	<Relationship Id="rId91" Type="http://schemas.openxmlformats.org/officeDocument/2006/relationships/hyperlink" Target="https://login.consultant.ru/link/?req=doc&amp;base=RLAW304&amp;n=58025&amp;dst=100018" TargetMode = "External"/>
	<Relationship Id="rId92" Type="http://schemas.openxmlformats.org/officeDocument/2006/relationships/hyperlink" Target="https://login.consultant.ru/link/?req=doc&amp;base=RLAW304&amp;n=115177&amp;dst=100073" TargetMode = "External"/>
	<Relationship Id="rId93" Type="http://schemas.openxmlformats.org/officeDocument/2006/relationships/hyperlink" Target="https://login.consultant.ru/link/?req=doc&amp;base=RLAW304&amp;n=58025&amp;dst=100019" TargetMode = "External"/>
	<Relationship Id="rId94" Type="http://schemas.openxmlformats.org/officeDocument/2006/relationships/hyperlink" Target="https://login.consultant.ru/link/?req=doc&amp;base=RLAW304&amp;n=58025&amp;dst=100021" TargetMode = "External"/>
	<Relationship Id="rId95" Type="http://schemas.openxmlformats.org/officeDocument/2006/relationships/hyperlink" Target="https://login.consultant.ru/link/?req=doc&amp;base=RLAW304&amp;n=115177&amp;dst=100073" TargetMode = "External"/>
	<Relationship Id="rId96" Type="http://schemas.openxmlformats.org/officeDocument/2006/relationships/hyperlink" Target="https://login.consultant.ru/link/?req=doc&amp;base=RLAW304&amp;n=58025&amp;dst=100022" TargetMode = "External"/>
	<Relationship Id="rId97" Type="http://schemas.openxmlformats.org/officeDocument/2006/relationships/hyperlink" Target="https://login.consultant.ru/link/?req=doc&amp;base=RLAW304&amp;n=51516&amp;dst=100024" TargetMode = "External"/>
	<Relationship Id="rId98" Type="http://schemas.openxmlformats.org/officeDocument/2006/relationships/hyperlink" Target="https://login.consultant.ru/link/?req=doc&amp;base=RLAW304&amp;n=58025&amp;dst=100023" TargetMode = "External"/>
	<Relationship Id="rId99" Type="http://schemas.openxmlformats.org/officeDocument/2006/relationships/hyperlink" Target="https://login.consultant.ru/link/?req=doc&amp;base=RLAW304&amp;n=115177&amp;dst=100074" TargetMode = "External"/>
	<Relationship Id="rId100" Type="http://schemas.openxmlformats.org/officeDocument/2006/relationships/hyperlink" Target="https://login.consultant.ru/link/?req=doc&amp;base=RLAW304&amp;n=58025&amp;dst=100025" TargetMode = "External"/>
	<Relationship Id="rId101" Type="http://schemas.openxmlformats.org/officeDocument/2006/relationships/hyperlink" Target="https://login.consultant.ru/link/?req=doc&amp;base=RLAW304&amp;n=115177&amp;dst=100074" TargetMode = "External"/>
	<Relationship Id="rId102" Type="http://schemas.openxmlformats.org/officeDocument/2006/relationships/hyperlink" Target="https://login.consultant.ru/link/?req=doc&amp;base=RLAW304&amp;n=115177&amp;dst=100075" TargetMode = "External"/>
	<Relationship Id="rId103" Type="http://schemas.openxmlformats.org/officeDocument/2006/relationships/hyperlink" Target="https://login.consultant.ru/link/?req=doc&amp;base=RLAW304&amp;n=115177&amp;dst=100077" TargetMode = "External"/>
	<Relationship Id="rId104" Type="http://schemas.openxmlformats.org/officeDocument/2006/relationships/hyperlink" Target="https://login.consultant.ru/link/?req=doc&amp;base=RLAW304&amp;n=115177&amp;dst=100079" TargetMode = "External"/>
	<Relationship Id="rId105" Type="http://schemas.openxmlformats.org/officeDocument/2006/relationships/hyperlink" Target="https://login.consultant.ru/link/?req=doc&amp;base=RLAW304&amp;n=115177&amp;dst=100080" TargetMode = "External"/>
	<Relationship Id="rId106" Type="http://schemas.openxmlformats.org/officeDocument/2006/relationships/hyperlink" Target="https://login.consultant.ru/link/?req=doc&amp;base=RLAW304&amp;n=115177&amp;dst=100082" TargetMode = "External"/>
	<Relationship Id="rId107" Type="http://schemas.openxmlformats.org/officeDocument/2006/relationships/hyperlink" Target="https://login.consultant.ru/link/?req=doc&amp;base=RLAW304&amp;n=115177&amp;dst=10008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Парламента КБР от 31.10.2009 N 177-П-П
(ред. от 31.10.2024)
"О Положении о Молодежной палате при Парламенте Кабардино-Балкарской Республики"</dc:title>
  <dcterms:created xsi:type="dcterms:W3CDTF">2025-01-13T13:13:51Z</dcterms:created>
</cp:coreProperties>
</file>