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Минкультуры КБР от 12.02.2024 N 01-01/13/2</w:t>
              <w:br/>
              <w:t xml:space="preserve">"Об утверждении Порядка предоставления субсидий из республиканского бюджета Кабардино-Балкарской Республики на реализацию проектов в Кабардино-Балкарской Республике в 2024 году"</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20.05.2024</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МИНИСТЕРСТВО КУЛЬТУРЫ КАБАРДИНО-БАЛКАРСКОЙ РЕСПУБЛИКИ</w:t>
      </w:r>
    </w:p>
    <w:p>
      <w:pPr>
        <w:pStyle w:val="2"/>
        <w:jc w:val="center"/>
      </w:pPr>
      <w:r>
        <w:rPr>
          <w:sz w:val="20"/>
        </w:rPr>
      </w:r>
    </w:p>
    <w:p>
      <w:pPr>
        <w:pStyle w:val="2"/>
        <w:jc w:val="center"/>
      </w:pPr>
      <w:r>
        <w:rPr>
          <w:sz w:val="20"/>
        </w:rPr>
        <w:t xml:space="preserve">ПРИКАЗ</w:t>
      </w:r>
    </w:p>
    <w:p>
      <w:pPr>
        <w:pStyle w:val="2"/>
        <w:jc w:val="center"/>
      </w:pPr>
      <w:r>
        <w:rPr>
          <w:sz w:val="20"/>
        </w:rPr>
        <w:t xml:space="preserve">от 12 февраля 2024 г. N 01-01/13/2</w:t>
      </w:r>
    </w:p>
    <w:p>
      <w:pPr>
        <w:pStyle w:val="2"/>
        <w:jc w:val="center"/>
      </w:pPr>
      <w:r>
        <w:rPr>
          <w:sz w:val="20"/>
        </w:rPr>
      </w:r>
    </w:p>
    <w:p>
      <w:pPr>
        <w:pStyle w:val="2"/>
        <w:jc w:val="center"/>
      </w:pPr>
      <w:r>
        <w:rPr>
          <w:sz w:val="20"/>
        </w:rPr>
        <w:t xml:space="preserve">ОБ УТВЕРЖДЕНИИ ПОРЯДКА ПРЕДОСТАВЛЕНИЯ СУБСИДИЙ</w:t>
      </w:r>
    </w:p>
    <w:p>
      <w:pPr>
        <w:pStyle w:val="2"/>
        <w:jc w:val="center"/>
      </w:pPr>
      <w:r>
        <w:rPr>
          <w:sz w:val="20"/>
        </w:rPr>
        <w:t xml:space="preserve">ИЗ РЕСПУБЛИКАНСКОГО БЮДЖЕТА КАБАРДИНО-БАЛКАРСКОЙ РЕСПУБЛИКИ</w:t>
      </w:r>
    </w:p>
    <w:p>
      <w:pPr>
        <w:pStyle w:val="2"/>
        <w:jc w:val="center"/>
      </w:pPr>
      <w:r>
        <w:rPr>
          <w:sz w:val="20"/>
        </w:rPr>
        <w:t xml:space="preserve">НА РЕАЛИЗАЦИЮ ПРОЕКТОВ В КАБАРДИНО-БАЛКАРСКОЙ</w:t>
      </w:r>
    </w:p>
    <w:p>
      <w:pPr>
        <w:pStyle w:val="2"/>
        <w:jc w:val="center"/>
      </w:pPr>
      <w:r>
        <w:rPr>
          <w:sz w:val="20"/>
        </w:rPr>
        <w:t xml:space="preserve">РЕСПУБЛИКЕ В 2024 ГОДУ</w:t>
      </w:r>
    </w:p>
    <w:p>
      <w:pPr>
        <w:pStyle w:val="0"/>
        <w:jc w:val="center"/>
      </w:pPr>
      <w:r>
        <w:rPr>
          <w:sz w:val="20"/>
        </w:rPr>
      </w:r>
    </w:p>
    <w:p>
      <w:pPr>
        <w:pStyle w:val="0"/>
        <w:ind w:firstLine="540"/>
        <w:jc w:val="both"/>
      </w:pPr>
      <w:r>
        <w:rPr>
          <w:sz w:val="20"/>
        </w:rPr>
        <w:t xml:space="preserve">В соответствии со </w:t>
      </w:r>
      <w:hyperlink w:history="0" r:id="rId7" w:tooltip="Закон Кабардино-Балкарской Республики от 07.02.2011 N 11-РЗ (ред. от 29.12.2023) &quot;О бюджетном устройстве и бюджетном процессе в Кабардино-Балкарской Республике&quot; (принят Парламентом КБР 16.12.2010) {КонсультантПлюс}">
        <w:r>
          <w:rPr>
            <w:sz w:val="20"/>
            <w:color w:val="0000ff"/>
          </w:rPr>
          <w:t xml:space="preserve">статьей 47-2</w:t>
        </w:r>
      </w:hyperlink>
      <w:r>
        <w:rPr>
          <w:sz w:val="20"/>
        </w:rPr>
        <w:t xml:space="preserve"> Закона Кабардино-Балкарской Республики от 7 февраля 2011 г. N 11-РЗ "О бюджетном устройстве и бюджетном процессе в Кабардино-Балкарской Республике", </w:t>
      </w:r>
      <w:hyperlink w:history="0" r:id="rId8" w:tooltip="Постановление Правительства РФ от 25.10.2023 N 1780 &quot;Об утверждении Правил предоставления из бюджетов бюджетной системы Российской Федерации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quot; {КонсультантПлюс}">
        <w:r>
          <w:rPr>
            <w:sz w:val="20"/>
            <w:color w:val="0000ff"/>
          </w:rPr>
          <w:t xml:space="preserve">Правилами</w:t>
        </w:r>
      </w:hyperlink>
      <w:r>
        <w:rPr>
          <w:sz w:val="20"/>
        </w:rPr>
        <w:t xml:space="preserve"> предоставления из бюджетов бюджетной системы Российской Федерации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утвержденными постановлением Правительства Российской Федерации от 25 октября 2023 г. N 1780, приказываю:</w:t>
      </w:r>
    </w:p>
    <w:p>
      <w:pPr>
        <w:pStyle w:val="0"/>
        <w:spacing w:before="200" w:line-rule="auto"/>
        <w:ind w:firstLine="540"/>
        <w:jc w:val="both"/>
      </w:pPr>
      <w:r>
        <w:rPr>
          <w:sz w:val="20"/>
        </w:rPr>
        <w:t xml:space="preserve">Утвердить прилагаемый </w:t>
      </w:r>
      <w:hyperlink w:history="0" w:anchor="P27" w:tooltip="ПОРЯДОК">
        <w:r>
          <w:rPr>
            <w:sz w:val="20"/>
            <w:color w:val="0000ff"/>
          </w:rPr>
          <w:t xml:space="preserve">Порядок</w:t>
        </w:r>
      </w:hyperlink>
      <w:r>
        <w:rPr>
          <w:sz w:val="20"/>
        </w:rPr>
        <w:t xml:space="preserve"> предоставления субсидий из республиканского бюджета Кабардино-Балкарской Республики на реализацию проектов в Кабардино-Балкарской Республике в 2024 году.</w:t>
      </w:r>
    </w:p>
    <w:p>
      <w:pPr>
        <w:pStyle w:val="0"/>
        <w:ind w:firstLine="540"/>
        <w:jc w:val="both"/>
      </w:pPr>
      <w:r>
        <w:rPr>
          <w:sz w:val="20"/>
        </w:rPr>
      </w:r>
    </w:p>
    <w:p>
      <w:pPr>
        <w:pStyle w:val="0"/>
        <w:jc w:val="right"/>
      </w:pPr>
      <w:r>
        <w:rPr>
          <w:sz w:val="20"/>
        </w:rPr>
        <w:t xml:space="preserve">Министр</w:t>
      </w:r>
    </w:p>
    <w:p>
      <w:pPr>
        <w:pStyle w:val="0"/>
        <w:jc w:val="right"/>
      </w:pPr>
      <w:r>
        <w:rPr>
          <w:sz w:val="20"/>
        </w:rPr>
        <w:t xml:space="preserve">М.КУМАХОВ</w:t>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0"/>
        <w:jc w:val="right"/>
      </w:pPr>
      <w:r>
        <w:rPr>
          <w:sz w:val="20"/>
        </w:rPr>
        <w:t xml:space="preserve">Утвержден</w:t>
      </w:r>
    </w:p>
    <w:p>
      <w:pPr>
        <w:pStyle w:val="0"/>
        <w:jc w:val="right"/>
      </w:pPr>
      <w:r>
        <w:rPr>
          <w:sz w:val="20"/>
        </w:rPr>
        <w:t xml:space="preserve">приказом</w:t>
      </w:r>
    </w:p>
    <w:p>
      <w:pPr>
        <w:pStyle w:val="0"/>
        <w:jc w:val="right"/>
      </w:pPr>
      <w:r>
        <w:rPr>
          <w:sz w:val="20"/>
        </w:rPr>
        <w:t xml:space="preserve">Министерства культуры</w:t>
      </w:r>
    </w:p>
    <w:p>
      <w:pPr>
        <w:pStyle w:val="0"/>
        <w:jc w:val="right"/>
      </w:pPr>
      <w:r>
        <w:rPr>
          <w:sz w:val="20"/>
        </w:rPr>
        <w:t xml:space="preserve">Кабардино-Балкарской Республики</w:t>
      </w:r>
    </w:p>
    <w:p>
      <w:pPr>
        <w:pStyle w:val="0"/>
        <w:jc w:val="right"/>
      </w:pPr>
      <w:r>
        <w:rPr>
          <w:sz w:val="20"/>
        </w:rPr>
        <w:t xml:space="preserve">от 12 февраля 2024 г. N 01-01/13/2</w:t>
      </w:r>
    </w:p>
    <w:p>
      <w:pPr>
        <w:pStyle w:val="0"/>
        <w:jc w:val="right"/>
      </w:pPr>
      <w:r>
        <w:rPr>
          <w:sz w:val="20"/>
        </w:rPr>
      </w:r>
    </w:p>
    <w:bookmarkStart w:id="27" w:name="P27"/>
    <w:bookmarkEnd w:id="27"/>
    <w:p>
      <w:pPr>
        <w:pStyle w:val="2"/>
        <w:jc w:val="center"/>
      </w:pPr>
      <w:r>
        <w:rPr>
          <w:sz w:val="20"/>
        </w:rPr>
        <w:t xml:space="preserve">ПОРЯДОК</w:t>
      </w:r>
    </w:p>
    <w:p>
      <w:pPr>
        <w:pStyle w:val="2"/>
        <w:jc w:val="center"/>
      </w:pPr>
      <w:r>
        <w:rPr>
          <w:sz w:val="20"/>
        </w:rPr>
        <w:t xml:space="preserve">ПРЕДОСТАВЛЕНИЯ СУБСИДИЙ ИЗ РЕСПУБЛИКАНСКОГО БЮДЖЕТА</w:t>
      </w:r>
    </w:p>
    <w:p>
      <w:pPr>
        <w:pStyle w:val="2"/>
        <w:jc w:val="center"/>
      </w:pPr>
      <w:r>
        <w:rPr>
          <w:sz w:val="20"/>
        </w:rPr>
        <w:t xml:space="preserve">КАБАРДИНО-БАЛКАРСКОЙ РЕСПУБЛИКИ НА РЕАЛИЗАЦИЮ ПРОЕКТОВ</w:t>
      </w:r>
    </w:p>
    <w:p>
      <w:pPr>
        <w:pStyle w:val="2"/>
        <w:jc w:val="center"/>
      </w:pPr>
      <w:r>
        <w:rPr>
          <w:sz w:val="20"/>
        </w:rPr>
        <w:t xml:space="preserve">В КАБАРДИНО-БАЛКАРСКОЙ РЕСПУБЛИКЕ В 2024 ГОДУ</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252"/>
        <w:gridCol w:w="340"/>
        <w:gridCol w:w="4479"/>
      </w:tblGrid>
      <w:tr>
        <w:tc>
          <w:tcPr>
            <w:tcW w:w="4252" w:type="dxa"/>
          </w:tcPr>
          <w:p>
            <w:pPr>
              <w:pStyle w:val="0"/>
            </w:pPr>
            <w:r>
              <w:rPr>
                <w:sz w:val="20"/>
              </w:rPr>
              <w:t xml:space="preserve">Наименование главного распорядителя бюджетных средств</w:t>
            </w:r>
          </w:p>
        </w:tc>
        <w:tc>
          <w:tcPr>
            <w:tcW w:w="340" w:type="dxa"/>
          </w:tcPr>
          <w:p>
            <w:pPr>
              <w:pStyle w:val="0"/>
            </w:pPr>
            <w:r>
              <w:rPr>
                <w:sz w:val="20"/>
              </w:rPr>
            </w:r>
          </w:p>
        </w:tc>
        <w:tc>
          <w:tcPr>
            <w:tcW w:w="4479" w:type="dxa"/>
          </w:tcPr>
          <w:p>
            <w:pPr>
              <w:pStyle w:val="0"/>
            </w:pPr>
            <w:r>
              <w:rPr>
                <w:sz w:val="20"/>
              </w:rPr>
              <w:t xml:space="preserve">Министерство культуры Кабардино-Балкарской Республики (далее - Министерство)</w:t>
            </w:r>
          </w:p>
        </w:tc>
      </w:tr>
      <w:tr>
        <w:tc>
          <w:tcPr>
            <w:tcW w:w="4252" w:type="dxa"/>
          </w:tcPr>
          <w:p>
            <w:pPr>
              <w:pStyle w:val="0"/>
            </w:pPr>
            <w:r>
              <w:rPr>
                <w:sz w:val="20"/>
              </w:rPr>
              <w:t xml:space="preserve">Размещение информации о субсидии в сети "Интернет"</w:t>
            </w:r>
          </w:p>
        </w:tc>
        <w:tc>
          <w:tcPr>
            <w:tcW w:w="340" w:type="dxa"/>
          </w:tcPr>
          <w:p>
            <w:pPr>
              <w:pStyle w:val="0"/>
            </w:pPr>
            <w:r>
              <w:rPr>
                <w:sz w:val="20"/>
              </w:rPr>
            </w:r>
          </w:p>
        </w:tc>
        <w:tc>
          <w:tcPr>
            <w:tcW w:w="4479" w:type="dxa"/>
          </w:tcPr>
          <w:p>
            <w:pPr>
              <w:pStyle w:val="0"/>
            </w:pPr>
            <w:r>
              <w:rPr>
                <w:sz w:val="20"/>
              </w:rPr>
              <w:t xml:space="preserve">Информация о субсидии размещается на едином портале бюджетной системы Российской Федерации в информационно-телекоммуникационной сети "Интернет"</w:t>
            </w:r>
          </w:p>
        </w:tc>
      </w:tr>
      <w:tr>
        <w:tc>
          <w:tcPr>
            <w:tcW w:w="4252" w:type="dxa"/>
          </w:tcPr>
          <w:p>
            <w:pPr>
              <w:pStyle w:val="0"/>
            </w:pPr>
            <w:r>
              <w:rPr>
                <w:sz w:val="20"/>
              </w:rPr>
              <w:t xml:space="preserve">Наименование бюджета бюджетной системы Российской Федерации, из которого предоставляется субсидия</w:t>
            </w:r>
          </w:p>
        </w:tc>
        <w:tc>
          <w:tcPr>
            <w:tcW w:w="340" w:type="dxa"/>
          </w:tcPr>
          <w:p>
            <w:pPr>
              <w:pStyle w:val="0"/>
            </w:pPr>
            <w:r>
              <w:rPr>
                <w:sz w:val="20"/>
              </w:rPr>
            </w:r>
          </w:p>
        </w:tc>
        <w:tc>
          <w:tcPr>
            <w:tcW w:w="4479" w:type="dxa"/>
          </w:tcPr>
          <w:p>
            <w:pPr>
              <w:pStyle w:val="0"/>
            </w:pPr>
            <w:r>
              <w:rPr>
                <w:sz w:val="20"/>
              </w:rPr>
              <w:t xml:space="preserve">Республиканский бюджет Кабардино-Балкарской Республики</w:t>
            </w:r>
          </w:p>
        </w:tc>
      </w:tr>
      <w:tr>
        <w:tc>
          <w:tcPr>
            <w:tcW w:w="4252" w:type="dxa"/>
          </w:tcPr>
          <w:p>
            <w:pPr>
              <w:pStyle w:val="0"/>
            </w:pPr>
            <w:r>
              <w:rPr>
                <w:sz w:val="20"/>
              </w:rPr>
              <w:t xml:space="preserve">Наименование национального проекта (программы), государственной программы Российской Федерации (государственной программы субъекта Российской Федерации, муниципальной программы), структурного элемента государственной (муниципальной) программы, в случае если субсидия предоставляется в целях реализации соответствующего национального проекта (программы), государственной (муниципальной) программы</w:t>
            </w:r>
          </w:p>
        </w:tc>
        <w:tc>
          <w:tcPr>
            <w:tcW w:w="340" w:type="dxa"/>
          </w:tcPr>
          <w:p>
            <w:pPr>
              <w:pStyle w:val="0"/>
            </w:pPr>
            <w:r>
              <w:rPr>
                <w:sz w:val="20"/>
              </w:rPr>
            </w:r>
          </w:p>
        </w:tc>
        <w:tc>
          <w:tcPr>
            <w:tcW w:w="4479" w:type="dxa"/>
          </w:tcPr>
          <w:p>
            <w:pPr>
              <w:pStyle w:val="0"/>
            </w:pPr>
            <w:r>
              <w:rPr>
                <w:sz w:val="20"/>
              </w:rPr>
              <w:t xml:space="preserve">Подпрограмма "Вовлечение граждан в деятельность в сфере культуры" государственной программы Кабардино-Балкарской Республики "Культура Кабардино-Балкарии"</w:t>
            </w:r>
          </w:p>
        </w:tc>
      </w:tr>
      <w:tr>
        <w:tc>
          <w:tcPr>
            <w:tcW w:w="4252" w:type="dxa"/>
          </w:tcPr>
          <w:p>
            <w:pPr>
              <w:pStyle w:val="0"/>
            </w:pPr>
            <w:r>
              <w:rPr>
                <w:sz w:val="20"/>
              </w:rPr>
              <w:t xml:space="preserve">Наименование субсидии</w:t>
            </w:r>
          </w:p>
        </w:tc>
        <w:tc>
          <w:tcPr>
            <w:tcW w:w="340" w:type="dxa"/>
          </w:tcPr>
          <w:p>
            <w:pPr>
              <w:pStyle w:val="0"/>
            </w:pPr>
            <w:r>
              <w:rPr>
                <w:sz w:val="20"/>
              </w:rPr>
            </w:r>
          </w:p>
        </w:tc>
        <w:tc>
          <w:tcPr>
            <w:tcW w:w="4479" w:type="dxa"/>
          </w:tcPr>
          <w:p>
            <w:pPr>
              <w:pStyle w:val="0"/>
            </w:pPr>
            <w:r>
              <w:rPr>
                <w:sz w:val="20"/>
              </w:rPr>
              <w:t xml:space="preserve">Конкурсный отбор проектов для предоставления субсидий из республиканского бюджета Кабардино-Балкарской Республики</w:t>
            </w:r>
          </w:p>
        </w:tc>
      </w:tr>
      <w:tr>
        <w:tc>
          <w:tcPr>
            <w:tcW w:w="4252" w:type="dxa"/>
          </w:tcPr>
          <w:p>
            <w:pPr>
              <w:pStyle w:val="0"/>
            </w:pPr>
            <w:r>
              <w:rPr>
                <w:sz w:val="20"/>
              </w:rPr>
              <w:t xml:space="preserve">Цель предоставления субсидии</w:t>
            </w:r>
          </w:p>
        </w:tc>
        <w:tc>
          <w:tcPr>
            <w:tcW w:w="340" w:type="dxa"/>
          </w:tcPr>
          <w:p>
            <w:pPr>
              <w:pStyle w:val="0"/>
            </w:pPr>
            <w:r>
              <w:rPr>
                <w:sz w:val="20"/>
              </w:rPr>
            </w:r>
          </w:p>
        </w:tc>
        <w:tc>
          <w:tcPr>
            <w:tcW w:w="4479" w:type="dxa"/>
          </w:tcPr>
          <w:p>
            <w:pPr>
              <w:pStyle w:val="0"/>
            </w:pPr>
            <w:r>
              <w:rPr>
                <w:sz w:val="20"/>
              </w:rPr>
              <w:t xml:space="preserve">Выявление и поддержка лучших общественных проектов социально ориентированных некоммерческих организаций, направленных на решение задач социально-культурной сферы Кабардино-Балкарской Республики</w:t>
            </w:r>
          </w:p>
        </w:tc>
      </w:tr>
      <w:tr>
        <w:tc>
          <w:tcPr>
            <w:tcW w:w="4252" w:type="dxa"/>
          </w:tcPr>
          <w:p>
            <w:pPr>
              <w:pStyle w:val="0"/>
            </w:pPr>
            <w:r>
              <w:rPr>
                <w:sz w:val="20"/>
              </w:rPr>
              <w:t xml:space="preserve">Код классификации расходов соответствующего бюджета бюджетной системы Российской Федерации, по которому предусмотрены бюджетные ассигнования на предоставление субсидии (доведены лимиты бюджетных обязательств на предоставление субсидии) (с детализацией элемента вида расхода)</w:t>
            </w:r>
          </w:p>
        </w:tc>
        <w:tc>
          <w:tcPr>
            <w:tcW w:w="340" w:type="dxa"/>
          </w:tcPr>
          <w:p>
            <w:pPr>
              <w:pStyle w:val="0"/>
            </w:pPr>
            <w:r>
              <w:rPr>
                <w:sz w:val="20"/>
              </w:rPr>
            </w:r>
          </w:p>
        </w:tc>
        <w:tc>
          <w:tcPr>
            <w:tcW w:w="4479" w:type="dxa"/>
          </w:tcPr>
          <w:p>
            <w:pPr>
              <w:pStyle w:val="0"/>
            </w:pPr>
            <w:r>
              <w:rPr>
                <w:sz w:val="20"/>
              </w:rPr>
              <w:t xml:space="preserve">957 0801 1140462330 632</w:t>
            </w:r>
          </w:p>
        </w:tc>
      </w:tr>
      <w:tr>
        <w:tc>
          <w:tcPr>
            <w:tcW w:w="4252" w:type="dxa"/>
          </w:tcPr>
          <w:p>
            <w:pPr>
              <w:pStyle w:val="0"/>
            </w:pPr>
            <w:r>
              <w:rPr>
                <w:sz w:val="20"/>
              </w:rPr>
              <w:t xml:space="preserve">Тип субсидии, определенный в соответствии с установленным Министерством финансов Российской Федерации порядком проведения мониторинга достижения результата предоставления субсидии (далее - порядок проведения мониторинга достижения результата)</w:t>
            </w:r>
          </w:p>
        </w:tc>
        <w:tc>
          <w:tcPr>
            <w:tcW w:w="340" w:type="dxa"/>
          </w:tcPr>
          <w:p>
            <w:pPr>
              <w:pStyle w:val="0"/>
            </w:pPr>
            <w:r>
              <w:rPr>
                <w:sz w:val="20"/>
              </w:rPr>
            </w:r>
          </w:p>
        </w:tc>
        <w:tc>
          <w:tcPr>
            <w:tcW w:w="4479" w:type="dxa"/>
          </w:tcPr>
          <w:p>
            <w:pPr>
              <w:pStyle w:val="0"/>
            </w:pPr>
            <w:r>
              <w:rPr>
                <w:sz w:val="20"/>
              </w:rPr>
              <w:t xml:space="preserve">Субсидии на оказание услуг (выполнение работ)</w:t>
            </w:r>
          </w:p>
        </w:tc>
      </w:tr>
      <w:tr>
        <w:tc>
          <w:tcPr>
            <w:tcW w:w="4252" w:type="dxa"/>
          </w:tcPr>
          <w:p>
            <w:pPr>
              <w:pStyle w:val="0"/>
            </w:pPr>
            <w:r>
              <w:rPr>
                <w:sz w:val="20"/>
              </w:rPr>
              <w:t xml:space="preserve">Тип результата предоставления субсидии, определенный в соответствии с порядком проведения мониторинга достижения результата</w:t>
            </w:r>
          </w:p>
        </w:tc>
        <w:tc>
          <w:tcPr>
            <w:tcW w:w="340" w:type="dxa"/>
          </w:tcPr>
          <w:p>
            <w:pPr>
              <w:pStyle w:val="0"/>
            </w:pPr>
            <w:r>
              <w:rPr>
                <w:sz w:val="20"/>
              </w:rPr>
            </w:r>
          </w:p>
        </w:tc>
        <w:tc>
          <w:tcPr>
            <w:tcW w:w="4479" w:type="dxa"/>
          </w:tcPr>
          <w:p>
            <w:pPr>
              <w:pStyle w:val="0"/>
            </w:pPr>
            <w:r>
              <w:rPr>
                <w:sz w:val="20"/>
              </w:rPr>
              <w:t xml:space="preserve">Оказание услуг (выполнение работ)</w:t>
            </w:r>
          </w:p>
        </w:tc>
      </w:tr>
      <w:tr>
        <w:tc>
          <w:tcPr>
            <w:tcW w:w="4252" w:type="dxa"/>
          </w:tcPr>
          <w:p>
            <w:pPr>
              <w:pStyle w:val="0"/>
            </w:pPr>
            <w:r>
              <w:rPr>
                <w:sz w:val="20"/>
              </w:rPr>
              <w:t xml:space="preserve">Код результата предоставления субсидии, определенного в соответствии с порядком, установленным Министерством финансов Российской Федерации, наименование результата предоставления субсидии, а также при необходимости характеристика (характеристики) результата предоставления субсидии</w:t>
            </w:r>
          </w:p>
        </w:tc>
        <w:tc>
          <w:tcPr>
            <w:tcW w:w="340" w:type="dxa"/>
          </w:tcPr>
          <w:p>
            <w:pPr>
              <w:pStyle w:val="0"/>
            </w:pPr>
            <w:r>
              <w:rPr>
                <w:sz w:val="20"/>
              </w:rPr>
            </w:r>
          </w:p>
        </w:tc>
        <w:tc>
          <w:tcPr>
            <w:tcW w:w="4479" w:type="dxa"/>
          </w:tcPr>
          <w:p>
            <w:pPr>
              <w:pStyle w:val="0"/>
            </w:pPr>
            <w:r>
              <w:rPr>
                <w:sz w:val="20"/>
              </w:rPr>
              <w:t xml:space="preserve">000114</w:t>
            </w:r>
          </w:p>
          <w:p>
            <w:pPr>
              <w:pStyle w:val="0"/>
            </w:pPr>
            <w:r>
              <w:rPr>
                <w:sz w:val="20"/>
              </w:rPr>
              <w:t xml:space="preserve">Проведен конкурсный отбор общественных проектов для предоставления субсидий из республиканского бюджета Кабардино-Балкарской Республики</w:t>
            </w:r>
          </w:p>
        </w:tc>
      </w:tr>
      <w:tr>
        <w:tc>
          <w:tcPr>
            <w:tcW w:w="4252" w:type="dxa"/>
          </w:tcPr>
          <w:p>
            <w:pPr>
              <w:pStyle w:val="0"/>
            </w:pPr>
            <w:r>
              <w:rPr>
                <w:sz w:val="20"/>
              </w:rPr>
              <w:t xml:space="preserve">Способ предоставления субсидии (финансовое обеспечение затрат; возмещение недополученных доходов и (или) возмещение затрат)</w:t>
            </w:r>
          </w:p>
        </w:tc>
        <w:tc>
          <w:tcPr>
            <w:tcW w:w="340" w:type="dxa"/>
          </w:tcPr>
          <w:p>
            <w:pPr>
              <w:pStyle w:val="0"/>
            </w:pPr>
            <w:r>
              <w:rPr>
                <w:sz w:val="20"/>
              </w:rPr>
            </w:r>
          </w:p>
        </w:tc>
        <w:tc>
          <w:tcPr>
            <w:tcW w:w="4479" w:type="dxa"/>
          </w:tcPr>
          <w:p>
            <w:pPr>
              <w:pStyle w:val="0"/>
            </w:pPr>
            <w:r>
              <w:rPr>
                <w:sz w:val="20"/>
              </w:rPr>
              <w:t xml:space="preserve">Финансовое обеспечение затрат</w:t>
            </w:r>
          </w:p>
        </w:tc>
      </w:tr>
      <w:tr>
        <w:tc>
          <w:tcPr>
            <w:tcW w:w="4252" w:type="dxa"/>
          </w:tcPr>
          <w:p>
            <w:pPr>
              <w:pStyle w:val="0"/>
            </w:pPr>
            <w:r>
              <w:rPr>
                <w:sz w:val="20"/>
              </w:rPr>
              <w:t xml:space="preserve">Способ осуществления отбора получателей субсидии (запрос предложений или конкурс)</w:t>
            </w:r>
          </w:p>
        </w:tc>
        <w:tc>
          <w:tcPr>
            <w:tcW w:w="340" w:type="dxa"/>
          </w:tcPr>
          <w:p>
            <w:pPr>
              <w:pStyle w:val="0"/>
            </w:pPr>
            <w:r>
              <w:rPr>
                <w:sz w:val="20"/>
              </w:rPr>
            </w:r>
          </w:p>
        </w:tc>
        <w:tc>
          <w:tcPr>
            <w:tcW w:w="4479" w:type="dxa"/>
          </w:tcPr>
          <w:p>
            <w:pPr>
              <w:pStyle w:val="0"/>
            </w:pPr>
            <w:r>
              <w:rPr>
                <w:sz w:val="20"/>
              </w:rPr>
              <w:t xml:space="preserve">Конкурс</w:t>
            </w:r>
          </w:p>
        </w:tc>
      </w:tr>
      <w:tr>
        <w:tc>
          <w:tcPr>
            <w:tcW w:w="4252" w:type="dxa"/>
          </w:tcPr>
          <w:p>
            <w:pPr>
              <w:pStyle w:val="0"/>
            </w:pPr>
            <w:r>
              <w:rPr>
                <w:sz w:val="20"/>
              </w:rPr>
              <w:t xml:space="preserve">Требования, определенные в соответствии с </w:t>
            </w:r>
            <w:hyperlink w:history="0" r:id="rId9" w:tooltip="Постановление Правительства РФ от 25.10.2023 N 1780 &quot;Об утверждении Правил предоставления из бюджетов бюджетной системы Российской Федерации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quot; {КонсультантПлюс}">
              <w:r>
                <w:rPr>
                  <w:sz w:val="20"/>
                  <w:color w:val="0000ff"/>
                </w:rPr>
                <w:t xml:space="preserve">пунктом 19</w:t>
              </w:r>
            </w:hyperlink>
            <w:r>
              <w:rPr>
                <w:sz w:val="20"/>
              </w:rPr>
              <w:t xml:space="preserve"> Правил предоставления из бюджетов бюджетной системы Российской Федерации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25 октября 2023 г. N 1780 (далее - Правила N 1780), которым должны соответствовать юридические лица, индивидуальные предприниматели, а также физические лица - производители товаров, работ, услуг, участвующие в отборе на получение субсидии в соответствии с </w:t>
            </w:r>
            <w:hyperlink w:history="0" r:id="rId10" w:tooltip="Постановление Правительства РФ от 25.10.2023 N 1781 &quot;Об утверждении Правил отбора получателей субсидий, в том числе грантов в форме субсидий, предоставляемых из бюджетов бюджетной системы Российской Федерации юридическим лицам, индивидуальным предпринимателям, а также физическим лицам - производителям товаров, работ, услуг&quot; {КонсультантПлюс}">
              <w:r>
                <w:rPr>
                  <w:sz w:val="20"/>
                  <w:color w:val="0000ff"/>
                </w:rPr>
                <w:t xml:space="preserve">Правилами</w:t>
              </w:r>
            </w:hyperlink>
            <w:r>
              <w:rPr>
                <w:sz w:val="20"/>
              </w:rPr>
              <w:t xml:space="preserve"> отбора получателей субсидий, в том числе грантов в форме субсидий, предоставляемых из бюджетов бюджетной системы Российской Федерации юридическим лицам,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25 октября 2023 г. N 1781, и в соответствии с </w:t>
            </w:r>
            <w:hyperlink w:history="0" r:id="rId11" w:tooltip="&quot;Бюджетный кодекс Российской Федерации&quot; от 31.07.1998 N 145-ФЗ (ред. от 26.02.2024) {КонсультантПлюс}">
              <w:r>
                <w:rPr>
                  <w:sz w:val="20"/>
                  <w:color w:val="0000ff"/>
                </w:rPr>
                <w:t xml:space="preserve">пунктом 4 статьи 78.5</w:t>
              </w:r>
            </w:hyperlink>
            <w:r>
              <w:rPr>
                <w:sz w:val="20"/>
              </w:rPr>
              <w:t xml:space="preserve"> Бюджетного кодекса Российской Федерации, а также получатели субсидии, определенные в соответствии с </w:t>
            </w:r>
            <w:hyperlink w:history="0" r:id="rId12" w:tooltip="Постановление Правительства РФ от 25.10.2023 N 1780 &quot;Об утверждении Правил предоставления из бюджетов бюджетной системы Российской Федерации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quot; {КонсультантПлюс}">
              <w:r>
                <w:rPr>
                  <w:sz w:val="20"/>
                  <w:color w:val="0000ff"/>
                </w:rPr>
                <w:t xml:space="preserve">пунктом 20</w:t>
              </w:r>
            </w:hyperlink>
            <w:r>
              <w:rPr>
                <w:sz w:val="20"/>
              </w:rPr>
              <w:t xml:space="preserve"> Правил N 1780, а также при необходимости информация, предусмотренная </w:t>
            </w:r>
            <w:hyperlink w:history="0" r:id="rId13" w:tooltip="Постановление Правительства РФ от 25.10.2023 N 1780 &quot;Об утверждении Правил предоставления из бюджетов бюджетной системы Российской Федерации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quot; {КонсультантПлюс}">
              <w:r>
                <w:rPr>
                  <w:sz w:val="20"/>
                  <w:color w:val="0000ff"/>
                </w:rPr>
                <w:t xml:space="preserve">абзацем третьим подпункта "а" пункта 18</w:t>
              </w:r>
            </w:hyperlink>
            <w:r>
              <w:rPr>
                <w:sz w:val="20"/>
              </w:rPr>
              <w:t xml:space="preserve"> Правил N 1780</w:t>
            </w:r>
          </w:p>
        </w:tc>
        <w:tc>
          <w:tcPr>
            <w:tcW w:w="340" w:type="dxa"/>
          </w:tcPr>
          <w:p>
            <w:pPr>
              <w:pStyle w:val="0"/>
            </w:pPr>
            <w:r>
              <w:rPr>
                <w:sz w:val="20"/>
              </w:rPr>
            </w:r>
          </w:p>
        </w:tc>
        <w:tc>
          <w:tcPr>
            <w:tcW w:w="4479" w:type="dxa"/>
          </w:tcPr>
          <w:p>
            <w:pPr>
              <w:pStyle w:val="0"/>
            </w:pPr>
            <w:r>
              <w:rPr>
                <w:sz w:val="20"/>
              </w:rPr>
              <w:t xml:space="preserve">Участник отбора получателей субсидий на даты рассмотрения заявки и заключения договора (соглашения) о предоставлении субсидии (далее - соглашение) должен соответствовать следующим требованиям:</w:t>
            </w:r>
          </w:p>
          <w:p>
            <w:pPr>
              <w:pStyle w:val="0"/>
            </w:pPr>
            <w:r>
              <w:rPr>
                <w:sz w:val="20"/>
              </w:rPr>
              <w:t xml:space="preserve">1. Участник отбора получателей субсидий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установлено законодательством Российской Федерации). При расчете доли участия офшорных компаний в уставном (складочном) капитале российских юридических лиц не учитываются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pPr>
            <w:r>
              <w:rPr>
                <w:sz w:val="20"/>
              </w:rPr>
              <w:t xml:space="preserve">2. Участник отбора получателей субсидий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w:t>
            </w:r>
          </w:p>
          <w:p>
            <w:pPr>
              <w:pStyle w:val="0"/>
            </w:pPr>
            <w:r>
              <w:rPr>
                <w:sz w:val="20"/>
              </w:rPr>
              <w:t xml:space="preserve">3. Участник отбора получателей субсидий не должен получать средства из федерального бюджета (бюджета субъекта Российской Федерации, местного бюджета), из которого планируется предоставление субсидии,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решений о порядке предоставления субсидии на цели, установленные решением о порядке предоставления субсидии, в целях определения получателей которой проводится отбор получателей субсидий.</w:t>
            </w:r>
          </w:p>
          <w:p>
            <w:pPr>
              <w:pStyle w:val="0"/>
            </w:pPr>
            <w:r>
              <w:rPr>
                <w:sz w:val="20"/>
              </w:rPr>
              <w:t xml:space="preserve">4. Участник отбора получателей субсидий не должен являться иностранным агентом в соответствии с Федеральным законом "О контроле за деятельностью лиц, находящихся под иностранным влиянием".</w:t>
            </w:r>
          </w:p>
          <w:p>
            <w:pPr>
              <w:pStyle w:val="0"/>
            </w:pPr>
            <w:r>
              <w:rPr>
                <w:sz w:val="20"/>
              </w:rPr>
              <w:t xml:space="preserve">5. Участник отбора не находится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pPr>
              <w:pStyle w:val="0"/>
            </w:pPr>
            <w:r>
              <w:rPr>
                <w:sz w:val="20"/>
              </w:rPr>
              <w:t xml:space="preserve">6. У участника отбора получателей субсидий должны отсутствовать просроченная задолженность по возврату в бюджет бюджетной системы Российской Федерации, из которого планируется предоставление субсидии, иных субсидий, бюджетных инвестиций,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(за исключением случаев, установленных соответственно Правительством Российской Федерации, высшим исполнительным органом субъекта Российской Федерации, местной администрацией муниципального образования).</w:t>
            </w:r>
          </w:p>
          <w:p>
            <w:pPr>
              <w:pStyle w:val="0"/>
            </w:pPr>
            <w:r>
              <w:rPr>
                <w:sz w:val="20"/>
              </w:rPr>
              <w:t xml:space="preserve">7. У участника отбора получателей субсидий на едином налоговом счете должна отсутствовать или не превышать размер, определенный пунктом 3 статьи 47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pPr>
              <w:pStyle w:val="0"/>
            </w:pPr>
            <w:r>
              <w:rPr>
                <w:sz w:val="20"/>
              </w:rPr>
              <w:t xml:space="preserve">8. Участник отбора получателей субсидий, являющийся юридическим лицом, не должен находиться в процессе реорганизации (за исключением реорганизации в форме присоединения к юридическому лицу, являющемуся участником отбора получателей субсидий, другого юридического лица), ликвидации, в отношении него не введена процедура банкротства, деятельность получателя субсидии не должна быть приостановлена в порядке, предусмотренном законодательством Российской Федерации, а получатель субсидии, являющийся индивидуальным предпринимателем, не должен прекратить деятельность в качестве индивидуального предпринимателя.</w:t>
            </w:r>
          </w:p>
          <w:p>
            <w:pPr>
              <w:pStyle w:val="0"/>
            </w:pPr>
            <w:r>
              <w:rPr>
                <w:sz w:val="20"/>
              </w:rPr>
              <w:t xml:space="preserve">9. В реестре дисквалифицированных лиц должны отсутствовать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получателя субсидии,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 получателей субсидий.</w:t>
            </w:r>
          </w:p>
          <w:p>
            <w:pPr>
              <w:pStyle w:val="0"/>
            </w:pPr>
            <w:r>
              <w:rPr>
                <w:sz w:val="20"/>
              </w:rPr>
              <w:t xml:space="preserve">10. Одна организация может подать только одну заявку для участия в одном конкурсе.</w:t>
            </w:r>
          </w:p>
          <w:p>
            <w:pPr>
              <w:pStyle w:val="0"/>
            </w:pPr>
            <w:r>
              <w:rPr>
                <w:sz w:val="20"/>
              </w:rPr>
              <w:t xml:space="preserve">11. В состав заявки на участие в конкурсе включаются следующие документы:</w:t>
            </w:r>
          </w:p>
          <w:p>
            <w:pPr>
              <w:pStyle w:val="0"/>
            </w:pPr>
            <w:r>
              <w:rPr>
                <w:sz w:val="20"/>
              </w:rPr>
              <w:t xml:space="preserve">заявление;</w:t>
            </w:r>
          </w:p>
          <w:p>
            <w:pPr>
              <w:pStyle w:val="0"/>
            </w:pPr>
            <w:r>
              <w:rPr>
                <w:sz w:val="20"/>
              </w:rPr>
              <w:t xml:space="preserve">паспорт проекта;</w:t>
            </w:r>
          </w:p>
          <w:p>
            <w:pPr>
              <w:pStyle w:val="0"/>
            </w:pPr>
            <w:r>
              <w:rPr>
                <w:sz w:val="20"/>
              </w:rPr>
              <w:t xml:space="preserve">копия устава социально ориентированной некоммерческой организации, заверенная руководителем социально ориентированной некоммерческой организации, скрепленная печатью социально ориентированной некоммерческой организации;</w:t>
            </w:r>
          </w:p>
          <w:p>
            <w:pPr>
              <w:pStyle w:val="0"/>
            </w:pPr>
            <w:r>
              <w:rPr>
                <w:sz w:val="20"/>
              </w:rPr>
              <w:t xml:space="preserve">копия документа, подтверждающего полномочия руководителя социально ориентированной некоммерческой организации или уполномоченного представителя социально ориентированной некоммерческой организации, заверенная руководителем социально ориентированной некоммерческой организации, скрепленная печатью социально ориентированной некоммерческой организации.</w:t>
            </w:r>
          </w:p>
          <w:p>
            <w:pPr>
              <w:pStyle w:val="0"/>
            </w:pPr>
            <w:r>
              <w:rPr>
                <w:sz w:val="20"/>
              </w:rPr>
              <w:t xml:space="preserve">Если документы (в том числе информация), включенные в состав заявки на участие в конкурсе содержат персональные данные, в состав такой заявки должны быть включены согласия субъектов этих данных на их обработку, в том числе согласие на публикацию (размещение) в сети "Интернет" информации об участнике конкурса, о подаваемом участником конкурса заявке, иной информации об участнике конкурса, связанной с соответствующим конкурсом.</w:t>
            </w:r>
          </w:p>
          <w:p>
            <w:pPr>
              <w:pStyle w:val="0"/>
            </w:pPr>
            <w:r>
              <w:rPr>
                <w:sz w:val="20"/>
              </w:rPr>
              <w:t xml:space="preserve">В противном случае включение в состав заявки на участие в конкурсе информации, содержащей персональные данные, не допускается.</w:t>
            </w:r>
          </w:p>
          <w:p>
            <w:pPr>
              <w:pStyle w:val="0"/>
            </w:pPr>
            <w:r>
              <w:rPr>
                <w:sz w:val="20"/>
              </w:rPr>
              <w:t xml:space="preserve">12. Субсидии предоставляются на реализацию проектов социально ориентированных некоммерческих организаций, созданных в соответствии с </w:t>
            </w:r>
            <w:hyperlink w:history="0" r:id="rId14" w:tooltip="Федеральный закон от 12.01.1996 N 7-ФЗ (ред. от 26.02.2024) &quot;О некоммерческих организациях&quot; {КонсультантПлюс}">
              <w:r>
                <w:rPr>
                  <w:sz w:val="20"/>
                  <w:color w:val="0000ff"/>
                </w:rPr>
                <w:t xml:space="preserve">пунктом 2.1 статьи 2</w:t>
              </w:r>
            </w:hyperlink>
            <w:r>
              <w:rPr>
                <w:sz w:val="20"/>
              </w:rPr>
              <w:t xml:space="preserve"> Федерального закона от 12 января 1996 года N 7-ФЗ "О некоммерческих организациях" (далее - Федеральный закон), в рамках осуществления ими уставной деятельности, соответствующей положениям </w:t>
            </w:r>
            <w:hyperlink w:history="0" r:id="rId15" w:tooltip="Федеральный закон от 12.01.1996 N 7-ФЗ (ред. от 26.02.2024) &quot;О некоммерческих организациях&quot; {КонсультантПлюс}">
              <w:r>
                <w:rPr>
                  <w:sz w:val="20"/>
                  <w:color w:val="0000ff"/>
                </w:rPr>
                <w:t xml:space="preserve">статьи 31.1</w:t>
              </w:r>
            </w:hyperlink>
            <w:r>
              <w:rPr>
                <w:sz w:val="20"/>
              </w:rPr>
              <w:t xml:space="preserve"> Федерального закона.</w:t>
            </w:r>
          </w:p>
          <w:p>
            <w:pPr>
              <w:pStyle w:val="0"/>
            </w:pPr>
            <w:r>
              <w:rPr>
                <w:sz w:val="20"/>
              </w:rPr>
              <w:t xml:space="preserve">13. Организация осуществляет деятельность в Кабардино-Балкарской Республике.</w:t>
            </w:r>
          </w:p>
          <w:p>
            <w:pPr>
              <w:pStyle w:val="0"/>
            </w:pPr>
            <w:r>
              <w:rPr>
                <w:sz w:val="20"/>
              </w:rPr>
              <w:t xml:space="preserve">14. Участниками конкурса могут быть социально ориентированные некоммерческие организации, зарегистрированные в качестве юридического лица, за исключением:</w:t>
            </w:r>
          </w:p>
          <w:p>
            <w:pPr>
              <w:pStyle w:val="0"/>
            </w:pPr>
            <w:r>
              <w:rPr>
                <w:sz w:val="20"/>
              </w:rPr>
              <w:t xml:space="preserve">государственных корпораций;</w:t>
            </w:r>
          </w:p>
          <w:p>
            <w:pPr>
              <w:pStyle w:val="0"/>
            </w:pPr>
            <w:r>
              <w:rPr>
                <w:sz w:val="20"/>
              </w:rPr>
              <w:t xml:space="preserve">государственных компаний;</w:t>
            </w:r>
          </w:p>
          <w:p>
            <w:pPr>
              <w:pStyle w:val="0"/>
            </w:pPr>
            <w:r>
              <w:rPr>
                <w:sz w:val="20"/>
              </w:rPr>
              <w:t xml:space="preserve">политических партий;</w:t>
            </w:r>
          </w:p>
          <w:p>
            <w:pPr>
              <w:pStyle w:val="0"/>
            </w:pPr>
            <w:r>
              <w:rPr>
                <w:sz w:val="20"/>
              </w:rPr>
              <w:t xml:space="preserve">государственных учреждений;</w:t>
            </w:r>
          </w:p>
          <w:p>
            <w:pPr>
              <w:pStyle w:val="0"/>
            </w:pPr>
            <w:r>
              <w:rPr>
                <w:sz w:val="20"/>
              </w:rPr>
              <w:t xml:space="preserve">муниципальных учреждений;</w:t>
            </w:r>
          </w:p>
          <w:p>
            <w:pPr>
              <w:pStyle w:val="0"/>
            </w:pPr>
            <w:r>
              <w:rPr>
                <w:sz w:val="20"/>
              </w:rPr>
              <w:t xml:space="preserve">общественных объединений, не являющиеся юридическими лицами;</w:t>
            </w:r>
          </w:p>
          <w:p>
            <w:pPr>
              <w:pStyle w:val="0"/>
            </w:pPr>
            <w:r>
              <w:rPr>
                <w:sz w:val="20"/>
              </w:rPr>
              <w:t xml:space="preserve">потребительских кооперативов, к которым относятся в том числе жилищные, жилищно-строительные и гаражные кооперативы, садоводческие, огороднические и дачные потребительские кооперативы, общества взаимного страхования, кредитные кооперативы, фонды проката, сельскохозяйственные потребительские кооперативы;</w:t>
            </w:r>
          </w:p>
          <w:p>
            <w:pPr>
              <w:pStyle w:val="0"/>
            </w:pPr>
            <w:r>
              <w:rPr>
                <w:sz w:val="20"/>
              </w:rPr>
              <w:t xml:space="preserve">саморегулируемых организаций;</w:t>
            </w:r>
          </w:p>
          <w:p>
            <w:pPr>
              <w:pStyle w:val="0"/>
            </w:pPr>
            <w:r>
              <w:rPr>
                <w:sz w:val="20"/>
              </w:rPr>
              <w:t xml:space="preserve">объединений работодателей;</w:t>
            </w:r>
          </w:p>
          <w:p>
            <w:pPr>
              <w:pStyle w:val="0"/>
            </w:pPr>
            <w:r>
              <w:rPr>
                <w:sz w:val="20"/>
              </w:rPr>
              <w:t xml:space="preserve">объединений кооперативов;</w:t>
            </w:r>
          </w:p>
          <w:p>
            <w:pPr>
              <w:pStyle w:val="0"/>
            </w:pPr>
            <w:r>
              <w:rPr>
                <w:sz w:val="20"/>
              </w:rPr>
              <w:t xml:space="preserve">торгово-промышленных палат;</w:t>
            </w:r>
          </w:p>
          <w:p>
            <w:pPr>
              <w:pStyle w:val="0"/>
            </w:pPr>
            <w:r>
              <w:rPr>
                <w:sz w:val="20"/>
              </w:rPr>
              <w:t xml:space="preserve">товариществ собственников недвижимости, к которым относятся в том числе товарищества собственников жилья; адвокатских палат;</w:t>
            </w:r>
          </w:p>
          <w:p>
            <w:pPr>
              <w:pStyle w:val="0"/>
            </w:pPr>
            <w:r>
              <w:rPr>
                <w:sz w:val="20"/>
              </w:rPr>
              <w:t xml:space="preserve">адвокатских образований; нотариальных палат;</w:t>
            </w:r>
          </w:p>
          <w:p>
            <w:pPr>
              <w:pStyle w:val="0"/>
            </w:pPr>
            <w:r>
              <w:rPr>
                <w:sz w:val="20"/>
              </w:rPr>
              <w:t xml:space="preserve">государственно-общественных и общественно-государственных организаций (объединений), их территориальных (структурных) подразделений (отделений), в том числе являющиеся отдельными юридическими лицами; микрофинансовых организаций;</w:t>
            </w:r>
          </w:p>
          <w:p>
            <w:pPr>
              <w:pStyle w:val="0"/>
            </w:pPr>
            <w:r>
              <w:rPr>
                <w:sz w:val="20"/>
              </w:rPr>
              <w:t xml:space="preserve">личных фондов</w:t>
            </w:r>
          </w:p>
        </w:tc>
      </w:tr>
      <w:tr>
        <w:tc>
          <w:tcPr>
            <w:tcW w:w="4252" w:type="dxa"/>
          </w:tcPr>
          <w:p>
            <w:pPr>
              <w:pStyle w:val="0"/>
            </w:pPr>
            <w:r>
              <w:rPr>
                <w:sz w:val="20"/>
              </w:rPr>
              <w:t xml:space="preserve">Порядок расчета размера субсидии с учетом положений </w:t>
            </w:r>
            <w:hyperlink w:history="0" r:id="rId16" w:tooltip="Постановление Правительства РФ от 25.10.2023 N 1780 &quot;Об утверждении Правил предоставления из бюджетов бюджетной системы Российской Федерации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quot; {КонсультантПлюс}">
              <w:r>
                <w:rPr>
                  <w:sz w:val="20"/>
                  <w:color w:val="0000ff"/>
                </w:rPr>
                <w:t xml:space="preserve">пунктов 14</w:t>
              </w:r>
            </w:hyperlink>
            <w:r>
              <w:rPr>
                <w:sz w:val="20"/>
              </w:rPr>
              <w:t xml:space="preserve">, </w:t>
            </w:r>
            <w:hyperlink w:history="0" r:id="rId17" w:tooltip="Постановление Правительства РФ от 25.10.2023 N 1780 &quot;Об утверждении Правил предоставления из бюджетов бюджетной системы Российской Федерации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quot; {КонсультантПлюс}">
              <w:r>
                <w:rPr>
                  <w:sz w:val="20"/>
                  <w:color w:val="0000ff"/>
                </w:rPr>
                <w:t xml:space="preserve">15</w:t>
              </w:r>
            </w:hyperlink>
            <w:r>
              <w:rPr>
                <w:sz w:val="20"/>
              </w:rPr>
              <w:t xml:space="preserve"> и </w:t>
            </w:r>
            <w:hyperlink w:history="0" r:id="rId18" w:tooltip="Постановление Правительства РФ от 25.10.2023 N 1780 &quot;Об утверждении Правил предоставления из бюджетов бюджетной системы Российской Федерации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quot; {КонсультантПлюс}">
              <w:r>
                <w:rPr>
                  <w:sz w:val="20"/>
                  <w:color w:val="0000ff"/>
                </w:rPr>
                <w:t xml:space="preserve">24</w:t>
              </w:r>
            </w:hyperlink>
            <w:r>
              <w:rPr>
                <w:sz w:val="20"/>
              </w:rPr>
              <w:t xml:space="preserve"> Правил N 1780</w:t>
            </w:r>
          </w:p>
        </w:tc>
        <w:tc>
          <w:tcPr>
            <w:tcW w:w="340" w:type="dxa"/>
          </w:tcPr>
          <w:p>
            <w:pPr>
              <w:pStyle w:val="0"/>
            </w:pPr>
            <w:r>
              <w:rPr>
                <w:sz w:val="20"/>
              </w:rPr>
            </w:r>
          </w:p>
        </w:tc>
        <w:tc>
          <w:tcPr>
            <w:tcW w:w="4479" w:type="dxa"/>
          </w:tcPr>
          <w:p>
            <w:pPr>
              <w:pStyle w:val="0"/>
            </w:pPr>
            <w:r>
              <w:rPr>
                <w:sz w:val="20"/>
              </w:rPr>
              <w:t xml:space="preserve">Конкурсная комиссия рассматривает заявки и определяет рейтинг каждой заявки с присвоением порядковых номеров заявкам участников конкурса. По результатам рассмотрения заявок на участие в конкурсе Конкурсная комиссия принимает решение о признании участников конкурса, набравших наибольшее количество баллов, победителями конкурса, и включении их в рейтинговый список победителей конкурса, включающий предложения по размерам субсидий, предоставляемых на реализацию каждого проекта.</w:t>
            </w:r>
          </w:p>
          <w:p>
            <w:pPr>
              <w:pStyle w:val="0"/>
            </w:pPr>
            <w:r>
              <w:rPr>
                <w:sz w:val="20"/>
              </w:rPr>
              <w:t xml:space="preserve">При равном количестве баллов по результатам конкурса у двух и более участников в конце рейтингового списка, победителем конкурса признается участник, подавший заявку в более ранние сроки.</w:t>
            </w:r>
          </w:p>
          <w:p>
            <w:pPr>
              <w:pStyle w:val="0"/>
            </w:pPr>
            <w:r>
              <w:rPr>
                <w:sz w:val="20"/>
              </w:rPr>
              <w:t xml:space="preserve">Конкурсная комиссия вправе предложить предоставить на реализацию проекта субсидию в меньшем размере, чем запрашиваемая сумма субсидии, но не менее 75% от запрашиваемой суммы субсидии.</w:t>
            </w:r>
          </w:p>
          <w:p>
            <w:pPr>
              <w:pStyle w:val="0"/>
            </w:pPr>
            <w:r>
              <w:rPr>
                <w:sz w:val="20"/>
              </w:rPr>
              <w:t xml:space="preserve">При этом:</w:t>
            </w:r>
          </w:p>
          <w:p>
            <w:pPr>
              <w:pStyle w:val="0"/>
            </w:pPr>
            <w:r>
              <w:rPr>
                <w:sz w:val="20"/>
              </w:rPr>
              <w:t xml:space="preserve">- минимальный размер предоставляемого гранта составляет 200000,00 рублей;</w:t>
            </w:r>
          </w:p>
          <w:p>
            <w:pPr>
              <w:pStyle w:val="0"/>
            </w:pPr>
            <w:r>
              <w:rPr>
                <w:sz w:val="20"/>
              </w:rPr>
              <w:t xml:space="preserve">- максимальный размер предоставляемого гранта составляет 1500000,00 рублей</w:t>
            </w:r>
          </w:p>
        </w:tc>
      </w:tr>
      <w:tr>
        <w:tc>
          <w:tcPr>
            <w:tcW w:w="4252" w:type="dxa"/>
          </w:tcPr>
          <w:p>
            <w:pPr>
              <w:pStyle w:val="0"/>
            </w:pPr>
            <w:r>
              <w:rPr>
                <w:sz w:val="20"/>
              </w:rPr>
              <w:t xml:space="preserve">Понятия, используемые для целей решения о порядке предоставления субсидии (при необходимости)</w:t>
            </w:r>
          </w:p>
        </w:tc>
        <w:tc>
          <w:tcPr>
            <w:tcW w:w="340" w:type="dxa"/>
          </w:tcPr>
          <w:p>
            <w:pPr>
              <w:pStyle w:val="0"/>
            </w:pPr>
            <w:r>
              <w:rPr>
                <w:sz w:val="20"/>
              </w:rPr>
            </w:r>
          </w:p>
        </w:tc>
        <w:tc>
          <w:tcPr>
            <w:tcW w:w="4479" w:type="dxa"/>
          </w:tcPr>
          <w:p>
            <w:pPr>
              <w:pStyle w:val="0"/>
            </w:pPr>
            <w:r>
              <w:rPr>
                <w:sz w:val="20"/>
              </w:rPr>
              <w:t xml:space="preserve">Общественный проект (социально-культурный проект) - это комплекс взаимосвязанных мероприятий, направленных на решение конкретных задач, соответствующих учредительным документам социально ориентированной некоммерческой организации и видам деятельности, предусмотренным </w:t>
            </w:r>
            <w:hyperlink w:history="0" r:id="rId19" w:tooltip="Федеральный закон от 12.01.1996 N 7-ФЗ (ред. от 26.02.2024) &quot;О некоммерческих организациях&quot; {КонсультантПлюс}">
              <w:r>
                <w:rPr>
                  <w:sz w:val="20"/>
                  <w:color w:val="0000ff"/>
                </w:rPr>
                <w:t xml:space="preserve">статьей 31.1</w:t>
              </w:r>
            </w:hyperlink>
            <w:r>
              <w:rPr>
                <w:sz w:val="20"/>
              </w:rPr>
              <w:t xml:space="preserve"> Федерального закона</w:t>
            </w:r>
          </w:p>
        </w:tc>
      </w:tr>
      <w:tr>
        <w:tc>
          <w:tcPr>
            <w:tcW w:w="4252" w:type="dxa"/>
            <w:vMerge w:val="restart"/>
          </w:tcPr>
          <w:p>
            <w:pPr>
              <w:pStyle w:val="0"/>
            </w:pPr>
            <w:r>
              <w:rPr>
                <w:sz w:val="20"/>
              </w:rPr>
              <w:t xml:space="preserve">Наименование отчетности, представляемой получателем субсидии, предусмотренной </w:t>
            </w:r>
            <w:hyperlink w:history="0" r:id="rId20" w:tooltip="Постановление Правительства РФ от 25.10.2023 N 1780 &quot;Об утверждении Правил предоставления из бюджетов бюджетной системы Российской Федерации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quot; {КонсультантПлюс}">
              <w:r>
                <w:rPr>
                  <w:sz w:val="20"/>
                  <w:color w:val="0000ff"/>
                </w:rPr>
                <w:t xml:space="preserve">пунктом 32</w:t>
              </w:r>
            </w:hyperlink>
            <w:r>
              <w:rPr>
                <w:sz w:val="20"/>
              </w:rPr>
              <w:t xml:space="preserve"> Правил N 1780 (при необходимости)</w:t>
            </w:r>
          </w:p>
        </w:tc>
        <w:tc>
          <w:tcPr>
            <w:tcW w:w="340" w:type="dxa"/>
            <w:vMerge w:val="restart"/>
          </w:tcPr>
          <w:p>
            <w:pPr>
              <w:pStyle w:val="0"/>
            </w:pPr>
            <w:r>
              <w:rPr>
                <w:sz w:val="20"/>
              </w:rPr>
            </w:r>
          </w:p>
        </w:tc>
        <w:tc>
          <w:tcPr>
            <w:tcW w:w="4479" w:type="dxa"/>
          </w:tcPr>
          <w:p>
            <w:pPr>
              <w:pStyle w:val="0"/>
            </w:pPr>
            <w:r>
              <w:rPr>
                <w:sz w:val="20"/>
              </w:rPr>
              <w:t xml:space="preserve">Форма финансовой отчетности о расходах на реализацию проекта, источником финансового обеспечения которых является субсидия</w:t>
            </w:r>
          </w:p>
        </w:tc>
      </w:tr>
      <w:tr>
        <w:tc>
          <w:tcPr>
            <w:vMerge w:val="continue"/>
          </w:tcPr>
          <w:p/>
        </w:tc>
        <w:tc>
          <w:tcPr>
            <w:vMerge w:val="continue"/>
          </w:tcPr>
          <w:p/>
        </w:tc>
        <w:tc>
          <w:tcPr>
            <w:tcW w:w="4479" w:type="dxa"/>
          </w:tcPr>
          <w:p>
            <w:pPr>
              <w:pStyle w:val="0"/>
            </w:pPr>
            <w:r>
              <w:rPr>
                <w:sz w:val="20"/>
              </w:rPr>
              <w:t xml:space="preserve">Форма отчетности о реализации проекта, источником финансового обеспечения которых является субсидия</w:t>
            </w:r>
          </w:p>
        </w:tc>
      </w:tr>
      <w:tr>
        <w:tc>
          <w:tcPr>
            <w:tcW w:w="4252" w:type="dxa"/>
          </w:tcPr>
          <w:p>
            <w:pPr>
              <w:pStyle w:val="0"/>
            </w:pPr>
            <w:r>
              <w:rPr>
                <w:sz w:val="20"/>
              </w:rPr>
              <w:t xml:space="preserve">Информация о возможности заключения соглашения о предоставлении субсидии с иным юридическим лицом в соответствии с </w:t>
            </w:r>
            <w:hyperlink w:history="0" r:id="rId21" w:tooltip="Постановление Правительства РФ от 25.10.2023 N 1780 &quot;Об утверждении Правил предоставления из бюджетов бюджетной системы Российской Федерации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quot; {КонсультантПлюс}">
              <w:r>
                <w:rPr>
                  <w:sz w:val="20"/>
                  <w:color w:val="0000ff"/>
                </w:rPr>
                <w:t xml:space="preserve">пунктом 12</w:t>
              </w:r>
            </w:hyperlink>
            <w:r>
              <w:rPr>
                <w:sz w:val="20"/>
              </w:rPr>
              <w:t xml:space="preserve"> Правил N 1780</w:t>
            </w:r>
          </w:p>
        </w:tc>
        <w:tc>
          <w:tcPr>
            <w:tcW w:w="340" w:type="dxa"/>
          </w:tcPr>
          <w:p>
            <w:pPr>
              <w:pStyle w:val="0"/>
            </w:pPr>
            <w:r>
              <w:rPr>
                <w:sz w:val="20"/>
              </w:rPr>
            </w:r>
          </w:p>
        </w:tc>
        <w:tc>
          <w:tcPr>
            <w:tcW w:w="4479" w:type="dxa"/>
          </w:tcPr>
          <w:p>
            <w:pPr>
              <w:pStyle w:val="0"/>
            </w:pPr>
            <w:r>
              <w:rPr>
                <w:sz w:val="20"/>
              </w:rPr>
              <w:t xml:space="preserve">Не предусмотрена</w:t>
            </w:r>
          </w:p>
        </w:tc>
      </w:tr>
      <w:tr>
        <w:tc>
          <w:tcPr>
            <w:tcW w:w="4252" w:type="dxa"/>
          </w:tcPr>
          <w:p>
            <w:pPr>
              <w:pStyle w:val="0"/>
            </w:pPr>
            <w:r>
              <w:rPr>
                <w:sz w:val="20"/>
              </w:rPr>
              <w:t xml:space="preserve">Направления расходов, определенные в соответствии с </w:t>
            </w:r>
            <w:hyperlink w:history="0" r:id="rId22" w:tooltip="Постановление Правительства РФ от 25.10.2023 N 1780 &quot;Об утверждении Правил предоставления из бюджетов бюджетной системы Российской Федерации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quot; {КонсультантПлюс}">
              <w:r>
                <w:rPr>
                  <w:sz w:val="20"/>
                  <w:color w:val="0000ff"/>
                </w:rPr>
                <w:t xml:space="preserve">подпунктом "а" пункта 25</w:t>
              </w:r>
            </w:hyperlink>
            <w:r>
              <w:rPr>
                <w:sz w:val="20"/>
              </w:rPr>
              <w:t xml:space="preserve"> Правил N 1780, а также при необходимости наименования затрат, произведенных получателем субсидии за счет собственных средств, возмещаемых за счет субсидии, определенные в соответствии с </w:t>
            </w:r>
            <w:hyperlink w:history="0" r:id="rId23" w:tooltip="Постановление Правительства РФ от 25.10.2023 N 1780 &quot;Об утверждении Правил предоставления из бюджетов бюджетной системы Российской Федерации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quot; {КонсультантПлюс}">
              <w:r>
                <w:rPr>
                  <w:sz w:val="20"/>
                  <w:color w:val="0000ff"/>
                </w:rPr>
                <w:t xml:space="preserve">подпунктом "ж"</w:t>
              </w:r>
            </w:hyperlink>
            <w:r>
              <w:rPr>
                <w:sz w:val="20"/>
              </w:rPr>
              <w:t xml:space="preserve">, </w:t>
            </w:r>
            <w:hyperlink w:history="0" r:id="rId24" w:tooltip="Постановление Правительства РФ от 25.10.2023 N 1780 &quot;Об утверждении Правил предоставления из бюджетов бюджетной системы Российской Федерации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quot; {КонсультантПлюс}">
              <w:r>
                <w:rPr>
                  <w:sz w:val="20"/>
                  <w:color w:val="0000ff"/>
                </w:rPr>
                <w:t xml:space="preserve">"е" пункта 25</w:t>
              </w:r>
            </w:hyperlink>
            <w:r>
              <w:rPr>
                <w:sz w:val="20"/>
              </w:rPr>
              <w:t xml:space="preserve"> Правил N 1780, в случае предоставления субсидий в порядке финансового обеспечения затрат в связи с производством (реализацией) товаров, выполнением работ, оказанием услуг</w:t>
            </w:r>
          </w:p>
        </w:tc>
        <w:tc>
          <w:tcPr>
            <w:tcW w:w="340" w:type="dxa"/>
          </w:tcPr>
          <w:p>
            <w:pPr>
              <w:pStyle w:val="0"/>
            </w:pPr>
            <w:r>
              <w:rPr>
                <w:sz w:val="20"/>
              </w:rPr>
            </w:r>
          </w:p>
        </w:tc>
        <w:tc>
          <w:tcPr>
            <w:tcW w:w="4479" w:type="dxa"/>
          </w:tcPr>
          <w:p>
            <w:pPr>
              <w:pStyle w:val="0"/>
            </w:pPr>
            <w:r>
              <w:rPr>
                <w:sz w:val="20"/>
              </w:rPr>
              <w:t xml:space="preserve">Осуществление закупки товаров и услуг в рамках реализации проекта с учетом того, что средства субсидии не могут быть использованы на:</w:t>
            </w:r>
          </w:p>
          <w:p>
            <w:pPr>
              <w:pStyle w:val="0"/>
            </w:pPr>
            <w:r>
              <w:rPr>
                <w:sz w:val="20"/>
              </w:rPr>
              <w:t xml:space="preserve">оказание материальной помощи, а также платных услуг населению;</w:t>
            </w:r>
          </w:p>
          <w:p>
            <w:pPr>
              <w:pStyle w:val="0"/>
            </w:pPr>
            <w:r>
              <w:rPr>
                <w:sz w:val="20"/>
              </w:rPr>
              <w:t xml:space="preserve">реализацию мероприятий, предполагающих извлечение прибыли;</w:t>
            </w:r>
          </w:p>
          <w:p>
            <w:pPr>
              <w:pStyle w:val="0"/>
            </w:pPr>
            <w:r>
              <w:rPr>
                <w:sz w:val="20"/>
              </w:rPr>
              <w:t xml:space="preserve">расходы, связанные с осуществлением предпринимательской деятельности и оказанием помощи коммерческим организациям;</w:t>
            </w:r>
          </w:p>
          <w:p>
            <w:pPr>
              <w:pStyle w:val="0"/>
            </w:pPr>
            <w:r>
              <w:rPr>
                <w:sz w:val="20"/>
              </w:rPr>
              <w:t xml:space="preserve">расходы, связанные с осуществлением деятельности, напрямую не связанной с проектами, представленными на конкурс;</w:t>
            </w:r>
          </w:p>
          <w:p>
            <w:pPr>
              <w:pStyle w:val="0"/>
            </w:pPr>
            <w:r>
              <w:rPr>
                <w:sz w:val="20"/>
              </w:rPr>
              <w:t xml:space="preserve">расходы на поддержку политических партий и кампаний;</w:t>
            </w:r>
          </w:p>
          <w:p>
            <w:pPr>
              <w:pStyle w:val="0"/>
            </w:pPr>
            <w:r>
              <w:rPr>
                <w:sz w:val="20"/>
              </w:rPr>
              <w:t xml:space="preserve">расходы на проведение митингов, демонстраций, пикетирований;</w:t>
            </w:r>
          </w:p>
          <w:p>
            <w:pPr>
              <w:pStyle w:val="0"/>
            </w:pPr>
            <w:r>
              <w:rPr>
                <w:sz w:val="20"/>
              </w:rPr>
              <w:t xml:space="preserve">расходы на фундаментальные научные исследования;</w:t>
            </w:r>
          </w:p>
          <w:p>
            <w:pPr>
              <w:pStyle w:val="0"/>
            </w:pPr>
            <w:r>
              <w:rPr>
                <w:sz w:val="20"/>
              </w:rPr>
              <w:t xml:space="preserve">расходы на приобретение алкогольных напитков и табачной продукции;</w:t>
            </w:r>
          </w:p>
          <w:p>
            <w:pPr>
              <w:pStyle w:val="0"/>
            </w:pPr>
            <w:r>
              <w:rPr>
                <w:sz w:val="20"/>
              </w:rPr>
              <w:t xml:space="preserve">уплата штрафов;</w:t>
            </w:r>
          </w:p>
          <w:p>
            <w:pPr>
              <w:pStyle w:val="0"/>
            </w:pPr>
            <w:r>
              <w:rPr>
                <w:sz w:val="20"/>
              </w:rPr>
              <w:t xml:space="preserve">расходы на приобретение недвижимого имущества (включая земельные участки), капитальное строительство новых зданий; расходы на текущий и капитальный ремонт;</w:t>
            </w:r>
          </w:p>
          <w:p>
            <w:pPr>
              <w:pStyle w:val="0"/>
            </w:pPr>
            <w:r>
              <w:rPr>
                <w:sz w:val="20"/>
              </w:rPr>
              <w:t xml:space="preserve">расходы на приобретение транспорта, за исключением случая решения конкурсной комиссии</w:t>
            </w:r>
          </w:p>
        </w:tc>
      </w:tr>
      <w:tr>
        <w:tc>
          <w:tcPr>
            <w:tcW w:w="4252" w:type="dxa"/>
          </w:tcPr>
          <w:p>
            <w:pPr>
              <w:pStyle w:val="0"/>
            </w:pPr>
            <w:r>
              <w:rPr>
                <w:sz w:val="20"/>
              </w:rPr>
              <w:t xml:space="preserve">Наименование операций, для осуществления которых получатель субсидии приобретает за счет средств субсидии иностранную валюту (при необходимости)</w:t>
            </w:r>
          </w:p>
        </w:tc>
        <w:tc>
          <w:tcPr>
            <w:tcW w:w="340" w:type="dxa"/>
          </w:tcPr>
          <w:p>
            <w:pPr>
              <w:pStyle w:val="0"/>
            </w:pPr>
            <w:r>
              <w:rPr>
                <w:sz w:val="20"/>
              </w:rPr>
            </w:r>
          </w:p>
        </w:tc>
        <w:tc>
          <w:tcPr>
            <w:tcW w:w="4479" w:type="dxa"/>
          </w:tcPr>
          <w:p>
            <w:pPr>
              <w:pStyle w:val="0"/>
            </w:pPr>
            <w:r>
              <w:rPr>
                <w:sz w:val="20"/>
              </w:rPr>
              <w:t xml:space="preserve">Не предусмотрены</w:t>
            </w:r>
          </w:p>
        </w:tc>
      </w:tr>
      <w:tr>
        <w:tc>
          <w:tcPr>
            <w:tcW w:w="4252" w:type="dxa"/>
          </w:tcPr>
          <w:p>
            <w:pPr>
              <w:pStyle w:val="0"/>
            </w:pPr>
            <w:r>
              <w:rPr>
                <w:sz w:val="20"/>
              </w:rPr>
              <w:t xml:space="preserve">Порядок расчета размера средств субсидии, подлежащих возврату в бюджет, из которого предоставлена субсидия, в случае недостижения значений результата предоставления субсидии, отличный от порядка, установленного </w:t>
            </w:r>
            <w:hyperlink w:history="0" r:id="rId25" w:tooltip="Постановление Правительства РФ от 25.10.2023 N 1780 &quot;Об утверждении Правил предоставления из бюджетов бюджетной системы Российской Федерации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quot; {КонсультантПлюс}">
              <w:r>
                <w:rPr>
                  <w:sz w:val="20"/>
                  <w:color w:val="0000ff"/>
                </w:rPr>
                <w:t xml:space="preserve">пунктами 37</w:t>
              </w:r>
            </w:hyperlink>
            <w:r>
              <w:rPr>
                <w:sz w:val="20"/>
              </w:rPr>
              <w:t xml:space="preserve"> - </w:t>
            </w:r>
            <w:hyperlink w:history="0" r:id="rId26" w:tooltip="Постановление Правительства РФ от 25.10.2023 N 1780 &quot;Об утверждении Правил предоставления из бюджетов бюджетной системы Российской Федерации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quot; {КонсультантПлюс}">
              <w:r>
                <w:rPr>
                  <w:sz w:val="20"/>
                  <w:color w:val="0000ff"/>
                </w:rPr>
                <w:t xml:space="preserve">39</w:t>
              </w:r>
            </w:hyperlink>
            <w:r>
              <w:rPr>
                <w:sz w:val="20"/>
              </w:rPr>
              <w:t xml:space="preserve"> Правил N 1780 (при необходимости)</w:t>
            </w:r>
          </w:p>
        </w:tc>
        <w:tc>
          <w:tcPr>
            <w:tcW w:w="340" w:type="dxa"/>
          </w:tcPr>
          <w:p>
            <w:pPr>
              <w:pStyle w:val="0"/>
            </w:pPr>
            <w:r>
              <w:rPr>
                <w:sz w:val="20"/>
              </w:rPr>
            </w:r>
          </w:p>
        </w:tc>
        <w:tc>
          <w:tcPr>
            <w:tcW w:w="4479" w:type="dxa"/>
          </w:tcPr>
          <w:p>
            <w:pPr>
              <w:pStyle w:val="0"/>
            </w:pPr>
            <w:r>
              <w:rPr>
                <w:sz w:val="20"/>
              </w:rPr>
              <w:t xml:space="preserve">Не предусмотрен</w:t>
            </w:r>
          </w:p>
        </w:tc>
      </w:tr>
      <w:tr>
        <w:tc>
          <w:tcPr>
            <w:tcW w:w="4252" w:type="dxa"/>
          </w:tcPr>
          <w:p>
            <w:pPr>
              <w:pStyle w:val="0"/>
            </w:pPr>
            <w:r>
              <w:rPr>
                <w:sz w:val="20"/>
              </w:rPr>
              <w:t xml:space="preserve">Штрафные санкции, определенные в соответствии с </w:t>
            </w:r>
            <w:hyperlink w:history="0" r:id="rId27" w:tooltip="Постановление Правительства РФ от 25.10.2023 N 1780 &quot;Об утверждении Правил предоставления из бюджетов бюджетной системы Российской Федерации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quot; {КонсультантПлюс}">
              <w:r>
                <w:rPr>
                  <w:sz w:val="20"/>
                  <w:color w:val="0000ff"/>
                </w:rPr>
                <w:t xml:space="preserve">пунктом 40</w:t>
              </w:r>
            </w:hyperlink>
            <w:r>
              <w:rPr>
                <w:sz w:val="20"/>
              </w:rPr>
              <w:t xml:space="preserve"> Правил N 1780 (при необходимости)</w:t>
            </w:r>
          </w:p>
        </w:tc>
        <w:tc>
          <w:tcPr>
            <w:tcW w:w="340" w:type="dxa"/>
          </w:tcPr>
          <w:p>
            <w:pPr>
              <w:pStyle w:val="0"/>
            </w:pPr>
            <w:r>
              <w:rPr>
                <w:sz w:val="20"/>
              </w:rPr>
            </w:r>
          </w:p>
        </w:tc>
        <w:tc>
          <w:tcPr>
            <w:tcW w:w="4479" w:type="dxa"/>
          </w:tcPr>
          <w:p>
            <w:pPr>
              <w:pStyle w:val="0"/>
            </w:pPr>
            <w:r>
              <w:rPr>
                <w:sz w:val="20"/>
              </w:rPr>
              <w:t xml:space="preserve">Не предусмотрены</w:t>
            </w:r>
          </w:p>
        </w:tc>
      </w:tr>
      <w:tr>
        <w:tc>
          <w:tcPr>
            <w:tcW w:w="4252" w:type="dxa"/>
          </w:tcPr>
          <w:p>
            <w:pPr>
              <w:pStyle w:val="0"/>
            </w:pPr>
            <w:r>
              <w:rPr>
                <w:sz w:val="20"/>
              </w:rPr>
              <w:t xml:space="preserve">Информация об условиях о казначейском сопровождении</w:t>
            </w:r>
          </w:p>
        </w:tc>
        <w:tc>
          <w:tcPr>
            <w:tcW w:w="340" w:type="dxa"/>
          </w:tcPr>
          <w:p>
            <w:pPr>
              <w:pStyle w:val="0"/>
            </w:pPr>
            <w:r>
              <w:rPr>
                <w:sz w:val="20"/>
              </w:rPr>
            </w:r>
          </w:p>
        </w:tc>
        <w:tc>
          <w:tcPr>
            <w:tcW w:w="4479" w:type="dxa"/>
          </w:tcPr>
          <w:p>
            <w:pPr>
              <w:pStyle w:val="0"/>
            </w:pPr>
            <w:r>
              <w:rPr>
                <w:sz w:val="20"/>
              </w:rPr>
              <w:t xml:space="preserve">Предоставляемая субсидия подлежит казначейскому сопровождению и перечисляется на казначейский счет для осуществления и отражения операций с денежными средствами участников казначейского сопровождения, открытый в территориальном органе Федерального казначейства не позднее 2-го рабочего дня со дня представления получателем субсидии в финансовый орган распоряжения о совершении казначейских платежей для оплаты денежного обязательства получателя субсидии</w:t>
            </w:r>
          </w:p>
        </w:tc>
      </w:tr>
      <w:tr>
        <w:tc>
          <w:tcPr>
            <w:tcW w:w="4252" w:type="dxa"/>
          </w:tcPr>
          <w:p>
            <w:pPr>
              <w:pStyle w:val="0"/>
            </w:pPr>
            <w:r>
              <w:rPr>
                <w:sz w:val="20"/>
              </w:rPr>
              <w:t xml:space="preserve">Иные условия, устанавливаемые в случае необходимости</w:t>
            </w:r>
          </w:p>
        </w:tc>
        <w:tc>
          <w:tcPr>
            <w:tcW w:w="340" w:type="dxa"/>
          </w:tcPr>
          <w:p>
            <w:pPr>
              <w:pStyle w:val="0"/>
            </w:pPr>
            <w:r>
              <w:rPr>
                <w:sz w:val="20"/>
              </w:rPr>
            </w:r>
          </w:p>
        </w:tc>
        <w:tc>
          <w:tcPr>
            <w:tcW w:w="4479" w:type="dxa"/>
          </w:tcPr>
          <w:p>
            <w:pPr>
              <w:pStyle w:val="0"/>
            </w:pPr>
            <w:r>
              <w:rPr>
                <w:sz w:val="20"/>
              </w:rPr>
              <w:t xml:space="preserve">Не установлены</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Минкультуры КБР от 12.02.2024 N 01-01/13/2</w:t>
            <w:br/>
            <w:t>"Об утверждении Порядка предоставления субсидий из республиканского бю...</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20.05.2024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304&amp;n=106438&amp;dst=102380" TargetMode = "External"/>
	<Relationship Id="rId8" Type="http://schemas.openxmlformats.org/officeDocument/2006/relationships/hyperlink" Target="https://login.consultant.ru/link/?req=doc&amp;base=LAW&amp;n=463136&amp;dst=100067" TargetMode = "External"/>
	<Relationship Id="rId9" Type="http://schemas.openxmlformats.org/officeDocument/2006/relationships/hyperlink" Target="https://login.consultant.ru/link/?req=doc&amp;base=LAW&amp;n=463136&amp;dst=100131" TargetMode = "External"/>
	<Relationship Id="rId10" Type="http://schemas.openxmlformats.org/officeDocument/2006/relationships/hyperlink" Target="https://login.consultant.ru/link/?req=doc&amp;base=LAW&amp;n=463135&amp;dst=100021" TargetMode = "External"/>
	<Relationship Id="rId11" Type="http://schemas.openxmlformats.org/officeDocument/2006/relationships/hyperlink" Target="https://login.consultant.ru/link/?req=doc&amp;base=LAW&amp;n=470713&amp;dst=7156" TargetMode = "External"/>
	<Relationship Id="rId12" Type="http://schemas.openxmlformats.org/officeDocument/2006/relationships/hyperlink" Target="https://login.consultant.ru/link/?req=doc&amp;base=LAW&amp;n=463136&amp;dst=100137" TargetMode = "External"/>
	<Relationship Id="rId13" Type="http://schemas.openxmlformats.org/officeDocument/2006/relationships/hyperlink" Target="https://login.consultant.ru/link/?req=doc&amp;base=LAW&amp;n=463136&amp;dst=100125" TargetMode = "External"/>
	<Relationship Id="rId14" Type="http://schemas.openxmlformats.org/officeDocument/2006/relationships/hyperlink" Target="https://login.consultant.ru/link/?req=doc&amp;base=LAW&amp;n=470718&amp;dst=124" TargetMode = "External"/>
	<Relationship Id="rId15" Type="http://schemas.openxmlformats.org/officeDocument/2006/relationships/hyperlink" Target="https://login.consultant.ru/link/?req=doc&amp;base=LAW&amp;n=470718&amp;dst=134" TargetMode = "External"/>
	<Relationship Id="rId16" Type="http://schemas.openxmlformats.org/officeDocument/2006/relationships/hyperlink" Target="https://login.consultant.ru/link/?req=doc&amp;base=LAW&amp;n=463136&amp;dst=100114" TargetMode = "External"/>
	<Relationship Id="rId17" Type="http://schemas.openxmlformats.org/officeDocument/2006/relationships/hyperlink" Target="https://login.consultant.ru/link/?req=doc&amp;base=LAW&amp;n=463136&amp;dst=100117" TargetMode = "External"/>
	<Relationship Id="rId18" Type="http://schemas.openxmlformats.org/officeDocument/2006/relationships/hyperlink" Target="https://login.consultant.ru/link/?req=doc&amp;base=LAW&amp;n=463136&amp;dst=100150" TargetMode = "External"/>
	<Relationship Id="rId19" Type="http://schemas.openxmlformats.org/officeDocument/2006/relationships/hyperlink" Target="https://login.consultant.ru/link/?req=doc&amp;base=LAW&amp;n=470718&amp;dst=134" TargetMode = "External"/>
	<Relationship Id="rId20" Type="http://schemas.openxmlformats.org/officeDocument/2006/relationships/hyperlink" Target="https://login.consultant.ru/link/?req=doc&amp;base=LAW&amp;n=463136&amp;dst=100176" TargetMode = "External"/>
	<Relationship Id="rId21" Type="http://schemas.openxmlformats.org/officeDocument/2006/relationships/hyperlink" Target="https://login.consultant.ru/link/?req=doc&amp;base=LAW&amp;n=463136&amp;dst=100112" TargetMode = "External"/>
	<Relationship Id="rId22" Type="http://schemas.openxmlformats.org/officeDocument/2006/relationships/hyperlink" Target="https://login.consultant.ru/link/?req=doc&amp;base=LAW&amp;n=463136&amp;dst=100153" TargetMode = "External"/>
	<Relationship Id="rId23" Type="http://schemas.openxmlformats.org/officeDocument/2006/relationships/hyperlink" Target="https://login.consultant.ru/link/?req=doc&amp;base=LAW&amp;n=463136&amp;dst=100159" TargetMode = "External"/>
	<Relationship Id="rId24" Type="http://schemas.openxmlformats.org/officeDocument/2006/relationships/hyperlink" Target="https://login.consultant.ru/link/?req=doc&amp;base=LAW&amp;n=463136&amp;dst=100158" TargetMode = "External"/>
	<Relationship Id="rId25" Type="http://schemas.openxmlformats.org/officeDocument/2006/relationships/hyperlink" Target="https://login.consultant.ru/link/?req=doc&amp;base=LAW&amp;n=463136&amp;dst=100186" TargetMode = "External"/>
	<Relationship Id="rId26" Type="http://schemas.openxmlformats.org/officeDocument/2006/relationships/hyperlink" Target="https://login.consultant.ru/link/?req=doc&amp;base=LAW&amp;n=463136&amp;dst=100196" TargetMode = "External"/>
	<Relationship Id="rId27" Type="http://schemas.openxmlformats.org/officeDocument/2006/relationships/hyperlink" Target="https://login.consultant.ru/link/?req=doc&amp;base=LAW&amp;n=463136&amp;dst=100201"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Минкультуры КБР от 12.02.2024 N 01-01/13/2
"Об утверждении Порядка предоставления субсидий из республиканского бюджета Кабардино-Балкарской Республики на реализацию проектов в Кабардино-Балкарской Республике в 2024 году"</dc:title>
  <dcterms:created xsi:type="dcterms:W3CDTF">2024-05-20T17:20:25Z</dcterms:created>
</cp:coreProperties>
</file>