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КБР от 12.02.2025 N 01-01/17</w:t>
              <w:br/>
              <w:t xml:space="preserve">"Об утверждении порядка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по основным направлениям отрасли культуры в Кабардино-Балкарской Республике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КУЛЬТУРЫ 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12 февраля 2025 г. N 01-01/17</w:t>
      </w:r>
    </w:p>
    <w:p>
      <w:pPr>
        <w:pStyle w:val="2"/>
        <w:jc w:val="center"/>
      </w:pPr>
      <w:r>
        <w:rPr>
          <w:sz w:val="20"/>
        </w:rPr>
      </w:r>
    </w:p>
    <w:p>
      <w:pPr>
        <w:pStyle w:val="2"/>
        <w:jc w:val="center"/>
      </w:pPr>
      <w:r>
        <w:rPr>
          <w:sz w:val="20"/>
        </w:rPr>
        <w:t xml:space="preserve">ОБ УТВЕРЖДЕНИИ ПОРЯДКА ПРЕДОСТАВЛЕНИЯ СУБСИДИЙ</w:t>
      </w:r>
    </w:p>
    <w:p>
      <w:pPr>
        <w:pStyle w:val="2"/>
        <w:jc w:val="center"/>
      </w:pPr>
      <w:r>
        <w:rPr>
          <w:sz w:val="20"/>
        </w:rPr>
        <w:t xml:space="preserve">ИЗ РЕСПУБЛИКАНСКОГО БЮДЖЕТА КАБАРДИНО-БАЛКАРСКОЙ РЕСПУБЛИКИ</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РЕАЛИЗАЦИЮ ОБЩЕСТВЕННО ЗНАЧИМЫХ ПРОЕКТОВ</w:t>
      </w:r>
    </w:p>
    <w:p>
      <w:pPr>
        <w:pStyle w:val="2"/>
        <w:jc w:val="center"/>
      </w:pPr>
      <w:r>
        <w:rPr>
          <w:sz w:val="20"/>
        </w:rPr>
        <w:t xml:space="preserve">ПО ОСНОВНЫМ НАПРАВЛЕНИЯМ ОТРАСЛИ КУЛЬТУРЫ</w:t>
      </w:r>
    </w:p>
    <w:p>
      <w:pPr>
        <w:pStyle w:val="2"/>
        <w:jc w:val="center"/>
      </w:pPr>
      <w:r>
        <w:rPr>
          <w:sz w:val="20"/>
        </w:rPr>
        <w:t xml:space="preserve">В КАБАРДИНО-БАЛКАРСКОЙ РЕСПУБЛИКЕ В 2025 ГОДУ</w:t>
      </w:r>
    </w:p>
    <w:p>
      <w:pPr>
        <w:pStyle w:val="0"/>
        <w:ind w:firstLine="540"/>
        <w:jc w:val="both"/>
      </w:pPr>
      <w:r>
        <w:rPr>
          <w:sz w:val="20"/>
        </w:rPr>
      </w:r>
    </w:p>
    <w:p>
      <w:pPr>
        <w:pStyle w:val="0"/>
        <w:ind w:firstLine="540"/>
        <w:jc w:val="both"/>
      </w:pPr>
      <w:r>
        <w:rPr>
          <w:sz w:val="20"/>
        </w:rPr>
        <w:t xml:space="preserve">В соответствии со </w:t>
      </w:r>
      <w:hyperlink w:history="0" r:id="rId7" w:tooltip="Закон Кабардино-Балкарской Республики от 07.02.2011 N 11-РЗ (ред. от 28.12.2024) &quot;О бюджетном устройстве и бюджетном процессе в Кабардино-Балкарской Республике&quot; (принят Парламентом КБР 16.12.2010) {КонсультантПлюс}">
        <w:r>
          <w:rPr>
            <w:sz w:val="20"/>
            <w:color w:val="0000ff"/>
          </w:rPr>
          <w:t xml:space="preserve">статьей 47-2</w:t>
        </w:r>
      </w:hyperlink>
      <w:r>
        <w:rPr>
          <w:sz w:val="20"/>
        </w:rPr>
        <w:t xml:space="preserve"> Закона Кабардино-Балкарской Республики от 7 февраля 2011 г. N 11-РЗ "О бюджетном устройстве и бюджетном процессе в Кабардино-Балкарской Республике", </w:t>
      </w:r>
      <w:hyperlink w:history="0" r:id="rId8"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 приказываю:</w:t>
      </w:r>
    </w:p>
    <w:p>
      <w:pPr>
        <w:pStyle w:val="0"/>
        <w:spacing w:before="200" w:line-rule="auto"/>
        <w:ind w:firstLine="540"/>
        <w:jc w:val="both"/>
      </w:pPr>
      <w:r>
        <w:rPr>
          <w:sz w:val="20"/>
        </w:rPr>
        <w:t xml:space="preserve">Утвердить прилагаемые:</w:t>
      </w:r>
    </w:p>
    <w:p>
      <w:pPr>
        <w:pStyle w:val="0"/>
        <w:spacing w:before="200" w:line-rule="auto"/>
        <w:ind w:firstLine="540"/>
        <w:jc w:val="both"/>
      </w:pPr>
      <w:hyperlink w:history="0" w:anchor="P31" w:tooltip="ПОРЯДОК">
        <w:r>
          <w:rPr>
            <w:sz w:val="20"/>
            <w:color w:val="0000ff"/>
          </w:rPr>
          <w:t xml:space="preserve">Порядок</w:t>
        </w:r>
      </w:hyperlink>
      <w:r>
        <w:rPr>
          <w:sz w:val="20"/>
        </w:rPr>
        <w:t xml:space="preserve">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по основным направлениям отрасли культуры в Кабардино-Балкарской Республике в 2025 году;</w:t>
      </w:r>
    </w:p>
    <w:p>
      <w:pPr>
        <w:pStyle w:val="0"/>
        <w:spacing w:before="200" w:line-rule="auto"/>
        <w:ind w:firstLine="540"/>
        <w:jc w:val="both"/>
      </w:pPr>
      <w:r>
        <w:rPr>
          <w:sz w:val="20"/>
        </w:rPr>
        <w:t xml:space="preserve">состав конкурсной комиссии по отбору проектов социально ориентированных некоммерческих организаций для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по основным направлениям отрасли культуры в Кабардино-Балкарской Республике в 2025 году (не приводится).</w:t>
      </w:r>
    </w:p>
    <w:p>
      <w:pPr>
        <w:pStyle w:val="0"/>
        <w:jc w:val="both"/>
      </w:pPr>
      <w:r>
        <w:rPr>
          <w:sz w:val="20"/>
        </w:rPr>
      </w:r>
    </w:p>
    <w:p>
      <w:pPr>
        <w:pStyle w:val="0"/>
        <w:jc w:val="right"/>
      </w:pPr>
      <w:r>
        <w:rPr>
          <w:sz w:val="20"/>
        </w:rPr>
        <w:t xml:space="preserve">Министр</w:t>
      </w:r>
    </w:p>
    <w:p>
      <w:pPr>
        <w:pStyle w:val="0"/>
        <w:jc w:val="right"/>
      </w:pPr>
      <w:r>
        <w:rPr>
          <w:sz w:val="20"/>
        </w:rPr>
        <w:t xml:space="preserve">М.КУМАХОВ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Кабардино-Балкарской Республики</w:t>
      </w:r>
    </w:p>
    <w:p>
      <w:pPr>
        <w:pStyle w:val="0"/>
        <w:jc w:val="right"/>
      </w:pPr>
      <w:r>
        <w:rPr>
          <w:sz w:val="20"/>
        </w:rPr>
        <w:t xml:space="preserve">от 12 февраля 2025 г. N 01-01/17</w:t>
      </w:r>
    </w:p>
    <w:p>
      <w:pPr>
        <w:pStyle w:val="0"/>
      </w:pPr>
      <w:r>
        <w:rPr>
          <w:sz w:val="20"/>
        </w:rPr>
      </w:r>
    </w:p>
    <w:bookmarkStart w:id="31" w:name="P31"/>
    <w:bookmarkEnd w:id="31"/>
    <w:p>
      <w:pPr>
        <w:pStyle w:val="2"/>
        <w:jc w:val="center"/>
      </w:pPr>
      <w:r>
        <w:rPr>
          <w:sz w:val="20"/>
        </w:rPr>
        <w:t xml:space="preserve">ПОРЯДОК</w:t>
      </w:r>
    </w:p>
    <w:p>
      <w:pPr>
        <w:pStyle w:val="2"/>
        <w:jc w:val="center"/>
      </w:pPr>
      <w:r>
        <w:rPr>
          <w:sz w:val="20"/>
        </w:rPr>
        <w:t xml:space="preserve">ПРЕДОСТАВЛЕНИЯ СУБСИДИЙ ИЗ РЕСПУБЛИКАНСКОГО БЮДЖЕТА</w:t>
      </w:r>
    </w:p>
    <w:p>
      <w:pPr>
        <w:pStyle w:val="2"/>
        <w:jc w:val="center"/>
      </w:pPr>
      <w:r>
        <w:rPr>
          <w:sz w:val="20"/>
        </w:rPr>
        <w:t xml:space="preserve">КАБАРДИНО-БАЛКАРСКОЙ РЕСПУБЛИКИ СОЦИАЛЬНО ОРИЕНТИРОВАННЫМ</w:t>
      </w:r>
    </w:p>
    <w:p>
      <w:pPr>
        <w:pStyle w:val="2"/>
        <w:jc w:val="center"/>
      </w:pPr>
      <w:r>
        <w:rPr>
          <w:sz w:val="20"/>
        </w:rPr>
        <w:t xml:space="preserve">НЕКОММЕРЧЕСКИМ ОРГАНИЗАЦИЯМ НА РЕАЛИЗАЦИЮ ОБЩЕСТВЕННО</w:t>
      </w:r>
    </w:p>
    <w:p>
      <w:pPr>
        <w:pStyle w:val="2"/>
        <w:jc w:val="center"/>
      </w:pPr>
      <w:r>
        <w:rPr>
          <w:sz w:val="20"/>
        </w:rPr>
        <w:t xml:space="preserve">ЗНАЧИМЫХ ПРОЕКТОВ ПО ОСНОВНЫМ НАПРАВЛЕНИЯМ ОТРАСЛИ</w:t>
      </w:r>
    </w:p>
    <w:p>
      <w:pPr>
        <w:pStyle w:val="2"/>
        <w:jc w:val="center"/>
      </w:pPr>
      <w:r>
        <w:rPr>
          <w:sz w:val="20"/>
        </w:rPr>
        <w:t xml:space="preserve">КУЛЬТУРЫ В КАБАРДИНО-БАЛКАРСКОЙ РЕСПУБЛИКЕ В 2025 ГОДУ</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4819"/>
      </w:tblGrid>
      <w:tr>
        <w:tc>
          <w:tcPr>
            <w:tcW w:w="4252" w:type="dxa"/>
          </w:tcPr>
          <w:p>
            <w:pPr>
              <w:pStyle w:val="0"/>
            </w:pPr>
            <w:r>
              <w:rPr>
                <w:sz w:val="20"/>
              </w:rPr>
              <w:t xml:space="preserve">Наименование главного распорядителя бюджетных средств</w:t>
            </w:r>
          </w:p>
        </w:tc>
        <w:tc>
          <w:tcPr>
            <w:tcW w:w="4819" w:type="dxa"/>
          </w:tcPr>
          <w:p>
            <w:pPr>
              <w:pStyle w:val="0"/>
            </w:pPr>
            <w:r>
              <w:rPr>
                <w:sz w:val="20"/>
              </w:rPr>
              <w:t xml:space="preserve">Министерство культуры Кабардино-Балкарской Республики (далее - Министерство)</w:t>
            </w:r>
          </w:p>
        </w:tc>
      </w:tr>
      <w:tr>
        <w:tc>
          <w:tcPr>
            <w:tcW w:w="4252" w:type="dxa"/>
          </w:tcPr>
          <w:p>
            <w:pPr>
              <w:pStyle w:val="0"/>
            </w:pPr>
            <w:r>
              <w:rPr>
                <w:sz w:val="20"/>
              </w:rPr>
              <w:t xml:space="preserve">Размещение информации о субсидии в сети "Интернет"</w:t>
            </w:r>
          </w:p>
        </w:tc>
        <w:tc>
          <w:tcPr>
            <w:tcW w:w="4819" w:type="dxa"/>
          </w:tcPr>
          <w:p>
            <w:pPr>
              <w:pStyle w:val="0"/>
            </w:pPr>
            <w:r>
              <w:rPr>
                <w:sz w:val="20"/>
              </w:rPr>
              <w:t xml:space="preserve">Информация о субсидиях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w:t>
            </w:r>
          </w:p>
        </w:tc>
      </w:tr>
      <w:tr>
        <w:tc>
          <w:tcPr>
            <w:tcW w:w="4252"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4819" w:type="dxa"/>
          </w:tcPr>
          <w:p>
            <w:pPr>
              <w:pStyle w:val="0"/>
            </w:pPr>
            <w:r>
              <w:rPr>
                <w:sz w:val="20"/>
              </w:rPr>
              <w:t xml:space="preserve">Республиканский бюджет Кабардино-Балкарской Республики</w:t>
            </w:r>
          </w:p>
        </w:tc>
      </w:tr>
      <w:tr>
        <w:tc>
          <w:tcPr>
            <w:tcW w:w="4252"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4819" w:type="dxa"/>
          </w:tcPr>
          <w:p>
            <w:pPr>
              <w:pStyle w:val="0"/>
            </w:pPr>
            <w:r>
              <w:rPr>
                <w:sz w:val="20"/>
              </w:rPr>
              <w:t xml:space="preserve">Подпрограмма "Вовлечение граждан в деятельность в сфере культуры" государственной программы Кабардино-Балкарской Республики "Культура Кабардино-Балкарии"</w:t>
            </w:r>
          </w:p>
        </w:tc>
      </w:tr>
      <w:tr>
        <w:tc>
          <w:tcPr>
            <w:tcW w:w="4252" w:type="dxa"/>
          </w:tcPr>
          <w:p>
            <w:pPr>
              <w:pStyle w:val="0"/>
            </w:pPr>
            <w:r>
              <w:rPr>
                <w:sz w:val="20"/>
              </w:rPr>
              <w:t xml:space="preserve">Наименование субсидии</w:t>
            </w:r>
          </w:p>
        </w:tc>
        <w:tc>
          <w:tcPr>
            <w:tcW w:w="4819" w:type="dxa"/>
          </w:tcPr>
          <w:p>
            <w:pPr>
              <w:pStyle w:val="0"/>
            </w:pPr>
            <w:r>
              <w:rPr>
                <w:sz w:val="20"/>
              </w:rPr>
              <w:t xml:space="preserve">Конкурсный отбор общественно значимых проектов для предоставления субсидий из республиканского бюджета Кабардино-Балкарской Республики социально ориентированным некоммерческим организациям по основным направлениям отрасли культуры</w:t>
            </w:r>
          </w:p>
        </w:tc>
      </w:tr>
      <w:tr>
        <w:tc>
          <w:tcPr>
            <w:tcW w:w="4252" w:type="dxa"/>
          </w:tcPr>
          <w:p>
            <w:pPr>
              <w:pStyle w:val="0"/>
            </w:pPr>
            <w:r>
              <w:rPr>
                <w:sz w:val="20"/>
              </w:rPr>
              <w:t xml:space="preserve">Цель предоставления субсидии</w:t>
            </w:r>
          </w:p>
        </w:tc>
        <w:tc>
          <w:tcPr>
            <w:tcW w:w="4819" w:type="dxa"/>
          </w:tcPr>
          <w:p>
            <w:pPr>
              <w:pStyle w:val="0"/>
            </w:pPr>
            <w:r>
              <w:rPr>
                <w:sz w:val="20"/>
              </w:rPr>
              <w:t xml:space="preserve">Поддержка (на конкурсной основе) реализации общественно значимых проектов социально-ориентированных некоммерческих организаций по основным направлениям отрасли культуры Кабардино-Балкарской Республики</w:t>
            </w:r>
          </w:p>
        </w:tc>
      </w:tr>
      <w:tr>
        <w:tc>
          <w:tcPr>
            <w:tcW w:w="4252" w:type="dxa"/>
          </w:tcPr>
          <w:p>
            <w:pPr>
              <w:pStyle w:val="0"/>
            </w:pPr>
            <w:r>
              <w:rPr>
                <w:sz w:val="20"/>
              </w:rPr>
              <w:t xml:space="preserve">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tc>
        <w:tc>
          <w:tcPr>
            <w:tcW w:w="4819" w:type="dxa"/>
          </w:tcPr>
          <w:p>
            <w:pPr>
              <w:pStyle w:val="0"/>
            </w:pPr>
            <w:r>
              <w:rPr>
                <w:sz w:val="20"/>
              </w:rPr>
              <w:t xml:space="preserve">957 0801 1140462330 632</w:t>
            </w:r>
          </w:p>
        </w:tc>
      </w:tr>
      <w:tr>
        <w:tc>
          <w:tcPr>
            <w:tcW w:w="4252"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4819" w:type="dxa"/>
          </w:tcPr>
          <w:p>
            <w:pPr>
              <w:pStyle w:val="0"/>
            </w:pPr>
            <w:r>
              <w:rPr>
                <w:sz w:val="20"/>
              </w:rPr>
              <w:t xml:space="preserve">Субсидии на оказание услуг (выполнение работ)</w:t>
            </w:r>
          </w:p>
        </w:tc>
      </w:tr>
      <w:tr>
        <w:tc>
          <w:tcPr>
            <w:tcW w:w="4252"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4819" w:type="dxa"/>
          </w:tcPr>
          <w:p>
            <w:pPr>
              <w:pStyle w:val="0"/>
            </w:pPr>
            <w:r>
              <w:rPr>
                <w:sz w:val="20"/>
              </w:rPr>
              <w:t xml:space="preserve">Оказание услуг (выполнение работ)</w:t>
            </w:r>
          </w:p>
        </w:tc>
      </w:tr>
      <w:tr>
        <w:tc>
          <w:tcPr>
            <w:tcW w:w="4252"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4819" w:type="dxa"/>
          </w:tcPr>
          <w:p>
            <w:pPr>
              <w:pStyle w:val="0"/>
            </w:pPr>
            <w:r>
              <w:rPr>
                <w:sz w:val="20"/>
              </w:rPr>
              <w:t xml:space="preserve">000114 Проведен конкурсный отбор общественных проектов для предоставления субсидий из республиканского бюджета Кабардино-Балкарской Республики</w:t>
            </w:r>
          </w:p>
        </w:tc>
      </w:tr>
      <w:tr>
        <w:tc>
          <w:tcPr>
            <w:tcW w:w="4252"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4819" w:type="dxa"/>
          </w:tcPr>
          <w:p>
            <w:pPr>
              <w:pStyle w:val="0"/>
            </w:pPr>
            <w:r>
              <w:rPr>
                <w:sz w:val="20"/>
              </w:rPr>
              <w:t xml:space="preserve">Финансовое обеспечение затрат</w:t>
            </w:r>
          </w:p>
        </w:tc>
      </w:tr>
      <w:tr>
        <w:tc>
          <w:tcPr>
            <w:tcW w:w="4252" w:type="dxa"/>
          </w:tcPr>
          <w:p>
            <w:pPr>
              <w:pStyle w:val="0"/>
            </w:pPr>
            <w:r>
              <w:rPr>
                <w:sz w:val="20"/>
              </w:rPr>
              <w:t xml:space="preserve">Способ осуществления отбора получателей субсидии (запрос предложений или конкурс)</w:t>
            </w:r>
          </w:p>
        </w:tc>
        <w:tc>
          <w:tcPr>
            <w:tcW w:w="4819" w:type="dxa"/>
          </w:tcPr>
          <w:p>
            <w:pPr>
              <w:pStyle w:val="0"/>
            </w:pPr>
            <w:r>
              <w:rPr>
                <w:sz w:val="20"/>
              </w:rPr>
              <w:t xml:space="preserve">Конкурс</w:t>
            </w:r>
          </w:p>
        </w:tc>
      </w:tr>
      <w:tr>
        <w:tc>
          <w:tcPr>
            <w:tcW w:w="4252" w:type="dxa"/>
          </w:tcPr>
          <w:p>
            <w:pPr>
              <w:pStyle w:val="0"/>
            </w:pPr>
            <w:r>
              <w:rPr>
                <w:sz w:val="20"/>
              </w:rPr>
              <w:t xml:space="preserve">Требования, определенные в соответствии с </w:t>
            </w:r>
            <w:hyperlink w:history="0" r:id="rId9"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1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11" w:tooltip="&quot;Бюджетный кодекс Российской Федерации&quot; от 31.07.1998 N 145-ФЗ (ред. от 21.04.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12"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1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4819"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1.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2.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3.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4. Участник отбора получателей субсидий не должен являться иностранным агентом в соответствии с Федеральным </w:t>
            </w:r>
            <w:hyperlink w:history="0" r:id="rId14"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5. Участник отбора не находится в составляемых в рамках реализации полномочий, предусмотренных </w:t>
            </w:r>
            <w:hyperlink w:history="0" r:id="rId1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6.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7. У участника отбора получателей субсидий на едином налоговом счете должна отсутствовать или не превышать размер, определенный </w:t>
            </w:r>
            <w:hyperlink w:history="0" r:id="rId16"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8.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9. В реестре дисквалифицированных лиц должны отсутствовать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10. Одна организация может подать только одну заявку для участия в одном конкурсе.</w:t>
            </w:r>
          </w:p>
          <w:p>
            <w:pPr>
              <w:pStyle w:val="0"/>
            </w:pPr>
            <w:r>
              <w:rPr>
                <w:sz w:val="20"/>
              </w:rPr>
              <w:t xml:space="preserve">11. Субсидии предоставляются на реализацию проектов социально ориентированных некоммерческих организаций, созданных в соответствии с </w:t>
            </w:r>
            <w:hyperlink w:history="0" r:id="rId17" w:tooltip="Федеральный закон от 12.01.1996 N 7-ФЗ (ред. от 13.12.2024, с изм. от 23.11.2007)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положениям </w:t>
            </w:r>
            <w:hyperlink w:history="0" r:id="rId18" w:tooltip="Федеральный закон от 12.01.1996 N 7-ФЗ (ред. от 13.12.2024, с изм. от 23.11.2007) &quot;О некоммерческих организациях&quot; {КонсультантПлюс}">
              <w:r>
                <w:rPr>
                  <w:sz w:val="20"/>
                  <w:color w:val="0000ff"/>
                </w:rPr>
                <w:t xml:space="preserve">статьи 31.1</w:t>
              </w:r>
            </w:hyperlink>
            <w:r>
              <w:rPr>
                <w:sz w:val="20"/>
              </w:rPr>
              <w:t xml:space="preserve"> Федерального закона.</w:t>
            </w:r>
          </w:p>
          <w:p>
            <w:pPr>
              <w:pStyle w:val="0"/>
            </w:pPr>
            <w:r>
              <w:rPr>
                <w:sz w:val="20"/>
              </w:rPr>
              <w:t xml:space="preserve">12. Организация осуществляет деятельность в Кабардино-Балкарской Республике.</w:t>
            </w:r>
          </w:p>
          <w:p>
            <w:pPr>
              <w:pStyle w:val="0"/>
            </w:pPr>
            <w:r>
              <w:rPr>
                <w:sz w:val="20"/>
              </w:rPr>
              <w:t xml:space="preserve">13.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 рабочих дней со дня представления получателем субсидии в территориальный орган Федерального казначейства или финансовый орган распоряжения о совершении казначейских платежей для оплаты денежного обязательства получателя субсидии.</w:t>
            </w:r>
          </w:p>
          <w:p>
            <w:pPr>
              <w:pStyle w:val="0"/>
            </w:pPr>
            <w:r>
              <w:rPr>
                <w:sz w:val="20"/>
              </w:rPr>
              <w:t xml:space="preserve">14.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 государственных корпораций; государственных компаний; политических партий; государственных учреждений; муниципальных учреждений;</w:t>
            </w:r>
          </w:p>
          <w:p>
            <w:pPr>
              <w:pStyle w:val="0"/>
            </w:pPr>
            <w:r>
              <w:rPr>
                <w:sz w:val="20"/>
              </w:rPr>
              <w:t xml:space="preserve">общественных объединений, не являющиеся юридическими лицами; 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 саморегулируемых организаций; объединений работодателей; объединений кооперативов; 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 адвокатских палат; адвокатских образований; 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 микрофинансовых организаций; личных фондов</w:t>
            </w:r>
          </w:p>
        </w:tc>
      </w:tr>
      <w:tr>
        <w:tc>
          <w:tcPr>
            <w:tcW w:w="4252" w:type="dxa"/>
          </w:tcPr>
          <w:p>
            <w:pPr>
              <w:pStyle w:val="0"/>
            </w:pPr>
            <w:r>
              <w:rPr>
                <w:sz w:val="20"/>
              </w:rPr>
              <w:t xml:space="preserve">Порядок расчета размера субсидии с учетом положений </w:t>
            </w:r>
            <w:hyperlink w:history="0" r:id="rId19"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пунктов 14</w:t>
              </w:r>
            </w:hyperlink>
            <w:r>
              <w:rPr>
                <w:sz w:val="20"/>
              </w:rPr>
              <w:t xml:space="preserve"> и </w:t>
            </w:r>
            <w:hyperlink w:history="0" r:id="rId20"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15</w:t>
              </w:r>
            </w:hyperlink>
            <w:r>
              <w:rPr>
                <w:sz w:val="20"/>
              </w:rPr>
              <w:t xml:space="preserve"> Правил N 1780</w:t>
            </w:r>
          </w:p>
        </w:tc>
        <w:tc>
          <w:tcPr>
            <w:tcW w:w="4819" w:type="dxa"/>
          </w:tcPr>
          <w:p>
            <w:pPr>
              <w:pStyle w:val="0"/>
            </w:pPr>
            <w:r>
              <w:rPr>
                <w:sz w:val="20"/>
              </w:rPr>
              <w:t xml:space="preserve">Проводится проверка проектов, представленных участниками конкурса, допущенными к участию в конкурсе.</w:t>
            </w:r>
          </w:p>
          <w:p>
            <w:pPr>
              <w:pStyle w:val="0"/>
            </w:pPr>
            <w:r>
              <w:rPr>
                <w:sz w:val="20"/>
              </w:rPr>
              <w:t xml:space="preserve">В ходе проверки конкурсной комиссией осуществляется оценка заявок участников конкурса по вышеуказанным критериям.</w:t>
            </w:r>
          </w:p>
          <w:p>
            <w:pPr>
              <w:pStyle w:val="0"/>
            </w:pPr>
            <w:r>
              <w:rPr>
                <w:sz w:val="20"/>
              </w:rPr>
              <w:t xml:space="preserve">Конкурсная комиссия рассматривает заявки с учетом их предварительного рейтинга, определяемого по результатам проведенной экспертной оценки заявок.</w:t>
            </w:r>
          </w:p>
          <w:p>
            <w:pPr>
              <w:pStyle w:val="0"/>
            </w:pPr>
            <w:r>
              <w:rPr>
                <w:sz w:val="20"/>
              </w:rPr>
              <w:t xml:space="preserve">Конкурсная комиссия определяет рейтинг каждой заявки с присвоением порядковых номеров заявкам участников конкурса.</w:t>
            </w:r>
          </w:p>
          <w:p>
            <w:pPr>
              <w:pStyle w:val="0"/>
            </w:pPr>
            <w:r>
              <w:rPr>
                <w:sz w:val="20"/>
              </w:rPr>
              <w:t xml:space="preserve">По результатам рассмотрения заявок на участие в конкурсе Конкурсная комиссия принимает решение о признании участников конкурса, набравших наибольшее количество баллов, победителями конкурса, и включении их в рейтинговый список победителей конкурса, включающий предложения по размерам субсидий, предоставляемых на реализацию каждого проекта.</w:t>
            </w:r>
          </w:p>
          <w:p>
            <w:pPr>
              <w:pStyle w:val="0"/>
            </w:pPr>
            <w:r>
              <w:rPr>
                <w:sz w:val="20"/>
              </w:rPr>
              <w:t xml:space="preserve">При равном количестве баллов по результатам конкурса у двух и более участников в конце рейтингового списка, победителем конкурса признается участник, подавший заявку в более ранние сроки.</w:t>
            </w:r>
          </w:p>
          <w:p>
            <w:pPr>
              <w:pStyle w:val="0"/>
            </w:pPr>
            <w:r>
              <w:rPr>
                <w:sz w:val="20"/>
              </w:rPr>
              <w:t xml:space="preserve">Конкурсная комиссия вправе предложить предоставить на реализацию проекта субсидию в меньшем размере, чем запрашиваемая сумма субсидии. При этом:</w:t>
            </w:r>
          </w:p>
          <w:p>
            <w:pPr>
              <w:pStyle w:val="0"/>
            </w:pPr>
            <w:r>
              <w:rPr>
                <w:sz w:val="20"/>
              </w:rPr>
              <w:t xml:space="preserve">- минимальный размер предоставляемого гранта составляет 200000,00 рублей;</w:t>
            </w:r>
          </w:p>
          <w:p>
            <w:pPr>
              <w:pStyle w:val="0"/>
            </w:pPr>
            <w:r>
              <w:rPr>
                <w:sz w:val="20"/>
              </w:rPr>
              <w:t xml:space="preserve">- максимальный размер предоставляемого гранта составляет 1500000,00 рублей.</w:t>
            </w:r>
          </w:p>
          <w:p>
            <w:pPr>
              <w:pStyle w:val="0"/>
            </w:pPr>
            <w:r>
              <w:rPr>
                <w:sz w:val="20"/>
              </w:rPr>
              <w:t xml:space="preserve">Максимальное количество победителей - 15, минимальное - 5</w:t>
            </w:r>
          </w:p>
        </w:tc>
      </w:tr>
      <w:tr>
        <w:tc>
          <w:tcPr>
            <w:tcW w:w="4252" w:type="dxa"/>
          </w:tcPr>
          <w:p>
            <w:pPr>
              <w:pStyle w:val="0"/>
            </w:pPr>
            <w:r>
              <w:rPr>
                <w:sz w:val="20"/>
              </w:rPr>
              <w:t xml:space="preserve">Понятия, используемые для целей решения о порядке предоставления субсидии (при необходимости)</w:t>
            </w:r>
          </w:p>
        </w:tc>
        <w:tc>
          <w:tcPr>
            <w:tcW w:w="4819" w:type="dxa"/>
          </w:tcPr>
          <w:p>
            <w:pPr>
              <w:pStyle w:val="0"/>
            </w:pPr>
            <w:r>
              <w:rPr>
                <w:sz w:val="20"/>
              </w:rPr>
              <w:t xml:space="preserve">Общественный проект (социально-культурный проект) - это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w:history="0" r:id="rId21" w:tooltip="Федеральный закон от 12.01.1996 N 7-ФЗ (ред. от 13.12.2024, с изм. от 23.11.2007) &quot;О некоммерческих организациях&quot; {КонсультантПлюс}">
              <w:r>
                <w:rPr>
                  <w:sz w:val="20"/>
                  <w:color w:val="0000ff"/>
                </w:rPr>
                <w:t xml:space="preserve">статьей 31.1</w:t>
              </w:r>
            </w:hyperlink>
            <w:r>
              <w:rPr>
                <w:sz w:val="20"/>
              </w:rPr>
              <w:t xml:space="preserve"> Федерального закона</w:t>
            </w:r>
          </w:p>
        </w:tc>
      </w:tr>
      <w:tr>
        <w:tc>
          <w:tcPr>
            <w:tcW w:w="4252" w:type="dxa"/>
          </w:tcPr>
          <w:p>
            <w:pPr>
              <w:pStyle w:val="0"/>
            </w:pPr>
            <w:r>
              <w:rPr>
                <w:sz w:val="20"/>
              </w:rPr>
              <w:t xml:space="preserve">Наименование отчетности, представляемой получателем субсидии, предусмотренной </w:t>
            </w:r>
            <w:hyperlink w:history="0" r:id="rId22"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4819" w:type="dxa"/>
          </w:tcPr>
          <w:p>
            <w:pPr>
              <w:pStyle w:val="0"/>
            </w:pPr>
            <w:r>
              <w:rPr>
                <w:sz w:val="20"/>
              </w:rPr>
              <w:t xml:space="preserve">Форма финансовой отчетности о расходах на реализацию проекта,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tc>
      </w:tr>
      <w:tr>
        <w:tc>
          <w:tcPr>
            <w:tcW w:w="4252"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2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4819" w:type="dxa"/>
          </w:tcPr>
          <w:p>
            <w:pPr>
              <w:pStyle w:val="0"/>
            </w:pPr>
            <w:r>
              <w:rPr>
                <w:sz w:val="20"/>
              </w:rPr>
              <w:t xml:space="preserve">Не предусмотрена</w:t>
            </w:r>
          </w:p>
        </w:tc>
      </w:tr>
      <w:tr>
        <w:tc>
          <w:tcPr>
            <w:tcW w:w="4252" w:type="dxa"/>
          </w:tcPr>
          <w:p>
            <w:pPr>
              <w:pStyle w:val="0"/>
            </w:pPr>
            <w:r>
              <w:rPr>
                <w:sz w:val="20"/>
              </w:rPr>
              <w:t xml:space="preserve">Направления расходов, определенные в соответствии с </w:t>
            </w:r>
            <w:hyperlink w:history="0" r:id="rId24"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r:id="rId25"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подпунктами "ж"</w:t>
              </w:r>
            </w:hyperlink>
            <w:r>
              <w:rPr>
                <w:sz w:val="20"/>
              </w:rPr>
              <w:t xml:space="preserve">, </w:t>
            </w:r>
            <w:hyperlink w:history="0" r:id="rId26"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"е" пункта 25</w:t>
              </w:r>
            </w:hyperlink>
            <w:r>
              <w:rPr>
                <w:sz w:val="20"/>
              </w:rPr>
              <w:t xml:space="preserve"> Правил N 1780,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tc>
        <w:tc>
          <w:tcPr>
            <w:tcW w:w="4819"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w:t>
            </w:r>
          </w:p>
          <w:p>
            <w:pPr>
              <w:pStyle w:val="0"/>
            </w:pPr>
            <w:r>
              <w:rPr>
                <w:sz w:val="20"/>
              </w:rPr>
              <w:t xml:space="preserve">оказание материальной помощи, а также платных услуг населению: реализацию мероприятий, предполагающих извлечение прибыли; расходы, связанные с осуществлением предпринимательской деятельности и оказанием помощи коммерческим организациям; расходы, связанные с осуществлением деятельности, напрямую не связанной с проектами, представленными на конкурс; расходы на поддержку политических партий и кампаний; расходы на проведение митингов, демонстраций, пикетирований; расходы на фундаментальные научные исследования; расходы на приобретение алкогольных напитков и табачной продукции; уплата штрафов;</w:t>
            </w:r>
          </w:p>
          <w:p>
            <w:pPr>
              <w:pStyle w:val="0"/>
            </w:pPr>
            <w:r>
              <w:rPr>
                <w:sz w:val="20"/>
              </w:rPr>
              <w:t xml:space="preserve">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w:t>
            </w:r>
          </w:p>
          <w:p>
            <w:pPr>
              <w:pStyle w:val="0"/>
            </w:pPr>
            <w:r>
              <w:rPr>
                <w:sz w:val="20"/>
              </w:rPr>
              <w:t xml:space="preserve">расходы на приобретение транспорта, за исключением случая решения конкурсной комиссии</w:t>
            </w:r>
          </w:p>
        </w:tc>
      </w:tr>
      <w:tr>
        <w:tc>
          <w:tcPr>
            <w:tcW w:w="4252" w:type="dxa"/>
          </w:tcPr>
          <w:p>
            <w:pPr>
              <w:pStyle w:val="0"/>
            </w:pPr>
            <w:r>
              <w:rPr>
                <w:sz w:val="20"/>
              </w:rPr>
              <w:t xml:space="preserve">Наименование операций, для осуществления которых получатель субсидии приобретает за счет средств субсидии иностранную валюту (при необходимости)</w:t>
            </w:r>
          </w:p>
        </w:tc>
        <w:tc>
          <w:tcPr>
            <w:tcW w:w="4819" w:type="dxa"/>
          </w:tcPr>
          <w:p>
            <w:pPr>
              <w:pStyle w:val="0"/>
            </w:pPr>
            <w:r>
              <w:rPr>
                <w:sz w:val="20"/>
              </w:rPr>
              <w:t xml:space="preserve">Не предусмотрены</w:t>
            </w:r>
          </w:p>
        </w:tc>
      </w:tr>
      <w:tr>
        <w:tc>
          <w:tcPr>
            <w:tcW w:w="4252" w:type="dxa"/>
          </w:tcPr>
          <w:p>
            <w:pPr>
              <w:pStyle w:val="0"/>
            </w:pPr>
            <w:r>
              <w:rPr>
                <w:sz w:val="20"/>
              </w:rPr>
              <w:t xml:space="preserve">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r:id="rId27"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37</w:t>
              </w:r>
            </w:hyperlink>
            <w:r>
              <w:rPr>
                <w:sz w:val="20"/>
              </w:rPr>
              <w:t xml:space="preserve"> - </w:t>
            </w:r>
            <w:hyperlink w:history="0" r:id="rId28"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39</w:t>
              </w:r>
            </w:hyperlink>
            <w:r>
              <w:rPr>
                <w:sz w:val="20"/>
              </w:rPr>
              <w:t xml:space="preserve"> Правил N 1780 (при необходимости)</w:t>
            </w:r>
          </w:p>
        </w:tc>
        <w:tc>
          <w:tcPr>
            <w:tcW w:w="4819" w:type="dxa"/>
          </w:tcPr>
          <w:p>
            <w:pPr>
              <w:pStyle w:val="0"/>
            </w:pPr>
            <w:r>
              <w:rPr>
                <w:sz w:val="20"/>
              </w:rPr>
              <w:t xml:space="preserve">Не предусмотрен</w:t>
            </w:r>
          </w:p>
        </w:tc>
      </w:tr>
      <w:tr>
        <w:tc>
          <w:tcPr>
            <w:tcW w:w="4252" w:type="dxa"/>
          </w:tcPr>
          <w:p>
            <w:pPr>
              <w:pStyle w:val="0"/>
            </w:pPr>
            <w:r>
              <w:rPr>
                <w:sz w:val="20"/>
              </w:rPr>
              <w:t xml:space="preserve">Штрафные санкции, определенные в соответствии с </w:t>
            </w:r>
            <w:hyperlink w:history="0" r:id="rId29"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40</w:t>
              </w:r>
            </w:hyperlink>
            <w:r>
              <w:rPr>
                <w:sz w:val="20"/>
              </w:rPr>
              <w:t xml:space="preserve"> Правил N 1780 (при необходимости)</w:t>
            </w:r>
          </w:p>
        </w:tc>
        <w:tc>
          <w:tcPr>
            <w:tcW w:w="4819" w:type="dxa"/>
          </w:tcPr>
          <w:p>
            <w:pPr>
              <w:pStyle w:val="0"/>
            </w:pPr>
            <w:r>
              <w:rPr>
                <w:sz w:val="20"/>
              </w:rPr>
              <w:t xml:space="preserve">Субсидии подлежат возврату в случае нарушения организацией условий, установленных при их предоставлении, выявленного по фактам проверок, проведенных главным распорядителем или органами государственного финансового контроля</w:t>
            </w:r>
          </w:p>
        </w:tc>
      </w:tr>
      <w:tr>
        <w:tc>
          <w:tcPr>
            <w:tcW w:w="4252" w:type="dxa"/>
          </w:tcPr>
          <w:p>
            <w:pPr>
              <w:pStyle w:val="0"/>
            </w:pPr>
            <w:r>
              <w:rPr>
                <w:sz w:val="20"/>
              </w:rPr>
              <w:t xml:space="preserve">Необходимость внедрения современных технологий, включая решения на базе искусственного интеллекта (в отношении субсидий, предусмотренных </w:t>
            </w:r>
            <w:hyperlink w:history="0" r:id="rId30"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69</w:t>
              </w:r>
            </w:hyperlink>
            <w:r>
              <w:rPr>
                <w:sz w:val="20"/>
              </w:rPr>
              <w:t xml:space="preserve"> Правил N 1780)</w:t>
            </w:r>
          </w:p>
        </w:tc>
        <w:tc>
          <w:tcPr>
            <w:tcW w:w="4819" w:type="dxa"/>
          </w:tcPr>
          <w:p>
            <w:pPr>
              <w:pStyle w:val="0"/>
            </w:pPr>
            <w:r>
              <w:rPr>
                <w:sz w:val="20"/>
              </w:rPr>
              <w:t xml:space="preserve">Не предусмотрена</w:t>
            </w:r>
          </w:p>
        </w:tc>
      </w:tr>
      <w:tr>
        <w:tc>
          <w:tcPr>
            <w:tcW w:w="4252" w:type="dxa"/>
          </w:tcPr>
          <w:p>
            <w:pPr>
              <w:pStyle w:val="0"/>
            </w:pPr>
            <w:r>
              <w:rPr>
                <w:sz w:val="20"/>
              </w:rPr>
              <w:t xml:space="preserve">Информация об условиях о казначейском сопровождении</w:t>
            </w:r>
          </w:p>
        </w:tc>
        <w:tc>
          <w:tcPr>
            <w:tcW w:w="4819" w:type="dxa"/>
          </w:tcPr>
          <w:p>
            <w:pPr>
              <w:pStyle w:val="0"/>
            </w:pPr>
            <w:r>
              <w:rPr>
                <w:sz w:val="20"/>
              </w:rPr>
              <w:t xml:space="preserve">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 рабочего дня со дня представления получателем субсидии в финансовый орган распоряжения о совершении казначейских платежей для оплаты денежного обязательства получателя субсидии</w:t>
            </w:r>
          </w:p>
        </w:tc>
      </w:tr>
      <w:tr>
        <w:tc>
          <w:tcPr>
            <w:tcW w:w="4252" w:type="dxa"/>
          </w:tcPr>
          <w:p>
            <w:pPr>
              <w:pStyle w:val="0"/>
            </w:pPr>
            <w:r>
              <w:rPr>
                <w:sz w:val="20"/>
              </w:rPr>
              <w:t xml:space="preserve">Иные условия, устанавливаемые в случае необходимости</w:t>
            </w:r>
          </w:p>
        </w:tc>
        <w:tc>
          <w:tcPr>
            <w:tcW w:w="4819" w:type="dxa"/>
          </w:tcPr>
          <w:p>
            <w:pPr>
              <w:pStyle w:val="0"/>
            </w:pPr>
            <w:r>
              <w:rPr>
                <w:sz w:val="20"/>
              </w:rPr>
              <w:t xml:space="preserve">Соглашение о предоставлении субсидии заключается в ГИИС "Электронный бюджет".</w:t>
            </w:r>
          </w:p>
          <w:p>
            <w:pPr>
              <w:pStyle w:val="0"/>
            </w:pPr>
            <w:r>
              <w:rPr>
                <w:sz w:val="20"/>
              </w:rPr>
              <w:t xml:space="preserve">Осуществление расходов, источником финансового обеспечения которых являются не использованные в отчетном финансовом году остатки субсидии, производится в случае принятия главным распорядителем решения о наличии потребности в указанных средствах в очередном финансовом году и включении таких положений в соглашение (договор) о предоставлении субсидии</w:t>
            </w:r>
          </w:p>
          <w:p>
            <w:pPr>
              <w:pStyle w:val="0"/>
            </w:pPr>
            <w:r>
              <w:rPr>
                <w:sz w:val="20"/>
              </w:rPr>
              <w:t xml:space="preserve">Не использованные в 2025 году остатки субсидии, в отношении которых главным распорядителем не принято решение о наличии потребности в очередном финансовом году, подлежат возврату в республиканский бюджет Кабардино-Балкарской Республики в течение первых 60 рабочих дней очередного финансового года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КБР от 12.02.2025 N 01-01/17</w:t>
            <w:br/>
            <w:t>"Об утверждении порядка предоставления субсидий из республиканского бюдж...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17199&amp;dst=102386" TargetMode = "External"/>
	<Relationship Id="rId8" Type="http://schemas.openxmlformats.org/officeDocument/2006/relationships/hyperlink" Target="https://login.consultant.ru/link/?req=doc&amp;base=LAW&amp;n=504334&amp;dst=2" TargetMode = "External"/>
	<Relationship Id="rId9" Type="http://schemas.openxmlformats.org/officeDocument/2006/relationships/hyperlink" Target="https://login.consultant.ru/link/?req=doc&amp;base=LAW&amp;n=504334&amp;dst=100131" TargetMode = "External"/>
	<Relationship Id="rId10" Type="http://schemas.openxmlformats.org/officeDocument/2006/relationships/hyperlink" Target="https://login.consultant.ru/link/?req=doc&amp;base=LAW&amp;n=491830&amp;dst=100021" TargetMode = "External"/>
	<Relationship Id="rId11" Type="http://schemas.openxmlformats.org/officeDocument/2006/relationships/hyperlink" Target="https://login.consultant.ru/link/?req=doc&amp;base=LAW&amp;n=503620&amp;dst=7156" TargetMode = "External"/>
	<Relationship Id="rId12" Type="http://schemas.openxmlformats.org/officeDocument/2006/relationships/hyperlink" Target="https://login.consultant.ru/link/?req=doc&amp;base=LAW&amp;n=504334&amp;dst=100382" TargetMode = "External"/>
	<Relationship Id="rId13" Type="http://schemas.openxmlformats.org/officeDocument/2006/relationships/hyperlink" Target="https://login.consultant.ru/link/?req=doc&amp;base=LAW&amp;n=504334&amp;dst=100125" TargetMode = "External"/>
	<Relationship Id="rId14" Type="http://schemas.openxmlformats.org/officeDocument/2006/relationships/hyperlink" Target="https://login.consultant.ru/link/?req=doc&amp;base=LAW&amp;n=503623" TargetMode = "External"/>
	<Relationship Id="rId15" Type="http://schemas.openxmlformats.org/officeDocument/2006/relationships/hyperlink" Target="https://login.consultant.ru/link/?req=doc&amp;base=LAW&amp;n=121087&amp;dst=100142" TargetMode = "External"/>
	<Relationship Id="rId16" Type="http://schemas.openxmlformats.org/officeDocument/2006/relationships/hyperlink" Target="https://login.consultant.ru/link/?req=doc&amp;base=LAW&amp;n=483130&amp;dst=5769" TargetMode = "External"/>
	<Relationship Id="rId17" Type="http://schemas.openxmlformats.org/officeDocument/2006/relationships/hyperlink" Target="https://login.consultant.ru/link/?req=doc&amp;base=LAW&amp;n=493282&amp;dst=666" TargetMode = "External"/>
	<Relationship Id="rId18" Type="http://schemas.openxmlformats.org/officeDocument/2006/relationships/hyperlink" Target="https://login.consultant.ru/link/?req=doc&amp;base=LAW&amp;n=493282&amp;dst=134" TargetMode = "External"/>
	<Relationship Id="rId19" Type="http://schemas.openxmlformats.org/officeDocument/2006/relationships/hyperlink" Target="https://login.consultant.ru/link/?req=doc&amp;base=LAW&amp;n=504334&amp;dst=100114" TargetMode = "External"/>
	<Relationship Id="rId20" Type="http://schemas.openxmlformats.org/officeDocument/2006/relationships/hyperlink" Target="https://login.consultant.ru/link/?req=doc&amp;base=LAW&amp;n=504334&amp;dst=100117" TargetMode = "External"/>
	<Relationship Id="rId21" Type="http://schemas.openxmlformats.org/officeDocument/2006/relationships/hyperlink" Target="https://login.consultant.ru/link/?req=doc&amp;base=LAW&amp;n=493282&amp;dst=134" TargetMode = "External"/>
	<Relationship Id="rId22" Type="http://schemas.openxmlformats.org/officeDocument/2006/relationships/hyperlink" Target="https://login.consultant.ru/link/?req=doc&amp;base=LAW&amp;n=504334&amp;dst=100176" TargetMode = "External"/>
	<Relationship Id="rId23" Type="http://schemas.openxmlformats.org/officeDocument/2006/relationships/hyperlink" Target="https://login.consultant.ru/link/?req=doc&amp;base=LAW&amp;n=504334&amp;dst=100112" TargetMode = "External"/>
	<Relationship Id="rId24" Type="http://schemas.openxmlformats.org/officeDocument/2006/relationships/hyperlink" Target="https://login.consultant.ru/link/?req=doc&amp;base=LAW&amp;n=504334&amp;dst=100153" TargetMode = "External"/>
	<Relationship Id="rId25" Type="http://schemas.openxmlformats.org/officeDocument/2006/relationships/hyperlink" Target="https://login.consultant.ru/link/?req=doc&amp;base=LAW&amp;n=504334&amp;dst=100159" TargetMode = "External"/>
	<Relationship Id="rId26" Type="http://schemas.openxmlformats.org/officeDocument/2006/relationships/hyperlink" Target="https://login.consultant.ru/link/?req=doc&amp;base=LAW&amp;n=504334&amp;dst=100158" TargetMode = "External"/>
	<Relationship Id="rId27" Type="http://schemas.openxmlformats.org/officeDocument/2006/relationships/hyperlink" Target="https://login.consultant.ru/link/?req=doc&amp;base=LAW&amp;n=504334&amp;dst=100388" TargetMode = "External"/>
	<Relationship Id="rId28" Type="http://schemas.openxmlformats.org/officeDocument/2006/relationships/hyperlink" Target="https://login.consultant.ru/link/?req=doc&amp;base=LAW&amp;n=504334&amp;dst=100196" TargetMode = "External"/>
	<Relationship Id="rId29" Type="http://schemas.openxmlformats.org/officeDocument/2006/relationships/hyperlink" Target="https://login.consultant.ru/link/?req=doc&amp;base=LAW&amp;n=504334&amp;dst=100201" TargetMode = "External"/>
	<Relationship Id="rId30" Type="http://schemas.openxmlformats.org/officeDocument/2006/relationships/hyperlink" Target="https://login.consultant.ru/link/?req=doc&amp;base=LAW&amp;n=504334&amp;dst=10033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КБР от 12.02.2025 N 01-01/17
"Об утверждении порядка предоставления субсидий из республиканского бюджета Кабардино-Балкарской Республики социально ориентированным некоммерческим организациям на реализацию общественно значимых проектов по основным направлениям отрасли культуры в Кабардино-Балкарской Республике в 2025 году"</dc:title>
  <dcterms:created xsi:type="dcterms:W3CDTF">2025-05-31T07:42:26Z</dcterms:created>
</cp:coreProperties>
</file>