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КБР от 04.03.2025 N 01-01/29</w:t>
              <w:br/>
              <w:t xml:space="preserve">"Об утверждении Порядка предоставления грантов некоммерческим организациям, не являющимся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КУЛЬТУРЫ 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4 марта 2025 г. N 01-01/29</w:t>
      </w:r>
    </w:p>
    <w:p>
      <w:pPr>
        <w:pStyle w:val="2"/>
        <w:jc w:val="center"/>
      </w:pPr>
      <w:r>
        <w:rPr>
          <w:sz w:val="20"/>
        </w:rPr>
      </w:r>
    </w:p>
    <w:p>
      <w:pPr>
        <w:pStyle w:val="2"/>
        <w:jc w:val="center"/>
      </w:pPr>
      <w:r>
        <w:rPr>
          <w:sz w:val="20"/>
        </w:rPr>
        <w:t xml:space="preserve">ОБ УТВЕРЖДЕНИИ ПОРЯДКА ПРЕДОСТАВЛЕНИЯ ГРАНТОВ</w:t>
      </w:r>
    </w:p>
    <w:p>
      <w:pPr>
        <w:pStyle w:val="2"/>
        <w:jc w:val="center"/>
      </w:pPr>
      <w:r>
        <w:rPr>
          <w:sz w:val="20"/>
        </w:rPr>
        <w:t xml:space="preserve">НЕКОММЕРЧЕСКИМ ОРГАНИЗАЦИЯМ, НЕ ЯВЛЯЮЩИМСЯ ГОСУДАРСТВЕННЫМИ</w:t>
      </w:r>
    </w:p>
    <w:p>
      <w:pPr>
        <w:pStyle w:val="2"/>
        <w:jc w:val="center"/>
      </w:pPr>
      <w:r>
        <w:rPr>
          <w:sz w:val="20"/>
        </w:rPr>
        <w:t xml:space="preserve">(МУНИЦИПАЛЬНЫМИ) УЧРЕЖДЕНИЯМИ, НА ФИНАНСОВОЕ ОБЕСПЕЧЕНИЕ</w:t>
      </w:r>
    </w:p>
    <w:p>
      <w:pPr>
        <w:pStyle w:val="2"/>
        <w:jc w:val="center"/>
      </w:pPr>
      <w:r>
        <w:rPr>
          <w:sz w:val="20"/>
        </w:rPr>
        <w:t xml:space="preserve">ЗАТРАТ ПО РЕАЛИЗАЦИИ ТВОРЧЕСКИХ ПРОЕКТОВ, НАПРАВЛЕННЫХ</w:t>
      </w:r>
    </w:p>
    <w:p>
      <w:pPr>
        <w:pStyle w:val="2"/>
        <w:jc w:val="center"/>
      </w:pPr>
      <w:r>
        <w:rPr>
          <w:sz w:val="20"/>
        </w:rPr>
        <w:t xml:space="preserve">НА УКРЕПЛЕНИЕ РОССИЙСКОЙ ГРАЖДАНСКОЙ ИДЕНТИЧНОСТИ</w:t>
      </w:r>
    </w:p>
    <w:p>
      <w:pPr>
        <w:pStyle w:val="2"/>
        <w:jc w:val="center"/>
      </w:pPr>
      <w:r>
        <w:rPr>
          <w:sz w:val="20"/>
        </w:rPr>
        <w:t xml:space="preserve">НА ОСНОВЕ ДУХОВНО-НРАВСТВЕННЫХ И КУЛЬТУРНЫХ</w:t>
      </w:r>
    </w:p>
    <w:p>
      <w:pPr>
        <w:pStyle w:val="2"/>
        <w:jc w:val="center"/>
      </w:pPr>
      <w:r>
        <w:rPr>
          <w:sz w:val="20"/>
        </w:rPr>
        <w:t xml:space="preserve">ЦЕННОСТЕЙ НАРОДОВ РОССИЙСКОЙ ФЕДЕРАЦИИ В 2025 ГОДУ</w:t>
      </w:r>
    </w:p>
    <w:p>
      <w:pPr>
        <w:pStyle w:val="0"/>
        <w:jc w:val="both"/>
      </w:pPr>
      <w:r>
        <w:rPr>
          <w:sz w:val="20"/>
        </w:rPr>
      </w:r>
    </w:p>
    <w:p>
      <w:pPr>
        <w:pStyle w:val="0"/>
        <w:ind w:firstLine="540"/>
        <w:jc w:val="both"/>
      </w:pPr>
      <w:r>
        <w:rPr>
          <w:sz w:val="20"/>
        </w:rPr>
        <w:t xml:space="preserve">В соответствии со </w:t>
      </w:r>
      <w:hyperlink w:history="0" r:id="rId7" w:tooltip="Закон Кабардино-Балкарской Республики от 07.02.2011 N 11-РЗ (ред. от 28.12.2024) &quot;О бюджетном устройстве и бюджетном процессе в Кабардино-Балкарской Республике&quot; (принят Парламентом КБР 16.12.2010) {КонсультантПлюс}">
        <w:r>
          <w:rPr>
            <w:sz w:val="20"/>
            <w:color w:val="0000ff"/>
          </w:rPr>
          <w:t xml:space="preserve">статьей 47-2</w:t>
        </w:r>
      </w:hyperlink>
      <w:r>
        <w:rPr>
          <w:sz w:val="20"/>
        </w:rPr>
        <w:t xml:space="preserve"> Закона Кабардино-Балкарской Республики от 7 февраля 2011 г. N 11-РЗ "О бюджетном устройстве и бюджетном процессе в Кабардино-Балкарской Республике", </w:t>
      </w:r>
      <w:hyperlink w:history="0" r:id="rId8"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1780, </w:t>
      </w:r>
      <w:hyperlink w:history="0" r:id="rId9"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1781 приказываю:</w:t>
      </w:r>
    </w:p>
    <w:p>
      <w:pPr>
        <w:pStyle w:val="0"/>
        <w:spacing w:before="200" w:line-rule="auto"/>
        <w:ind w:firstLine="540"/>
        <w:jc w:val="both"/>
      </w:pPr>
      <w:r>
        <w:rPr>
          <w:sz w:val="20"/>
        </w:rPr>
        <w:t xml:space="preserve">Утвердить прилагаемые:</w:t>
      </w:r>
    </w:p>
    <w:p>
      <w:pPr>
        <w:pStyle w:val="0"/>
        <w:spacing w:before="200" w:line-rule="auto"/>
        <w:ind w:firstLine="540"/>
        <w:jc w:val="both"/>
      </w:pPr>
      <w:hyperlink w:history="0" w:anchor="P32" w:tooltip="ПОРЯДОК">
        <w:r>
          <w:rPr>
            <w:sz w:val="20"/>
            <w:color w:val="0000ff"/>
          </w:rPr>
          <w:t xml:space="preserve">Порядок</w:t>
        </w:r>
      </w:hyperlink>
      <w:r>
        <w:rPr>
          <w:sz w:val="20"/>
        </w:rPr>
        <w:t xml:space="preserve"> предоставления грантов некоммерческим организациям, не являющимся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2025 году;</w:t>
      </w:r>
    </w:p>
    <w:p>
      <w:pPr>
        <w:pStyle w:val="0"/>
        <w:spacing w:before="200" w:line-rule="auto"/>
        <w:ind w:firstLine="540"/>
        <w:jc w:val="both"/>
      </w:pPr>
      <w:hyperlink w:history="0" w:anchor="P235" w:tooltip="СОСТАВ">
        <w:r>
          <w:rPr>
            <w:sz w:val="20"/>
            <w:color w:val="0000ff"/>
          </w:rPr>
          <w:t xml:space="preserve">состав</w:t>
        </w:r>
      </w:hyperlink>
      <w:r>
        <w:rPr>
          <w:sz w:val="20"/>
        </w:rPr>
        <w:t xml:space="preserve"> конкурсной комиссии по отбору некоммерческих организаций, не являющихся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2025 году.</w:t>
      </w:r>
    </w:p>
    <w:p>
      <w:pPr>
        <w:pStyle w:val="0"/>
        <w:jc w:val="both"/>
      </w:pPr>
      <w:r>
        <w:rPr>
          <w:sz w:val="20"/>
        </w:rPr>
      </w:r>
    </w:p>
    <w:p>
      <w:pPr>
        <w:pStyle w:val="0"/>
        <w:jc w:val="right"/>
      </w:pPr>
      <w:r>
        <w:rPr>
          <w:sz w:val="20"/>
        </w:rPr>
        <w:t xml:space="preserve">Министр</w:t>
      </w:r>
    </w:p>
    <w:p>
      <w:pPr>
        <w:pStyle w:val="0"/>
        <w:jc w:val="right"/>
      </w:pPr>
      <w:r>
        <w:rPr>
          <w:sz w:val="20"/>
        </w:rPr>
        <w:t xml:space="preserve">М.КУМАХОВ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Кабардино-Балкарской Республики</w:t>
      </w:r>
    </w:p>
    <w:p>
      <w:pPr>
        <w:pStyle w:val="0"/>
        <w:jc w:val="right"/>
      </w:pPr>
      <w:r>
        <w:rPr>
          <w:sz w:val="20"/>
        </w:rPr>
        <w:t xml:space="preserve">от 4 марта 2025 г. N 01-01/29</w:t>
      </w:r>
    </w:p>
    <w:p>
      <w:pPr>
        <w:pStyle w:val="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ПРЕДОСТАВЛЕНИЯ ГРАНТОВ НЕКОММЕРЧЕСКИМ ОРГАНИЗАЦИЯМ,</w:t>
      </w:r>
    </w:p>
    <w:p>
      <w:pPr>
        <w:pStyle w:val="2"/>
        <w:jc w:val="center"/>
      </w:pPr>
      <w:r>
        <w:rPr>
          <w:sz w:val="20"/>
        </w:rPr>
        <w:t xml:space="preserve">НЕ ЯВЛЯЮЩИМСЯ ГОСУДАРСТВЕННЫМИ (МУНИЦИПАЛЬНЫМИ)</w:t>
      </w:r>
    </w:p>
    <w:p>
      <w:pPr>
        <w:pStyle w:val="2"/>
        <w:jc w:val="center"/>
      </w:pPr>
      <w:r>
        <w:rPr>
          <w:sz w:val="20"/>
        </w:rPr>
        <w:t xml:space="preserve">УЧРЕЖДЕНИЯМИ, НА ФИНАНСОВОЕ ОБЕСПЕЧЕНИЕ ЗАТРАТ ПО РЕАЛИЗАЦИИ</w:t>
      </w:r>
    </w:p>
    <w:p>
      <w:pPr>
        <w:pStyle w:val="2"/>
        <w:jc w:val="center"/>
      </w:pPr>
      <w:r>
        <w:rPr>
          <w:sz w:val="20"/>
        </w:rPr>
        <w:t xml:space="preserve">ТВОРЧЕСКИХ ПРОЕКТОВ, НАПРАВЛЕННЫХ НА УКРЕПЛЕНИЕ РОССИЙСКОЙ</w:t>
      </w:r>
    </w:p>
    <w:p>
      <w:pPr>
        <w:pStyle w:val="2"/>
        <w:jc w:val="center"/>
      </w:pPr>
      <w:r>
        <w:rPr>
          <w:sz w:val="20"/>
        </w:rPr>
        <w:t xml:space="preserve">ГРАЖДАНСКОЙ ИДЕНТИЧНОСТИ НА ОСНОВЕ ДУХОВНО-НРАВСТВЕННЫХ</w:t>
      </w:r>
    </w:p>
    <w:p>
      <w:pPr>
        <w:pStyle w:val="2"/>
        <w:jc w:val="center"/>
      </w:pPr>
      <w:r>
        <w:rPr>
          <w:sz w:val="20"/>
        </w:rPr>
        <w:t xml:space="preserve">И КУЛЬТУРНЫХ ЦЕННОСТЕЙ НАРОДОВ РОССИЙСКОЙ ФЕДЕРАЦИИ</w:t>
      </w:r>
    </w:p>
    <w:p>
      <w:pPr>
        <w:pStyle w:val="2"/>
        <w:jc w:val="center"/>
      </w:pPr>
      <w:r>
        <w:rPr>
          <w:sz w:val="20"/>
        </w:rPr>
        <w:t xml:space="preserve">В 2025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55"/>
        <w:gridCol w:w="340"/>
        <w:gridCol w:w="4876"/>
      </w:tblGrid>
      <w:tr>
        <w:tc>
          <w:tcPr>
            <w:tcW w:w="3855" w:type="dxa"/>
          </w:tcPr>
          <w:p>
            <w:pPr>
              <w:pStyle w:val="0"/>
            </w:pPr>
            <w:r>
              <w:rPr>
                <w:sz w:val="20"/>
              </w:rPr>
              <w:t xml:space="preserve">Наименование главного распорядителя бюджетных средств</w:t>
            </w:r>
          </w:p>
        </w:tc>
        <w:tc>
          <w:tcPr>
            <w:tcW w:w="340" w:type="dxa"/>
          </w:tcPr>
          <w:p>
            <w:pPr>
              <w:pStyle w:val="0"/>
            </w:pPr>
            <w:r>
              <w:rPr>
                <w:sz w:val="20"/>
              </w:rPr>
            </w:r>
          </w:p>
        </w:tc>
        <w:tc>
          <w:tcPr>
            <w:tcW w:w="4876" w:type="dxa"/>
          </w:tcPr>
          <w:p>
            <w:pPr>
              <w:pStyle w:val="0"/>
            </w:pPr>
            <w:r>
              <w:rPr>
                <w:sz w:val="20"/>
              </w:rPr>
              <w:t xml:space="preserve">Министерство культуры Кабардино-Балкарской Республики (далее - Министерство)</w:t>
            </w:r>
          </w:p>
        </w:tc>
      </w:tr>
      <w:tr>
        <w:tc>
          <w:tcPr>
            <w:tcW w:w="3855" w:type="dxa"/>
          </w:tcPr>
          <w:p>
            <w:pPr>
              <w:pStyle w:val="0"/>
            </w:pPr>
            <w:r>
              <w:rPr>
                <w:sz w:val="20"/>
              </w:rPr>
              <w:t xml:space="preserve">Размещение информации о субсидии в сети "Интернет"</w:t>
            </w:r>
          </w:p>
        </w:tc>
        <w:tc>
          <w:tcPr>
            <w:tcW w:w="340" w:type="dxa"/>
          </w:tcPr>
          <w:p>
            <w:pPr>
              <w:pStyle w:val="0"/>
            </w:pPr>
            <w:r>
              <w:rPr>
                <w:sz w:val="20"/>
              </w:rPr>
            </w:r>
          </w:p>
        </w:tc>
        <w:tc>
          <w:tcPr>
            <w:tcW w:w="4876" w:type="dxa"/>
          </w:tcPr>
          <w:p>
            <w:pPr>
              <w:pStyle w:val="0"/>
            </w:pPr>
            <w:r>
              <w:rPr>
                <w:sz w:val="20"/>
              </w:rPr>
              <w:t xml:space="preserve">Информация о субсидиях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или на ином сайте в информационно-телекоммуникационной сети "Интернет"</w:t>
            </w:r>
          </w:p>
        </w:tc>
      </w:tr>
      <w:tr>
        <w:tc>
          <w:tcPr>
            <w:tcW w:w="3855" w:type="dxa"/>
          </w:tcPr>
          <w:p>
            <w:pPr>
              <w:pStyle w:val="0"/>
            </w:pPr>
            <w:r>
              <w:rPr>
                <w:sz w:val="20"/>
              </w:rPr>
              <w:t xml:space="preserve">Наименование бюджета бюджетной системы Российской Федерации, из которого предоставляется субсидия</w:t>
            </w:r>
          </w:p>
        </w:tc>
        <w:tc>
          <w:tcPr>
            <w:tcW w:w="340" w:type="dxa"/>
          </w:tcPr>
          <w:p>
            <w:pPr>
              <w:pStyle w:val="0"/>
            </w:pPr>
            <w:r>
              <w:rPr>
                <w:sz w:val="20"/>
              </w:rPr>
            </w:r>
          </w:p>
        </w:tc>
        <w:tc>
          <w:tcPr>
            <w:tcW w:w="4876" w:type="dxa"/>
          </w:tcPr>
          <w:p>
            <w:pPr>
              <w:pStyle w:val="0"/>
            </w:pPr>
            <w:r>
              <w:rPr>
                <w:sz w:val="20"/>
              </w:rPr>
              <w:t xml:space="preserve">Республиканский бюджет Кабардино-Балкарской Республики</w:t>
            </w:r>
          </w:p>
        </w:tc>
      </w:tr>
      <w:tr>
        <w:tc>
          <w:tcPr>
            <w:tcW w:w="3855" w:type="dxa"/>
          </w:tcPr>
          <w:p>
            <w:pPr>
              <w:pStyle w:val="0"/>
            </w:pPr>
            <w:r>
              <w:rPr>
                <w:sz w:val="20"/>
              </w:rPr>
              <w:t xml:space="preserve">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tc>
        <w:tc>
          <w:tcPr>
            <w:tcW w:w="340" w:type="dxa"/>
          </w:tcPr>
          <w:p>
            <w:pPr>
              <w:pStyle w:val="0"/>
            </w:pPr>
            <w:r>
              <w:rPr>
                <w:sz w:val="20"/>
              </w:rPr>
            </w:r>
          </w:p>
        </w:tc>
        <w:tc>
          <w:tcPr>
            <w:tcW w:w="4876" w:type="dxa"/>
          </w:tcPr>
          <w:p>
            <w:pPr>
              <w:pStyle w:val="0"/>
            </w:pPr>
            <w:r>
              <w:rPr>
                <w:sz w:val="20"/>
              </w:rPr>
              <w:t xml:space="preserve">Подпрограмма "Вовлечение граждан в деятельность в сфере культуры" государственной </w:t>
            </w:r>
            <w:hyperlink w:history="0" r:id="rId10" w:tooltip="Распоряжение Правительства КБР от 15.03.2024 N 152-рп (ред. от 18.03.2025) &lt;Об утверждении паспорта государственной программы Кабардино-Балкарской Республики &quot;Культура Кабардино-Балкарии&gt; (вместе с &quot;Паспортом комплекса процессных мероприятий &quot;Создание условий для развития библиотечного дела&quot;, &quot;Паспортом комплекса процессных мероприятий &quot;Создание условий для развития музейного дела&quot;, &quot;Паспортом комплекса процессных мероприятий &quot;Создание условий для развития искусства и творчества&quot;, &quot;Паспортом комплекса проце {КонсультантПлюс}">
              <w:r>
                <w:rPr>
                  <w:sz w:val="20"/>
                  <w:color w:val="0000ff"/>
                </w:rPr>
                <w:t xml:space="preserve">программы</w:t>
              </w:r>
            </w:hyperlink>
            <w:r>
              <w:rPr>
                <w:sz w:val="20"/>
              </w:rPr>
              <w:t xml:space="preserve"> Кабардино-Балкарской Республики "Культура Кабардино-Балкарии"</w:t>
            </w:r>
          </w:p>
        </w:tc>
      </w:tr>
      <w:tr>
        <w:tc>
          <w:tcPr>
            <w:tcW w:w="3855" w:type="dxa"/>
          </w:tcPr>
          <w:p>
            <w:pPr>
              <w:pStyle w:val="0"/>
            </w:pPr>
            <w:r>
              <w:rPr>
                <w:sz w:val="20"/>
              </w:rPr>
              <w:t xml:space="preserve">Наименование субсидии</w:t>
            </w:r>
          </w:p>
        </w:tc>
        <w:tc>
          <w:tcPr>
            <w:tcW w:w="340" w:type="dxa"/>
          </w:tcPr>
          <w:p>
            <w:pPr>
              <w:pStyle w:val="0"/>
            </w:pPr>
            <w:r>
              <w:rPr>
                <w:sz w:val="20"/>
              </w:rPr>
            </w:r>
          </w:p>
        </w:tc>
        <w:tc>
          <w:tcPr>
            <w:tcW w:w="4876" w:type="dxa"/>
          </w:tcPr>
          <w:p>
            <w:pPr>
              <w:pStyle w:val="0"/>
            </w:pPr>
            <w:r>
              <w:rPr>
                <w:sz w:val="20"/>
              </w:rPr>
              <w:t xml:space="preserve">Конкурсный отбор некоммерческих организаций, не являющихся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w:t>
            </w:r>
          </w:p>
        </w:tc>
      </w:tr>
      <w:tr>
        <w:tc>
          <w:tcPr>
            <w:tcW w:w="3855" w:type="dxa"/>
          </w:tcPr>
          <w:p>
            <w:pPr>
              <w:pStyle w:val="0"/>
            </w:pPr>
            <w:r>
              <w:rPr>
                <w:sz w:val="20"/>
              </w:rPr>
              <w:t xml:space="preserve">Критерий оценки проектов</w:t>
            </w:r>
          </w:p>
        </w:tc>
        <w:tc>
          <w:tcPr>
            <w:tcW w:w="340" w:type="dxa"/>
          </w:tcPr>
          <w:p>
            <w:pPr>
              <w:pStyle w:val="0"/>
            </w:pPr>
            <w:r>
              <w:rPr>
                <w:sz w:val="20"/>
              </w:rPr>
            </w:r>
          </w:p>
        </w:tc>
        <w:tc>
          <w:tcPr>
            <w:tcW w:w="4876" w:type="dxa"/>
          </w:tcPr>
          <w:p>
            <w:pPr>
              <w:pStyle w:val="0"/>
            </w:pPr>
            <w:r>
              <w:rPr>
                <w:sz w:val="20"/>
              </w:rPr>
              <w:t xml:space="preserve">Победителями конкурса признаются социально ориентированные некоммерческие организации, набравшие наибольшую итоговую сумму баллов, а также итоговую сумму баллов, равную или превышающую минимальную сумму баллов.</w:t>
            </w:r>
          </w:p>
          <w:p>
            <w:pPr>
              <w:pStyle w:val="0"/>
            </w:pPr>
            <w:r>
              <w:rPr>
                <w:sz w:val="20"/>
              </w:rPr>
              <w:t xml:space="preserve">Вес</w:t>
            </w:r>
          </w:p>
          <w:p>
            <w:pPr>
              <w:pStyle w:val="0"/>
            </w:pPr>
            <w:r>
              <w:rPr>
                <w:sz w:val="20"/>
              </w:rPr>
              <w:t xml:space="preserve">Максимальный: 1,00</w:t>
            </w:r>
          </w:p>
          <w:p>
            <w:pPr>
              <w:pStyle w:val="0"/>
            </w:pPr>
            <w:r>
              <w:rPr>
                <w:sz w:val="20"/>
              </w:rPr>
              <w:t xml:space="preserve">Контрольный: 1,00 Балл</w:t>
            </w:r>
          </w:p>
          <w:p>
            <w:pPr>
              <w:pStyle w:val="0"/>
            </w:pPr>
            <w:r>
              <w:rPr>
                <w:sz w:val="20"/>
              </w:rPr>
              <w:t xml:space="preserve">Проходной: 50,00</w:t>
            </w:r>
          </w:p>
          <w:p>
            <w:pPr>
              <w:pStyle w:val="0"/>
            </w:pPr>
            <w:r>
              <w:rPr>
                <w:sz w:val="20"/>
              </w:rPr>
              <w:t xml:space="preserve">Максимальный: 100,00</w:t>
            </w:r>
          </w:p>
          <w:p>
            <w:pPr>
              <w:pStyle w:val="0"/>
            </w:pPr>
            <w:r>
              <w:rPr>
                <w:sz w:val="20"/>
              </w:rPr>
              <w:t xml:space="preserve">Контрольный: 100,00</w:t>
            </w:r>
          </w:p>
          <w:p>
            <w:pPr>
              <w:pStyle w:val="0"/>
            </w:pPr>
            <w:r>
              <w:rPr>
                <w:sz w:val="20"/>
              </w:rPr>
              <w:t xml:space="preserve">Критерий N 1:</w:t>
            </w:r>
          </w:p>
          <w:p>
            <w:pPr>
              <w:pStyle w:val="0"/>
            </w:pPr>
            <w:r>
              <w:rPr>
                <w:sz w:val="20"/>
              </w:rPr>
              <w:t xml:space="preserve">Содержание проекта.</w:t>
            </w:r>
          </w:p>
          <w:p>
            <w:pPr>
              <w:pStyle w:val="0"/>
            </w:pPr>
            <w:r>
              <w:rPr>
                <w:sz w:val="20"/>
              </w:rPr>
              <w:t xml:space="preserve">Показатели (4):</w:t>
            </w:r>
          </w:p>
          <w:p>
            <w:pPr>
              <w:pStyle w:val="0"/>
            </w:pPr>
            <w:r>
              <w:rPr>
                <w:sz w:val="20"/>
              </w:rPr>
              <w:t xml:space="preserve">1) актуальность заявленной темы проекта - 0,25 баллов;</w:t>
            </w:r>
          </w:p>
          <w:p>
            <w:pPr>
              <w:pStyle w:val="0"/>
            </w:pPr>
            <w:r>
              <w:rPr>
                <w:sz w:val="20"/>
              </w:rPr>
              <w:t xml:space="preserve">2) соответствие проекта выбранной тематике - 0,25 баллов;</w:t>
            </w:r>
          </w:p>
          <w:p>
            <w:pPr>
              <w:pStyle w:val="0"/>
            </w:pPr>
            <w:r>
              <w:rPr>
                <w:sz w:val="20"/>
              </w:rPr>
              <w:t xml:space="preserve">3) перспектива развития и потенциал проекта - 0,25 баллов;</w:t>
            </w:r>
          </w:p>
          <w:p>
            <w:pPr>
              <w:pStyle w:val="0"/>
            </w:pPr>
            <w:r>
              <w:rPr>
                <w:sz w:val="20"/>
              </w:rPr>
              <w:t xml:space="preserve">4) уровень достижения характеристик результата, предусмотренный проектом - 0,25 баллов.</w:t>
            </w:r>
          </w:p>
          <w:p>
            <w:pPr>
              <w:pStyle w:val="0"/>
            </w:pPr>
            <w:r>
              <w:rPr>
                <w:sz w:val="20"/>
              </w:rPr>
              <w:t xml:space="preserve">Вес показателей: 1,00.</w:t>
            </w:r>
          </w:p>
          <w:p>
            <w:pPr>
              <w:pStyle w:val="0"/>
            </w:pPr>
            <w:r>
              <w:rPr>
                <w:sz w:val="20"/>
              </w:rPr>
              <w:t xml:space="preserve">Критерий N 2: Реализуемость проекта и его результативность.</w:t>
            </w:r>
          </w:p>
          <w:p>
            <w:pPr>
              <w:pStyle w:val="0"/>
            </w:pPr>
            <w:r>
              <w:rPr>
                <w:sz w:val="20"/>
              </w:rPr>
              <w:t xml:space="preserve">Показатели (2):</w:t>
            </w:r>
          </w:p>
          <w:p>
            <w:pPr>
              <w:pStyle w:val="0"/>
            </w:pPr>
            <w:r>
              <w:rPr>
                <w:sz w:val="20"/>
              </w:rPr>
              <w:t xml:space="preserve">1) обоснованность включенных расходов - 0,50 баллов;</w:t>
            </w:r>
          </w:p>
          <w:p>
            <w:pPr>
              <w:pStyle w:val="0"/>
            </w:pPr>
            <w:r>
              <w:rPr>
                <w:sz w:val="20"/>
              </w:rPr>
              <w:t xml:space="preserve">2) масштаб реализации проекта - 0,50 баллов. Вес показателей: 1,00</w:t>
            </w:r>
          </w:p>
        </w:tc>
      </w:tr>
      <w:tr>
        <w:tc>
          <w:tcPr>
            <w:tcW w:w="3855" w:type="dxa"/>
          </w:tcPr>
          <w:p>
            <w:pPr>
              <w:pStyle w:val="0"/>
            </w:pPr>
            <w:r>
              <w:rPr>
                <w:sz w:val="20"/>
              </w:rPr>
              <w:t xml:space="preserve">Цель предоставления субсидии</w:t>
            </w:r>
          </w:p>
        </w:tc>
        <w:tc>
          <w:tcPr>
            <w:tcW w:w="340" w:type="dxa"/>
          </w:tcPr>
          <w:p>
            <w:pPr>
              <w:pStyle w:val="0"/>
            </w:pPr>
            <w:r>
              <w:rPr>
                <w:sz w:val="20"/>
              </w:rPr>
            </w:r>
          </w:p>
        </w:tc>
        <w:tc>
          <w:tcPr>
            <w:tcW w:w="4876" w:type="dxa"/>
          </w:tcPr>
          <w:p>
            <w:pPr>
              <w:pStyle w:val="0"/>
            </w:pPr>
            <w:r>
              <w:rPr>
                <w:sz w:val="20"/>
              </w:rPr>
              <w:t xml:space="preserve">Выявление и поддержка лучших творческих проектов социально ориентированных некоммерческих организаций, направленных на решение задач социально-культурной сферы Кабардино-Балкарской Республики</w:t>
            </w:r>
          </w:p>
        </w:tc>
      </w:tr>
      <w:tr>
        <w:tc>
          <w:tcPr>
            <w:tcW w:w="3855" w:type="dxa"/>
          </w:tcPr>
          <w:p>
            <w:pPr>
              <w:pStyle w:val="0"/>
            </w:pPr>
            <w:r>
              <w:rPr>
                <w:sz w:val="20"/>
              </w:rPr>
              <w:t xml:space="preserve">Код классификации расходов соответствующего бюджета бюджетной системы Российской Федерации, по которому предусмотрены бюджетные ассигнования на предоставление субсидии (доведены лимиты бюджетных обязательств на предоставление субсидии) (с детализацией элемента вида расхода)</w:t>
            </w:r>
          </w:p>
        </w:tc>
        <w:tc>
          <w:tcPr>
            <w:tcW w:w="340" w:type="dxa"/>
          </w:tcPr>
          <w:p>
            <w:pPr>
              <w:pStyle w:val="0"/>
            </w:pPr>
            <w:r>
              <w:rPr>
                <w:sz w:val="20"/>
              </w:rPr>
            </w:r>
          </w:p>
        </w:tc>
        <w:tc>
          <w:tcPr>
            <w:tcW w:w="4876" w:type="dxa"/>
          </w:tcPr>
          <w:p>
            <w:pPr>
              <w:pStyle w:val="0"/>
            </w:pPr>
            <w:r>
              <w:rPr>
                <w:sz w:val="20"/>
              </w:rPr>
              <w:t xml:space="preserve">9570801112А260274632</w:t>
            </w:r>
          </w:p>
        </w:tc>
      </w:tr>
      <w:tr>
        <w:tc>
          <w:tcPr>
            <w:tcW w:w="3855" w:type="dxa"/>
          </w:tcPr>
          <w:p>
            <w:pPr>
              <w:pStyle w:val="0"/>
            </w:pPr>
            <w:r>
              <w:rPr>
                <w:sz w:val="20"/>
              </w:rPr>
              <w:t xml:space="preserve">Тип субсидии, определенный в соответствии с установленным Министерством финансов Российской Федерации порядком проведения мониторинга достижения результата предоставления субсидии (далее - порядок проведения мониторинга достижения результата)</w:t>
            </w:r>
          </w:p>
        </w:tc>
        <w:tc>
          <w:tcPr>
            <w:tcW w:w="340" w:type="dxa"/>
          </w:tcPr>
          <w:p>
            <w:pPr>
              <w:pStyle w:val="0"/>
            </w:pPr>
            <w:r>
              <w:rPr>
                <w:sz w:val="20"/>
              </w:rPr>
            </w:r>
          </w:p>
        </w:tc>
        <w:tc>
          <w:tcPr>
            <w:tcW w:w="4876" w:type="dxa"/>
          </w:tcPr>
          <w:p>
            <w:pPr>
              <w:pStyle w:val="0"/>
            </w:pPr>
            <w:r>
              <w:rPr>
                <w:sz w:val="20"/>
              </w:rPr>
              <w:t xml:space="preserve">Субсидии на оказание услуг (выполнение работ)</w:t>
            </w:r>
          </w:p>
        </w:tc>
      </w:tr>
      <w:tr>
        <w:tc>
          <w:tcPr>
            <w:tcW w:w="3855" w:type="dxa"/>
          </w:tcPr>
          <w:p>
            <w:pPr>
              <w:pStyle w:val="0"/>
            </w:pPr>
            <w:r>
              <w:rPr>
                <w:sz w:val="20"/>
              </w:rPr>
              <w:t xml:space="preserve">Тип результата предоставления субсидии, определенный в соответствии с порядком проведения мониторинга достижения результата</w:t>
            </w:r>
          </w:p>
        </w:tc>
        <w:tc>
          <w:tcPr>
            <w:tcW w:w="340" w:type="dxa"/>
          </w:tcPr>
          <w:p>
            <w:pPr>
              <w:pStyle w:val="0"/>
            </w:pPr>
            <w:r>
              <w:rPr>
                <w:sz w:val="20"/>
              </w:rPr>
            </w:r>
          </w:p>
        </w:tc>
        <w:tc>
          <w:tcPr>
            <w:tcW w:w="4876" w:type="dxa"/>
          </w:tcPr>
          <w:p>
            <w:pPr>
              <w:pStyle w:val="0"/>
            </w:pPr>
            <w:r>
              <w:rPr>
                <w:sz w:val="20"/>
              </w:rPr>
              <w:t xml:space="preserve">Оказание услуг (выполнение работ)</w:t>
            </w:r>
          </w:p>
        </w:tc>
      </w:tr>
      <w:tr>
        <w:tc>
          <w:tcPr>
            <w:tcW w:w="3855" w:type="dxa"/>
          </w:tcPr>
          <w:p>
            <w:pPr>
              <w:pStyle w:val="0"/>
            </w:pPr>
            <w:r>
              <w:rPr>
                <w:sz w:val="20"/>
              </w:rPr>
              <w:t xml:space="preserve">Код результата предоставления субсидии, определенного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tc>
        <w:tc>
          <w:tcPr>
            <w:tcW w:w="340" w:type="dxa"/>
          </w:tcPr>
          <w:p>
            <w:pPr>
              <w:pStyle w:val="0"/>
            </w:pPr>
            <w:r>
              <w:rPr>
                <w:sz w:val="20"/>
              </w:rPr>
            </w:r>
          </w:p>
        </w:tc>
        <w:tc>
          <w:tcPr>
            <w:tcW w:w="4876" w:type="dxa"/>
          </w:tcPr>
          <w:p>
            <w:pPr>
              <w:pStyle w:val="0"/>
            </w:pPr>
            <w:r>
              <w:rPr>
                <w:sz w:val="20"/>
              </w:rPr>
              <w:t xml:space="preserve">000114 Проведен конкурсный отбор общественных проектов для предоставления субсидий из республиканского бюджета Кабардино-Балкарской Республики</w:t>
            </w:r>
          </w:p>
        </w:tc>
      </w:tr>
      <w:tr>
        <w:tc>
          <w:tcPr>
            <w:tcW w:w="3855" w:type="dxa"/>
          </w:tcPr>
          <w:p>
            <w:pPr>
              <w:pStyle w:val="0"/>
            </w:pPr>
            <w:r>
              <w:rPr>
                <w:sz w:val="20"/>
              </w:rPr>
              <w:t xml:space="preserve">Способ предоставления субсидии (финансовое обеспечение затрат; возмещение недополученных доходов и (или) возмещение затрат)</w:t>
            </w:r>
          </w:p>
        </w:tc>
        <w:tc>
          <w:tcPr>
            <w:tcW w:w="340" w:type="dxa"/>
          </w:tcPr>
          <w:p>
            <w:pPr>
              <w:pStyle w:val="0"/>
            </w:pPr>
            <w:r>
              <w:rPr>
                <w:sz w:val="20"/>
              </w:rPr>
            </w:r>
          </w:p>
        </w:tc>
        <w:tc>
          <w:tcPr>
            <w:tcW w:w="4876" w:type="dxa"/>
          </w:tcPr>
          <w:p>
            <w:pPr>
              <w:pStyle w:val="0"/>
            </w:pPr>
            <w:r>
              <w:rPr>
                <w:sz w:val="20"/>
              </w:rPr>
              <w:t xml:space="preserve">Финансовое обеспечение затрат</w:t>
            </w:r>
          </w:p>
        </w:tc>
      </w:tr>
      <w:tr>
        <w:tc>
          <w:tcPr>
            <w:tcW w:w="3855" w:type="dxa"/>
          </w:tcPr>
          <w:p>
            <w:pPr>
              <w:pStyle w:val="0"/>
            </w:pPr>
            <w:r>
              <w:rPr>
                <w:sz w:val="20"/>
              </w:rPr>
              <w:t xml:space="preserve">Способ осуществления отбора получателей субсидии (запрос предложений или конкурс)</w:t>
            </w:r>
          </w:p>
        </w:tc>
        <w:tc>
          <w:tcPr>
            <w:tcW w:w="340" w:type="dxa"/>
          </w:tcPr>
          <w:p>
            <w:pPr>
              <w:pStyle w:val="0"/>
            </w:pPr>
            <w:r>
              <w:rPr>
                <w:sz w:val="20"/>
              </w:rPr>
            </w:r>
          </w:p>
        </w:tc>
        <w:tc>
          <w:tcPr>
            <w:tcW w:w="4876" w:type="dxa"/>
          </w:tcPr>
          <w:p>
            <w:pPr>
              <w:pStyle w:val="0"/>
            </w:pPr>
            <w:r>
              <w:rPr>
                <w:sz w:val="20"/>
              </w:rPr>
              <w:t xml:space="preserve">Конкурс</w:t>
            </w:r>
          </w:p>
        </w:tc>
      </w:tr>
      <w:tr>
        <w:tc>
          <w:tcPr>
            <w:tcW w:w="3855" w:type="dxa"/>
          </w:tcPr>
          <w:p>
            <w:pPr>
              <w:pStyle w:val="0"/>
            </w:pPr>
            <w:r>
              <w:rPr>
                <w:sz w:val="20"/>
              </w:rPr>
              <w:t xml:space="preserve">Требования, определенные в соответствии с </w:t>
            </w:r>
            <w:hyperlink w:history="0" r:id="rId11"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12"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1781, и в соответствии с </w:t>
            </w:r>
            <w:hyperlink w:history="0" r:id="rId13" w:tooltip="&quot;Бюджетный кодекс Российской Федерации&quot; от 31.07.1998 N 145-ФЗ (ред. от 21.04.2025) {КонсультантПлюс}">
              <w:r>
                <w:rPr>
                  <w:sz w:val="20"/>
                  <w:color w:val="0000ff"/>
                </w:rPr>
                <w:t xml:space="preserve">пунктом 4 статьи 78.5</w:t>
              </w:r>
            </w:hyperlink>
            <w:r>
              <w:rPr>
                <w:sz w:val="20"/>
              </w:rPr>
              <w:t xml:space="preserve"> Бюджетного кодекса Российской Федерации, а также получатели субсидии, определенные в соответствии с </w:t>
            </w:r>
            <w:hyperlink w:history="0" r:id="rId14"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w:t>
            </w:r>
            <w:hyperlink w:history="0" r:id="rId15"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абзацем третьим подпункта "а" пункта 18</w:t>
              </w:r>
            </w:hyperlink>
            <w:r>
              <w:rPr>
                <w:sz w:val="20"/>
              </w:rPr>
              <w:t xml:space="preserve"> Правил N 1780</w:t>
            </w:r>
          </w:p>
        </w:tc>
        <w:tc>
          <w:tcPr>
            <w:tcW w:w="340" w:type="dxa"/>
          </w:tcPr>
          <w:p>
            <w:pPr>
              <w:pStyle w:val="0"/>
            </w:pPr>
            <w:r>
              <w:rPr>
                <w:sz w:val="20"/>
              </w:rPr>
            </w:r>
          </w:p>
        </w:tc>
        <w:tc>
          <w:tcPr>
            <w:tcW w:w="4876" w:type="dxa"/>
          </w:tcPr>
          <w:p>
            <w:pPr>
              <w:pStyle w:val="0"/>
            </w:pPr>
            <w:r>
              <w:rPr>
                <w:sz w:val="20"/>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w:t>
            </w:r>
          </w:p>
          <w:p>
            <w:pPr>
              <w:pStyle w:val="0"/>
            </w:pPr>
            <w:r>
              <w:rPr>
                <w:sz w:val="20"/>
              </w:rPr>
              <w:t xml:space="preserve">муниципальных правовых актов), решений о порядке предоставления субсидии на цели, установленные решением о порядке предоставления субсидии,</w:t>
            </w:r>
          </w:p>
          <w:p>
            <w:pPr>
              <w:pStyle w:val="0"/>
            </w:pPr>
            <w:r>
              <w:rPr>
                <w:sz w:val="20"/>
              </w:rPr>
              <w:t xml:space="preserve">в целях определения получателей которой проводится отбор получателей субсидий.</w:t>
            </w:r>
          </w:p>
          <w:p>
            <w:pPr>
              <w:pStyle w:val="0"/>
            </w:pPr>
            <w:r>
              <w:rPr>
                <w:sz w:val="20"/>
              </w:rPr>
              <w:t xml:space="preserve">Участник отбора получателей субсидий не должен являться иностранным агентом в соответствии с Федеральным </w:t>
            </w:r>
            <w:hyperlink w:history="0" r:id="rId16"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pPr>
            <w:r>
              <w:rPr>
                <w:sz w:val="20"/>
              </w:rPr>
              <w:t xml:space="preserve">Участник отбора не находится в составляемых в рамках реализации полномочий, предусмотренных </w:t>
            </w:r>
            <w:hyperlink w:history="0" r:id="rId17"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У участника отбора получателей субсидий на едином налоговом счете должна отсутствовать или не превышать размер, определенный </w:t>
            </w:r>
            <w:hyperlink w:history="0" r:id="rId18"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1. В реестре дисквалифицированных лиц должны отсутствовать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2. Одна организация может подать только одну заявку для участия в одном конкурсе.</w:t>
            </w:r>
          </w:p>
          <w:p>
            <w:pPr>
              <w:pStyle w:val="0"/>
            </w:pPr>
            <w:r>
              <w:rPr>
                <w:sz w:val="20"/>
              </w:rPr>
              <w:t xml:space="preserve">3. Субсидии предоставляются на реализацию проектов социально ориентированных некоммерческих организаций, созданных в соответствии с </w:t>
            </w:r>
            <w:hyperlink w:history="0" r:id="rId19" w:tooltip="Федеральный закон от 12.01.1996 N 7-ФЗ (ред. от 13.12.2024, с изм. от 23.11.2007) &quot;О некоммерческих организациях&quot; {КонсультантПлюс}">
              <w:r>
                <w:rPr>
                  <w:sz w:val="20"/>
                  <w:color w:val="0000ff"/>
                </w:rPr>
                <w:t xml:space="preserve">пунктом 2.1 статьи 2</w:t>
              </w:r>
            </w:hyperlink>
            <w:r>
              <w:rPr>
                <w:sz w:val="20"/>
              </w:rPr>
              <w:t xml:space="preserve"> Федерального закона от 12 января 1996 года N 7-ФЗ "О некоммерческих организациях" (далее - Федеральный закон), в рамках осуществления ими уставной деятельности, соответствующей положениям </w:t>
            </w:r>
            <w:hyperlink w:history="0" r:id="rId20" w:tooltip="Федеральный закон от 12.01.1996 N 7-ФЗ (ред. от 13.12.2024, с изм. от 23.11.2007) &quot;О некоммерческих организациях&quot; {КонсультантПлюс}">
              <w:r>
                <w:rPr>
                  <w:sz w:val="20"/>
                  <w:color w:val="0000ff"/>
                </w:rPr>
                <w:t xml:space="preserve">статьи 31.1</w:t>
              </w:r>
            </w:hyperlink>
            <w:r>
              <w:rPr>
                <w:sz w:val="20"/>
              </w:rPr>
              <w:t xml:space="preserve"> Федерального закона.</w:t>
            </w:r>
          </w:p>
          <w:p>
            <w:pPr>
              <w:pStyle w:val="0"/>
            </w:pPr>
            <w:r>
              <w:rPr>
                <w:sz w:val="20"/>
              </w:rPr>
              <w:t xml:space="preserve">4. Организация осуществляет деятельность</w:t>
            </w:r>
          </w:p>
          <w:p>
            <w:pPr>
              <w:pStyle w:val="0"/>
            </w:pPr>
            <w:r>
              <w:rPr>
                <w:sz w:val="20"/>
              </w:rPr>
              <w:t xml:space="preserve">в Кабардино-Балкарской Республике.</w:t>
            </w:r>
          </w:p>
          <w:p>
            <w:pPr>
              <w:pStyle w:val="0"/>
            </w:pPr>
            <w:r>
              <w:rPr>
                <w:sz w:val="20"/>
              </w:rPr>
              <w:t xml:space="preserve">5.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 рабочих дней со дня представления получателем субсидии в территориальный орган Федерального казначейства или финансовый орган распоряжения о совершении казначейских платежей для оплаты денежного обязательства получателя субсидии.</w:t>
            </w:r>
          </w:p>
          <w:p>
            <w:pPr>
              <w:pStyle w:val="0"/>
            </w:pPr>
            <w:r>
              <w:rPr>
                <w:sz w:val="20"/>
              </w:rPr>
              <w:t xml:space="preserve">6. Участниками конкурса могут быть социально ориентированные некоммерческие организации, зарегистрированные в качестве юридического лица, за исключением: государственных корпораций; государственных компаний; политических партий;</w:t>
            </w:r>
          </w:p>
          <w:p>
            <w:pPr>
              <w:pStyle w:val="0"/>
            </w:pPr>
            <w:r>
              <w:rPr>
                <w:sz w:val="20"/>
              </w:rPr>
              <w:t xml:space="preserve">государственных учреждений;</w:t>
            </w:r>
          </w:p>
          <w:p>
            <w:pPr>
              <w:pStyle w:val="0"/>
            </w:pPr>
            <w:r>
              <w:rPr>
                <w:sz w:val="20"/>
              </w:rPr>
              <w:t xml:space="preserve">муниципальных учреждений;</w:t>
            </w:r>
          </w:p>
          <w:p>
            <w:pPr>
              <w:pStyle w:val="0"/>
            </w:pPr>
            <w:r>
              <w:rPr>
                <w:sz w:val="20"/>
              </w:rPr>
              <w:t xml:space="preserve">общественных объединений, не являющиеся юридическими лицами;</w:t>
            </w:r>
          </w:p>
          <w:p>
            <w:pPr>
              <w:pStyle w:val="0"/>
            </w:pPr>
            <w:r>
              <w:rPr>
                <w:sz w:val="20"/>
              </w:rPr>
              <w:t xml:space="preserve">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pPr>
            <w:r>
              <w:rPr>
                <w:sz w:val="20"/>
              </w:rPr>
              <w:t xml:space="preserve">саморегулируемых организаций;</w:t>
            </w:r>
          </w:p>
          <w:p>
            <w:pPr>
              <w:pStyle w:val="0"/>
            </w:pPr>
            <w:r>
              <w:rPr>
                <w:sz w:val="20"/>
              </w:rPr>
              <w:t xml:space="preserve">объединений работодателей;</w:t>
            </w:r>
          </w:p>
          <w:p>
            <w:pPr>
              <w:pStyle w:val="0"/>
            </w:pPr>
            <w:r>
              <w:rPr>
                <w:sz w:val="20"/>
              </w:rPr>
              <w:t xml:space="preserve">объединений кооперативов;</w:t>
            </w:r>
          </w:p>
          <w:p>
            <w:pPr>
              <w:pStyle w:val="0"/>
            </w:pPr>
            <w:r>
              <w:rPr>
                <w:sz w:val="20"/>
              </w:rPr>
              <w:t xml:space="preserve">торгово-промышленных палат;</w:t>
            </w:r>
          </w:p>
          <w:p>
            <w:pPr>
              <w:pStyle w:val="0"/>
            </w:pPr>
            <w:r>
              <w:rPr>
                <w:sz w:val="20"/>
              </w:rPr>
              <w:t xml:space="preserve">товариществ собственников недвижимости, к которым относятся в том числе товарищества собственников жилья;</w:t>
            </w:r>
          </w:p>
          <w:p>
            <w:pPr>
              <w:pStyle w:val="0"/>
            </w:pPr>
            <w:r>
              <w:rPr>
                <w:sz w:val="20"/>
              </w:rPr>
              <w:t xml:space="preserve">адвокатских палат; адвокатских образований; нотариальных палат;</w:t>
            </w:r>
          </w:p>
          <w:p>
            <w:pPr>
              <w:pStyle w:val="0"/>
            </w:pPr>
            <w:r>
              <w:rPr>
                <w:sz w:val="20"/>
              </w:rPr>
              <w:t xml:space="preserve">государственно-общественных и общественно-государственных организаций (объединений), их территориальных (структурных) подразделений (отделений), в том числе являющиеся отдельными юридическими лицами; микрофинансовых организаций;</w:t>
            </w:r>
          </w:p>
          <w:p>
            <w:pPr>
              <w:pStyle w:val="0"/>
            </w:pPr>
            <w:r>
              <w:rPr>
                <w:sz w:val="20"/>
              </w:rPr>
              <w:t xml:space="preserve">личных фондов</w:t>
            </w:r>
          </w:p>
        </w:tc>
      </w:tr>
      <w:tr>
        <w:tc>
          <w:tcPr>
            <w:tcW w:w="3855" w:type="dxa"/>
          </w:tcPr>
          <w:p>
            <w:pPr>
              <w:pStyle w:val="0"/>
            </w:pPr>
            <w:r>
              <w:rPr>
                <w:sz w:val="20"/>
              </w:rPr>
              <w:t xml:space="preserve">Порядок рассмотрения и оценки заявок, а также определения победителей отбора получателей субсидий</w:t>
            </w:r>
          </w:p>
        </w:tc>
        <w:tc>
          <w:tcPr>
            <w:tcW w:w="340" w:type="dxa"/>
          </w:tcPr>
          <w:p>
            <w:pPr>
              <w:pStyle w:val="0"/>
            </w:pPr>
            <w:r>
              <w:rPr>
                <w:sz w:val="20"/>
              </w:rPr>
            </w:r>
          </w:p>
        </w:tc>
        <w:tc>
          <w:tcPr>
            <w:tcW w:w="4876" w:type="dxa"/>
          </w:tcPr>
          <w:p>
            <w:pPr>
              <w:pStyle w:val="0"/>
            </w:pPr>
            <w:r>
              <w:rPr>
                <w:sz w:val="20"/>
              </w:rPr>
              <w:t xml:space="preserve">Не позднее одного рабочего дня, следующего за днем окончания срока подачи заявок, установленного в объявлении о проведении отбора получателей субсидий, в системе "Электронный бюджет" открывается доступ главному распорядителю бюджетных средств, а также в случае принятия решения, указанного в </w:t>
            </w:r>
            <w:hyperlink w:history="0" r:id="rId21"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10</w:t>
              </w:r>
            </w:hyperlink>
            <w:r>
              <w:rPr>
                <w:sz w:val="20"/>
              </w:rPr>
              <w:t xml:space="preserve"> Правила N 1781, комиссии к поданным участниками отбора получателей субсидий заявкам для их рассмотрения (в случае если получатель субсидии определяется по результатам запроса предложений) или рассмотрения и оценки (в случае если получатель субсидии определяется по результатам конкурса). Заявка признается надлежащей, если она соответствует требованиям, указанным в объявлении о проведении отбора получателей субсидий, и при отсутствии оснований для отклонения заявки.</w:t>
            </w:r>
          </w:p>
          <w:p>
            <w:pPr>
              <w:pStyle w:val="0"/>
            </w:pPr>
            <w:r>
              <w:rPr>
                <w:sz w:val="20"/>
              </w:rPr>
              <w:t xml:space="preserve">Решения о соответствии заявки требованиям, указанным в объявлении о проведении отбора получателей субсидий, принимаются главным распорядителем бюджетных средств или комиссией, в случае принятия решения о ее создании в целях проведения отбора получателей субсидий в соответствии с </w:t>
            </w:r>
            <w:hyperlink w:history="0" r:id="rId22"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10</w:t>
              </w:r>
            </w:hyperlink>
            <w:r>
              <w:rPr>
                <w:sz w:val="20"/>
              </w:rPr>
              <w:t xml:space="preserve"> Правила N 1781, на даты получения результатов проверки представленных участником отбора получателей субсидий информации и документов, поданных в составе заявки. На стадии рассмотрения заявки основаниями для отклонения заявки являются:</w:t>
            </w:r>
          </w:p>
          <w:p>
            <w:pPr>
              <w:pStyle w:val="0"/>
            </w:pPr>
            <w:r>
              <w:rPr>
                <w:sz w:val="20"/>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pPr>
            <w:r>
              <w:rPr>
                <w:sz w:val="20"/>
              </w:rPr>
              <w:t xml:space="preserve">б) непредставление (представление не в полном объеме) документов, указанных в объявлении о проведении отбора получателей субсидий;</w:t>
            </w:r>
          </w:p>
          <w:p>
            <w:pPr>
              <w:pStyle w:val="0"/>
            </w:pPr>
            <w:r>
              <w:rPr>
                <w:sz w:val="20"/>
              </w:rPr>
              <w:t xml:space="preserve">в) несоответствие представленных документов и (или) заявки требованиям, установленным в объявлении о проведении отбора получателей субсидий;</w:t>
            </w:r>
          </w:p>
          <w:p>
            <w:pPr>
              <w:pStyle w:val="0"/>
            </w:pPr>
            <w:r>
              <w:rPr>
                <w:sz w:val="20"/>
              </w:rPr>
              <w:t xml:space="preserve">г) недостоверность информации, содержащейся в документах, представленных в составе заявки.</w:t>
            </w:r>
          </w:p>
          <w:p>
            <w:pPr>
              <w:pStyle w:val="0"/>
            </w:pPr>
            <w:r>
              <w:rPr>
                <w:sz w:val="20"/>
              </w:rPr>
              <w:t xml:space="preserve">55. В случае если получатель субсидии определяется по результатам конкурса на стадии оценки заявок, основаниями для отклонения заявки являются:</w:t>
            </w:r>
          </w:p>
          <w:p>
            <w:pPr>
              <w:pStyle w:val="0"/>
            </w:pPr>
            <w:r>
              <w:rPr>
                <w:sz w:val="20"/>
              </w:rPr>
              <w:t xml:space="preserve">а) несоответствие участника отбора получателей субсидий требованиям, указанным в объявлении о проведении отбора получателей субсидий;</w:t>
            </w:r>
          </w:p>
          <w:p>
            <w:pPr>
              <w:pStyle w:val="0"/>
            </w:pPr>
            <w:r>
              <w:rPr>
                <w:sz w:val="20"/>
              </w:rPr>
              <w:t xml:space="preserve">б) недостоверность информации, содержащейся в документах, представленных в составе заявки</w:t>
            </w:r>
          </w:p>
        </w:tc>
      </w:tr>
      <w:tr>
        <w:tc>
          <w:tcPr>
            <w:tcW w:w="3855" w:type="dxa"/>
          </w:tcPr>
          <w:p>
            <w:pPr>
              <w:pStyle w:val="0"/>
            </w:pPr>
            <w:r>
              <w:rPr>
                <w:sz w:val="20"/>
              </w:rPr>
              <w:t xml:space="preserve">Требования, определенные в соответствии с </w:t>
            </w:r>
            <w:hyperlink w:history="0" r:id="rId23"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19</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(далее - Правила N 1780),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w:t>
            </w:r>
            <w:hyperlink w:history="0" r:id="rId24" w:tooltip="Постановление Правительства РФ от 25.10.2023 N 1781 (ред. от 25.11.2024) &quot;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Правилами</w:t>
              </w:r>
            </w:hyperlink>
            <w:r>
              <w:rPr>
                <w:sz w:val="20"/>
              </w:rPr>
              <w:t xml:space="preserve">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1781, и в соответствии с </w:t>
            </w:r>
            <w:hyperlink w:history="0" r:id="rId25" w:tooltip="&quot;Бюджетный кодекс Российской Федерации&quot; от 31.07.1998 N 145-ФЗ (ред. от 21.04.2025) {КонсультантПлюс}">
              <w:r>
                <w:rPr>
                  <w:sz w:val="20"/>
                  <w:color w:val="0000ff"/>
                </w:rPr>
                <w:t xml:space="preserve">пунктом 4 статьи 78.5</w:t>
              </w:r>
            </w:hyperlink>
            <w:r>
              <w:rPr>
                <w:sz w:val="20"/>
              </w:rPr>
              <w:t xml:space="preserve"> Бюджетного кодекса Российской Федерации, а также получатели субсидии, определенные в соответствии с </w:t>
            </w:r>
            <w:hyperlink w:history="0" r:id="rId26"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20</w:t>
              </w:r>
            </w:hyperlink>
            <w:r>
              <w:rPr>
                <w:sz w:val="20"/>
              </w:rPr>
              <w:t xml:space="preserve"> Правил N 1780, а также при необходимости информация, предусмотренная </w:t>
            </w:r>
            <w:hyperlink w:history="0" r:id="rId27"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абзацем третьим подпункта "а" пункта 18</w:t>
              </w:r>
            </w:hyperlink>
            <w:r>
              <w:rPr>
                <w:sz w:val="20"/>
              </w:rPr>
              <w:t xml:space="preserve"> Правил N 1780</w:t>
            </w:r>
          </w:p>
        </w:tc>
        <w:tc>
          <w:tcPr>
            <w:tcW w:w="340" w:type="dxa"/>
          </w:tcPr>
          <w:p>
            <w:pPr>
              <w:pStyle w:val="0"/>
            </w:pPr>
            <w:r>
              <w:rPr>
                <w:sz w:val="20"/>
              </w:rPr>
            </w:r>
          </w:p>
        </w:tc>
        <w:tc>
          <w:tcPr>
            <w:tcW w:w="4876" w:type="dxa"/>
          </w:tcPr>
          <w:p>
            <w:pPr>
              <w:pStyle w:val="0"/>
            </w:pPr>
            <w:r>
              <w:rPr>
                <w:sz w:val="20"/>
              </w:rPr>
              <w:t xml:space="preserve">Участник отбора получателей субсидий на даты рассмотрения заявки и заключения договора (соглашения) о предоставлении субсидии (далее - соглашение) должен соответствовать следующим требованиям:</w:t>
            </w:r>
          </w:p>
          <w:p>
            <w:pPr>
              <w:pStyle w:val="0"/>
            </w:pPr>
            <w:r>
              <w:rPr>
                <w:sz w:val="20"/>
              </w:rPr>
              <w:t xml:space="preserve">7. Участник отбора получателей субсидий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установлено законодательством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pPr>
            <w:r>
              <w:rPr>
                <w:sz w:val="20"/>
              </w:rPr>
              <w:t xml:space="preserve">8. Участник отбора получателей субсидий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pPr>
            <w:r>
              <w:rPr>
                <w:sz w:val="20"/>
              </w:rPr>
              <w:t xml:space="preserve">9. Участник отбора получателей субсидий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0"/>
            </w:pPr>
            <w:r>
              <w:rPr>
                <w:sz w:val="20"/>
              </w:rPr>
              <w:t xml:space="preserve">10. Участник отбора получателей субсидий не должен являться иностранным агентом в соответствии с Федеральным </w:t>
            </w:r>
            <w:hyperlink w:history="0" r:id="rId28" w:tooltip="Федеральный закон от 14.07.2022 N 255-ФЗ (ред. от 21.04.2025) &quot;О контроле за деятельностью лиц, находящихся под иностранным влиянием&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pPr>
            <w:r>
              <w:rPr>
                <w:sz w:val="20"/>
              </w:rPr>
              <w:t xml:space="preserve">11. Участник отбора не находится в составляемых в рамках реализации полномочий, предусмотренных </w:t>
            </w:r>
            <w:hyperlink w:history="0" r:id="rId29"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pPr>
            <w:r>
              <w:rPr>
                <w:sz w:val="20"/>
              </w:rPr>
              <w:t xml:space="preserve">12. У участника отбора получателей субсидий должны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pPr>
              <w:pStyle w:val="0"/>
            </w:pPr>
            <w:r>
              <w:rPr>
                <w:sz w:val="20"/>
              </w:rPr>
              <w:t xml:space="preserve">13. У участника отбора получателей субсидий на едином налоговом счете должна отсутствовать или не превышать размер, определенный </w:t>
            </w:r>
            <w:hyperlink w:history="0" r:id="rId30"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pPr>
            <w:r>
              <w:rPr>
                <w:sz w:val="20"/>
              </w:rPr>
              <w:t xml:space="preserve">14. Участник отбора получателей субсидий,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участником отбора получателей субсидий, другого юридического лица), ликвидации, в отношении него не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pPr>
              <w:pStyle w:val="0"/>
            </w:pPr>
            <w:r>
              <w:rPr>
                <w:sz w:val="20"/>
              </w:rPr>
              <w:t xml:space="preserve">15. 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 получателей субсидий;</w:t>
            </w:r>
          </w:p>
          <w:p>
            <w:pPr>
              <w:pStyle w:val="0"/>
            </w:pPr>
            <w:r>
              <w:rPr>
                <w:sz w:val="20"/>
              </w:rPr>
              <w:t xml:space="preserve">16. Одна организация может подать только одну заявку для участия в одном конкурсе.</w:t>
            </w:r>
          </w:p>
          <w:p>
            <w:pPr>
              <w:pStyle w:val="0"/>
            </w:pPr>
            <w:r>
              <w:rPr>
                <w:sz w:val="20"/>
              </w:rPr>
              <w:t xml:space="preserve">17. Субсидии предоставляются на реализацию проектов социально ориентированных некоммерческих организаций, созданных в соответствии с </w:t>
            </w:r>
            <w:hyperlink w:history="0" r:id="rId31" w:tooltip="Федеральный закон от 12.01.1996 N 7-ФЗ (ред. от 13.12.2024, с изм. от 23.11.2007) &quot;О некоммерческих организациях&quot; {КонсультантПлюс}">
              <w:r>
                <w:rPr>
                  <w:sz w:val="20"/>
                  <w:color w:val="0000ff"/>
                </w:rPr>
                <w:t xml:space="preserve">пунктом 2.1 статьи 2</w:t>
              </w:r>
            </w:hyperlink>
            <w:r>
              <w:rPr>
                <w:sz w:val="20"/>
              </w:rPr>
              <w:t xml:space="preserve"> Федерального закона от 12 января 1996 года N 7-ФЗ "О некоммерческих организациях" (далее - Федеральный закон), в рамках осуществления ими уставной деятельности, соответствующей положениям </w:t>
            </w:r>
            <w:hyperlink w:history="0" r:id="rId32" w:tooltip="Федеральный закон от 12.01.1996 N 7-ФЗ (ред. от 13.12.2024, с изм. от 23.11.2007) &quot;О некоммерческих организациях&quot; {КонсультантПлюс}">
              <w:r>
                <w:rPr>
                  <w:sz w:val="20"/>
                  <w:color w:val="0000ff"/>
                </w:rPr>
                <w:t xml:space="preserve">статьи 31.1</w:t>
              </w:r>
            </w:hyperlink>
            <w:r>
              <w:rPr>
                <w:sz w:val="20"/>
              </w:rPr>
              <w:t xml:space="preserve"> Федерального закона;</w:t>
            </w:r>
          </w:p>
          <w:p>
            <w:pPr>
              <w:pStyle w:val="0"/>
            </w:pPr>
            <w:r>
              <w:rPr>
                <w:sz w:val="20"/>
              </w:rPr>
              <w:t xml:space="preserve">18. Организация осуществляет деятельность в Кабардино-Балкарской Республике;</w:t>
            </w:r>
          </w:p>
          <w:p>
            <w:pPr>
              <w:pStyle w:val="0"/>
            </w:pPr>
            <w:r>
              <w:rPr>
                <w:sz w:val="20"/>
              </w:rPr>
              <w:t xml:space="preserve">19. Предоставляемая субсидия подлежит казначейскому сопровождению и перечисляется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не позднее 2 рабочего дня со дня представления в Министерство финансов Кабардино-Балкарской Республики распоряжения о совершении казначейских платежей для оплаты денежного обязательства получателя субсидии;</w:t>
            </w:r>
          </w:p>
          <w:p>
            <w:pPr>
              <w:pStyle w:val="0"/>
            </w:pPr>
            <w:r>
              <w:rPr>
                <w:sz w:val="20"/>
              </w:rPr>
              <w:t xml:space="preserve">20. Участниками конкурса могут быть социально ориентированные некоммерческие организации, зарегистрированные в качестве юридического лица, за исключением:</w:t>
            </w:r>
          </w:p>
          <w:p>
            <w:pPr>
              <w:pStyle w:val="0"/>
            </w:pPr>
            <w:r>
              <w:rPr>
                <w:sz w:val="20"/>
              </w:rPr>
              <w:t xml:space="preserve">государственных корпораций;</w:t>
            </w:r>
          </w:p>
          <w:p>
            <w:pPr>
              <w:pStyle w:val="0"/>
            </w:pPr>
            <w:r>
              <w:rPr>
                <w:sz w:val="20"/>
              </w:rPr>
              <w:t xml:space="preserve">государственных компаний;</w:t>
            </w:r>
          </w:p>
          <w:p>
            <w:pPr>
              <w:pStyle w:val="0"/>
            </w:pPr>
            <w:r>
              <w:rPr>
                <w:sz w:val="20"/>
              </w:rPr>
              <w:t xml:space="preserve">политических партий; государственных учреждений; муниципальных учреждений;</w:t>
            </w:r>
          </w:p>
          <w:p>
            <w:pPr>
              <w:pStyle w:val="0"/>
            </w:pPr>
            <w:r>
              <w:rPr>
                <w:sz w:val="20"/>
              </w:rPr>
              <w:t xml:space="preserve">общественных объединений, не являющиеся юридическими лицами;</w:t>
            </w:r>
          </w:p>
          <w:p>
            <w:pPr>
              <w:pStyle w:val="0"/>
            </w:pPr>
            <w:r>
              <w:rPr>
                <w:sz w:val="20"/>
              </w:rPr>
              <w:t xml:space="preserve">потребительских кооперативов, к которым относятся в том числе жилищные, жилищно-строительные и гаражные кооперативы, садоводческие, огороднические и дачные потребительские кооперативы, общества взаимного страхования, кредитные кооперативы, фонды проката, сельскохозяйственные потребительские кооперативы;</w:t>
            </w:r>
          </w:p>
          <w:p>
            <w:pPr>
              <w:pStyle w:val="0"/>
            </w:pPr>
            <w:r>
              <w:rPr>
                <w:sz w:val="20"/>
              </w:rPr>
              <w:t xml:space="preserve">саморегулируемых организаций;</w:t>
            </w:r>
          </w:p>
          <w:p>
            <w:pPr>
              <w:pStyle w:val="0"/>
            </w:pPr>
            <w:r>
              <w:rPr>
                <w:sz w:val="20"/>
              </w:rPr>
              <w:t xml:space="preserve">объединений работодателей;</w:t>
            </w:r>
          </w:p>
          <w:p>
            <w:pPr>
              <w:pStyle w:val="0"/>
            </w:pPr>
            <w:r>
              <w:rPr>
                <w:sz w:val="20"/>
              </w:rPr>
              <w:t xml:space="preserve">объединений кооперативов;</w:t>
            </w:r>
          </w:p>
          <w:p>
            <w:pPr>
              <w:pStyle w:val="0"/>
            </w:pPr>
            <w:r>
              <w:rPr>
                <w:sz w:val="20"/>
              </w:rPr>
              <w:t xml:space="preserve">торгово-промышленных палат;</w:t>
            </w:r>
          </w:p>
          <w:p>
            <w:pPr>
              <w:pStyle w:val="0"/>
            </w:pPr>
            <w:r>
              <w:rPr>
                <w:sz w:val="20"/>
              </w:rPr>
              <w:t xml:space="preserve">товариществ собственников недвижимости, к которым относятся в том числе товарищества собственников жилья;</w:t>
            </w:r>
          </w:p>
          <w:p>
            <w:pPr>
              <w:pStyle w:val="0"/>
            </w:pPr>
            <w:r>
              <w:rPr>
                <w:sz w:val="20"/>
              </w:rPr>
              <w:t xml:space="preserve">адвокатских палат;</w:t>
            </w:r>
          </w:p>
          <w:p>
            <w:pPr>
              <w:pStyle w:val="0"/>
            </w:pPr>
            <w:r>
              <w:rPr>
                <w:sz w:val="20"/>
              </w:rPr>
              <w:t xml:space="preserve">адвокатских образований; нотариальных палат;</w:t>
            </w:r>
          </w:p>
          <w:p>
            <w:pPr>
              <w:pStyle w:val="0"/>
            </w:pPr>
            <w:r>
              <w:rPr>
                <w:sz w:val="20"/>
              </w:rPr>
              <w:t xml:space="preserve">государственно-общественных и общественно-государственных организаций (объединений), их территориальных (структурных) подразделений (отделений), в том числе являющиеся отдельными юридическими лицами;</w:t>
            </w:r>
          </w:p>
          <w:p>
            <w:pPr>
              <w:pStyle w:val="0"/>
            </w:pPr>
            <w:r>
              <w:rPr>
                <w:sz w:val="20"/>
              </w:rPr>
              <w:t xml:space="preserve">микрофинансовых организаций;</w:t>
            </w:r>
          </w:p>
          <w:p>
            <w:pPr>
              <w:pStyle w:val="0"/>
            </w:pPr>
            <w:r>
              <w:rPr>
                <w:sz w:val="20"/>
              </w:rPr>
              <w:t xml:space="preserve">личных фондов.</w:t>
            </w:r>
          </w:p>
          <w:p>
            <w:pPr>
              <w:pStyle w:val="0"/>
            </w:pPr>
            <w:r>
              <w:rPr>
                <w:sz w:val="20"/>
              </w:rPr>
              <w:t xml:space="preserve">15. В состав заявки на участие в конкурсе включаются следующие документы:</w:t>
            </w:r>
          </w:p>
          <w:p>
            <w:pPr>
              <w:pStyle w:val="0"/>
            </w:pPr>
            <w:r>
              <w:rPr>
                <w:sz w:val="20"/>
              </w:rPr>
              <w:t xml:space="preserve">копия устава социально ориентированной некоммерческой организации, заверенная руководителем социально ориентированной некоммерческой организации, скрепленная печатью социально ориентированной некоммерческой организации;</w:t>
            </w:r>
          </w:p>
          <w:p>
            <w:pPr>
              <w:pStyle w:val="0"/>
            </w:pPr>
            <w:r>
              <w:rPr>
                <w:sz w:val="20"/>
              </w:rPr>
              <w:t xml:space="preserve">копия документа, подтверждающего полномочия руководителя социально ориентированной некоммерческой организации или уполномоченного представителя социально ориентированной некоммерческой организации, заверенная руководителем социально ориентированной некоммерческой организации, скрепленная печатью социально ориентированной некоммерческой организации;</w:t>
            </w:r>
          </w:p>
          <w:p>
            <w:pPr>
              <w:pStyle w:val="0"/>
            </w:pPr>
            <w:r>
              <w:rPr>
                <w:sz w:val="20"/>
              </w:rPr>
              <w:t xml:space="preserve">выписку из Единого государственного реестра юридических лиц, по состоянию на дату не ранее чем за один месяц до даты подачи заявления документов для предоставления субсидии;</w:t>
            </w:r>
          </w:p>
          <w:p>
            <w:pPr>
              <w:pStyle w:val="0"/>
            </w:pPr>
            <w:r>
              <w:rPr>
                <w:sz w:val="20"/>
              </w:rPr>
              <w:t xml:space="preserve">справки о соответствии требованиям, указанным в </w:t>
            </w:r>
            <w:hyperlink w:history="0" r:id="rId33"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пункте 18</w:t>
              </w:r>
            </w:hyperlink>
            <w:r>
              <w:rPr>
                <w:sz w:val="20"/>
              </w:rP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РФ от 25 октября 2023 г. N 1780.</w:t>
            </w:r>
          </w:p>
          <w:p>
            <w:pPr>
              <w:pStyle w:val="0"/>
            </w:pPr>
            <w:r>
              <w:rPr>
                <w:sz w:val="20"/>
              </w:rPr>
              <w:t xml:space="preserve">Если документы (в том числе информация), включенные в состав заявки на участие в конкурсе содержат персональные данные, в состав такой заявки должны быть включены согласия субъектов этих данных на их обработку, в том числе согласие на публикацию (размещение) в сети "Интернет" информации об участнике конкурса, о подаваемом участником конкурса заявке, иной информации об участнике конкурса, связанной с соответствующим конкурсом.</w:t>
            </w:r>
          </w:p>
          <w:p>
            <w:pPr>
              <w:pStyle w:val="0"/>
            </w:pPr>
            <w:r>
              <w:rPr>
                <w:sz w:val="20"/>
              </w:rPr>
              <w:t xml:space="preserve">В противном случае включение в состав заявки на участие в конкурсе информации, содержащей персональные данные, не допускается</w:t>
            </w:r>
          </w:p>
        </w:tc>
      </w:tr>
      <w:tr>
        <w:tc>
          <w:tcPr>
            <w:tcW w:w="3855" w:type="dxa"/>
          </w:tcPr>
          <w:p>
            <w:pPr>
              <w:pStyle w:val="0"/>
            </w:pPr>
            <w:r>
              <w:rPr>
                <w:sz w:val="20"/>
              </w:rPr>
              <w:t xml:space="preserve">Условия предоставления субсидии в порядке финансового обеспечения затрат в связи с производством (реализацией) товаров, выполнением работ, оказанием услуг согласно </w:t>
            </w:r>
            <w:hyperlink w:history="0" r:id="rId34"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Правилам</w:t>
              </w:r>
            </w:hyperlink>
            <w:r>
              <w:rPr>
                <w:sz w:val="20"/>
              </w:rPr>
              <w:t xml:space="preserve"> N 1780</w:t>
            </w:r>
          </w:p>
        </w:tc>
        <w:tc>
          <w:tcPr>
            <w:tcW w:w="340" w:type="dxa"/>
          </w:tcPr>
          <w:p>
            <w:pPr>
              <w:pStyle w:val="0"/>
            </w:pPr>
            <w:r>
              <w:rPr>
                <w:sz w:val="20"/>
              </w:rPr>
            </w:r>
          </w:p>
        </w:tc>
        <w:tc>
          <w:tcPr>
            <w:tcW w:w="4876" w:type="dxa"/>
          </w:tcPr>
          <w:p>
            <w:pPr>
              <w:pStyle w:val="0"/>
            </w:pPr>
            <w:r>
              <w:rPr>
                <w:sz w:val="20"/>
              </w:rPr>
              <w:t xml:space="preserve">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w:t>
            </w:r>
            <w:hyperlink w:history="0" r:id="rId35"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разделом III</w:t>
              </w:r>
            </w:hyperlink>
            <w:r>
              <w:rPr>
                <w:sz w:val="20"/>
              </w:rPr>
              <w:t xml:space="preserve"> Правил N 1780, определяющим общие условия и порядок предоставления субсидий, в соглашение включаются следующие условия предоставления субсидии:</w:t>
            </w:r>
          </w:p>
          <w:p>
            <w:pPr>
              <w:pStyle w:val="0"/>
            </w:pPr>
            <w:r>
              <w:rPr>
                <w:sz w:val="20"/>
              </w:rPr>
              <w:t xml:space="preserve">а) направления расходов, на финансовое обеспечение которых предоставляется субсидия, определенные решением о порядке предоставления субсидии;</w:t>
            </w:r>
          </w:p>
          <w:p>
            <w:pPr>
              <w:pStyle w:val="0"/>
            </w:pPr>
            <w:r>
              <w:rPr>
                <w:sz w:val="20"/>
              </w:rPr>
              <w:t xml:space="preserve">б)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w:t>
            </w:r>
            <w:hyperlink w:history="0" r:id="rId36"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36</w:t>
              </w:r>
            </w:hyperlink>
            <w:r>
              <w:rPr>
                <w:sz w:val="20"/>
              </w:rPr>
              <w:t xml:space="preserve"> Правил N 1780;</w:t>
            </w:r>
          </w:p>
          <w:p>
            <w:pPr>
              <w:pStyle w:val="0"/>
            </w:pPr>
            <w:r>
              <w:rPr>
                <w:sz w:val="20"/>
              </w:rPr>
              <w:t xml:space="preserve">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w:t>
            </w:r>
            <w:hyperlink w:history="0" r:id="rId37"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36</w:t>
              </w:r>
            </w:hyperlink>
            <w:r>
              <w:rPr>
                <w:sz w:val="20"/>
              </w:rPr>
              <w:t xml:space="preserve"> Правил N 1780;</w:t>
            </w:r>
          </w:p>
          <w:p>
            <w:pPr>
              <w:pStyle w:val="0"/>
            </w:pPr>
            <w:r>
              <w:rPr>
                <w:sz w:val="20"/>
              </w:rPr>
              <w:t xml:space="preserve">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Российской Федерации порядке решения о наличии потребности в указанных средствах или возврате указанных средств в бюджет при отсутствии в них потребности;</w:t>
            </w:r>
          </w:p>
          <w:p>
            <w:pPr>
              <w:pStyle w:val="0"/>
            </w:pPr>
            <w:r>
              <w:rPr>
                <w:sz w:val="20"/>
              </w:rPr>
              <w:t xml:space="preserve">д)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w:t>
            </w:r>
            <w:hyperlink w:history="0" r:id="rId38" w:tooltip="&quot;Бюджетный кодекс Российской Федерации&quot; от 31.07.1998 N 145-ФЗ (ред. от 21.04.2025) {КонсультантПлюс}">
              <w:r>
                <w:rPr>
                  <w:sz w:val="20"/>
                  <w:color w:val="0000ff"/>
                </w:rPr>
                <w:t xml:space="preserve">пунктом 5.1 статьи 78</w:t>
              </w:r>
            </w:hyperlink>
            <w:r>
              <w:rPr>
                <w:sz w:val="20"/>
              </w:rPr>
              <w:t xml:space="preserve"> Бюджетного кодекса Российской Федерации и </w:t>
            </w:r>
            <w:hyperlink w:history="0" r:id="rId39" w:tooltip="&quot;Бюджетный кодекс Российской Федерации&quot; от 31.07.1998 N 145-ФЗ (ред. от 21.04.2025) {КонсультантПлюс}">
              <w:r>
                <w:rPr>
                  <w:sz w:val="20"/>
                  <w:color w:val="0000ff"/>
                </w:rPr>
                <w:t xml:space="preserve">пунктом 3 статьи 78.1</w:t>
              </w:r>
            </w:hyperlink>
            <w:r>
              <w:rPr>
                <w:sz w:val="20"/>
              </w:rPr>
              <w:t xml:space="preserve"> Бюджетного кодекса Российской Федерации;</w:t>
            </w:r>
          </w:p>
          <w:p>
            <w:pPr>
              <w:pStyle w:val="0"/>
            </w:pPr>
            <w:r>
              <w:rPr>
                <w:sz w:val="20"/>
              </w:rPr>
              <w:t xml:space="preserve">е) казначейское сопровождение средств в случаях и порядке, которые установлены в соответствии с бюджетным законодательством Российской Федерации;</w:t>
            </w:r>
          </w:p>
          <w:p>
            <w:pPr>
              <w:pStyle w:val="0"/>
            </w:pPr>
            <w:r>
              <w:rPr>
                <w:sz w:val="20"/>
              </w:rPr>
              <w:t xml:space="preserve">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tc>
      </w:tr>
      <w:tr>
        <w:tc>
          <w:tcPr>
            <w:tcW w:w="3855" w:type="dxa"/>
          </w:tcPr>
          <w:p>
            <w:pPr>
              <w:pStyle w:val="0"/>
            </w:pPr>
            <w:r>
              <w:rPr>
                <w:sz w:val="20"/>
              </w:rPr>
              <w:t xml:space="preserve">Порядок расчета размера субсидии с учетом положений </w:t>
            </w:r>
            <w:hyperlink w:history="0" r:id="rId40"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пунктов 14</w:t>
              </w:r>
            </w:hyperlink>
            <w:r>
              <w:rPr>
                <w:sz w:val="20"/>
              </w:rPr>
              <w:t xml:space="preserve"> и </w:t>
            </w:r>
            <w:hyperlink w:history="0" r:id="rId41"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15</w:t>
              </w:r>
            </w:hyperlink>
            <w:r>
              <w:rPr>
                <w:sz w:val="20"/>
              </w:rPr>
              <w:t xml:space="preserve"> Правил N 1780</w:t>
            </w:r>
          </w:p>
        </w:tc>
        <w:tc>
          <w:tcPr>
            <w:tcW w:w="340" w:type="dxa"/>
          </w:tcPr>
          <w:p>
            <w:pPr>
              <w:pStyle w:val="0"/>
            </w:pPr>
            <w:r>
              <w:rPr>
                <w:sz w:val="20"/>
              </w:rPr>
            </w:r>
          </w:p>
        </w:tc>
        <w:tc>
          <w:tcPr>
            <w:tcW w:w="4876" w:type="dxa"/>
          </w:tcPr>
          <w:p>
            <w:pPr>
              <w:pStyle w:val="0"/>
            </w:pPr>
            <w:r>
              <w:rPr>
                <w:sz w:val="20"/>
              </w:rPr>
              <w:t xml:space="preserve">Конкурсная комиссия рассматривает заявки и определяет рейтинг каждой заявки с присвоением порядковых номеров заявкам участников конкурса. По результатам рассмотрения заявок на участие в конкурсе Конкурсная комиссия принимает решение о признании участников конкурса, набравших наибольшее количество баллов, победителями конкурса, и включении их в рейтинговый список победителей конкурса, включающий предложения по размерам субсидий, предоставляемых на реализацию каждого проекта.</w:t>
            </w:r>
          </w:p>
          <w:p>
            <w:pPr>
              <w:pStyle w:val="0"/>
            </w:pPr>
            <w:r>
              <w:rPr>
                <w:sz w:val="20"/>
              </w:rPr>
              <w:t xml:space="preserve">При равном количестве баллов по результатам конкурса у двух и более участников в конце рейтингового списка, победителем конкурса</w:t>
            </w:r>
          </w:p>
          <w:p>
            <w:pPr>
              <w:pStyle w:val="0"/>
            </w:pPr>
            <w:r>
              <w:rPr>
                <w:sz w:val="20"/>
              </w:rPr>
              <w:t xml:space="preserve">признается участник, подавший заявку в более ранние сроки. Конкурсная комиссия вправе предложить предоставить на реализацию проекта субсидию в меньшем размере, чем запрашиваемая сумма субсидии, но не менее 75% от запрашиваемой суммы субсидии. При этом:</w:t>
            </w:r>
          </w:p>
          <w:p>
            <w:pPr>
              <w:pStyle w:val="0"/>
            </w:pPr>
            <w:r>
              <w:rPr>
                <w:sz w:val="20"/>
              </w:rPr>
              <w:t xml:space="preserve">Общий объем субсидии, подлежащий распределению в рамках данного конкурсного отбора - 900000,00 рублей.</w:t>
            </w:r>
          </w:p>
          <w:p>
            <w:pPr>
              <w:pStyle w:val="0"/>
            </w:pPr>
            <w:r>
              <w:rPr>
                <w:sz w:val="20"/>
              </w:rPr>
              <w:t xml:space="preserve">минимальный размер предоставляемого гранта составляет 50000,00 рублей;</w:t>
            </w:r>
          </w:p>
          <w:p>
            <w:pPr>
              <w:pStyle w:val="0"/>
            </w:pPr>
            <w:r>
              <w:rPr>
                <w:sz w:val="20"/>
              </w:rPr>
              <w:t xml:space="preserve">максимальный размер предоставляемого гранта составляет 90000,00 рублей</w:t>
            </w:r>
          </w:p>
        </w:tc>
      </w:tr>
      <w:tr>
        <w:tc>
          <w:tcPr>
            <w:tcW w:w="3855" w:type="dxa"/>
          </w:tcPr>
          <w:p>
            <w:pPr>
              <w:pStyle w:val="0"/>
            </w:pPr>
            <w:r>
              <w:rPr>
                <w:sz w:val="20"/>
              </w:rPr>
              <w:t xml:space="preserve">Понятия, используемые для целей решения о порядке предоставления субсидии (при необходимости)</w:t>
            </w:r>
          </w:p>
        </w:tc>
        <w:tc>
          <w:tcPr>
            <w:tcW w:w="340" w:type="dxa"/>
          </w:tcPr>
          <w:p>
            <w:pPr>
              <w:pStyle w:val="0"/>
            </w:pPr>
            <w:r>
              <w:rPr>
                <w:sz w:val="20"/>
              </w:rPr>
            </w:r>
          </w:p>
        </w:tc>
        <w:tc>
          <w:tcPr>
            <w:tcW w:w="4876" w:type="dxa"/>
          </w:tcPr>
          <w:p>
            <w:pPr>
              <w:pStyle w:val="0"/>
            </w:pPr>
            <w:r>
              <w:rPr>
                <w:sz w:val="20"/>
              </w:rPr>
              <w:t xml:space="preserve">Общественный проект (социально-культурный проект) - это комплекс взаимосвязанных мероприятий, направленных на решение конкретных задач, соответствующих учредительным документам социально ориентированной некоммерческой организации и видам деятельности, предусмотренным </w:t>
            </w:r>
            <w:hyperlink w:history="0" r:id="rId42" w:tooltip="Федеральный закон от 12.01.1996 N 7-ФЗ (ред. от 13.12.2024, с изм. от 23.11.2007) &quot;О некоммерческих организациях&quot; {КонсультантПлюс}">
              <w:r>
                <w:rPr>
                  <w:sz w:val="20"/>
                  <w:color w:val="0000ff"/>
                </w:rPr>
                <w:t xml:space="preserve">статьей 31.1</w:t>
              </w:r>
            </w:hyperlink>
            <w:r>
              <w:rPr>
                <w:sz w:val="20"/>
              </w:rPr>
              <w:t xml:space="preserve"> Федерального закона</w:t>
            </w:r>
          </w:p>
        </w:tc>
      </w:tr>
      <w:tr>
        <w:tc>
          <w:tcPr>
            <w:tcW w:w="3855" w:type="dxa"/>
          </w:tcPr>
          <w:p>
            <w:pPr>
              <w:pStyle w:val="0"/>
            </w:pPr>
            <w:r>
              <w:rPr>
                <w:sz w:val="20"/>
              </w:rPr>
              <w:t xml:space="preserve">Наименование отчетности, представляемой получателем субсидии, предусмотренной </w:t>
            </w:r>
            <w:hyperlink w:history="0" r:id="rId43"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32</w:t>
              </w:r>
            </w:hyperlink>
            <w:r>
              <w:rPr>
                <w:sz w:val="20"/>
              </w:rPr>
              <w:t xml:space="preserve"> Правил N 1780 (при необходимости)</w:t>
            </w:r>
          </w:p>
        </w:tc>
        <w:tc>
          <w:tcPr>
            <w:tcW w:w="340" w:type="dxa"/>
          </w:tcPr>
          <w:p>
            <w:pPr>
              <w:pStyle w:val="0"/>
            </w:pPr>
            <w:r>
              <w:rPr>
                <w:sz w:val="20"/>
              </w:rPr>
            </w:r>
          </w:p>
        </w:tc>
        <w:tc>
          <w:tcPr>
            <w:tcW w:w="4876" w:type="dxa"/>
          </w:tcPr>
          <w:p>
            <w:pPr>
              <w:pStyle w:val="0"/>
            </w:pPr>
            <w:r>
              <w:rPr>
                <w:sz w:val="20"/>
              </w:rPr>
              <w:t xml:space="preserve">Форма финансовой отчетности о расходах на реализацию проекта, источником финансового обеспечения которых является субсидия.</w:t>
            </w:r>
          </w:p>
          <w:p>
            <w:pPr>
              <w:pStyle w:val="0"/>
            </w:pPr>
            <w:r>
              <w:rPr>
                <w:sz w:val="20"/>
              </w:rPr>
              <w:t xml:space="preserve">Форма отчетности о реализации проекта, источником финансового обеспечения которых является субсидия.</w:t>
            </w:r>
          </w:p>
          <w:p>
            <w:pPr>
              <w:pStyle w:val="0"/>
            </w:pPr>
            <w:r>
              <w:rPr>
                <w:sz w:val="20"/>
              </w:rPr>
              <w:t xml:space="preserve">Отчеты размещаются на едином портале бюджетной системы Российской Федерации в информационно-телекоммуникационной сети "Интернет"</w:t>
            </w:r>
          </w:p>
        </w:tc>
      </w:tr>
      <w:tr>
        <w:tc>
          <w:tcPr>
            <w:tcW w:w="3855" w:type="dxa"/>
          </w:tcPr>
          <w:p>
            <w:pPr>
              <w:pStyle w:val="0"/>
            </w:pPr>
            <w:r>
              <w:rPr>
                <w:sz w:val="20"/>
              </w:rPr>
              <w:t xml:space="preserve">Информация о возможности заключения соглашения о предоставлении субсидии с иным юридическим лицом в соответствии с </w:t>
            </w:r>
            <w:hyperlink w:history="0" r:id="rId44"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12</w:t>
              </w:r>
            </w:hyperlink>
            <w:r>
              <w:rPr>
                <w:sz w:val="20"/>
              </w:rPr>
              <w:t xml:space="preserve"> Правил N 1780</w:t>
            </w:r>
          </w:p>
        </w:tc>
        <w:tc>
          <w:tcPr>
            <w:tcW w:w="340" w:type="dxa"/>
          </w:tcPr>
          <w:p>
            <w:pPr>
              <w:pStyle w:val="0"/>
            </w:pPr>
            <w:r>
              <w:rPr>
                <w:sz w:val="20"/>
              </w:rPr>
            </w:r>
          </w:p>
        </w:tc>
        <w:tc>
          <w:tcPr>
            <w:tcW w:w="4876" w:type="dxa"/>
          </w:tcPr>
          <w:p>
            <w:pPr>
              <w:pStyle w:val="0"/>
            </w:pPr>
            <w:r>
              <w:rPr>
                <w:sz w:val="20"/>
              </w:rPr>
              <w:t xml:space="preserve">Не предусмотрена</w:t>
            </w:r>
          </w:p>
        </w:tc>
      </w:tr>
      <w:tr>
        <w:tc>
          <w:tcPr>
            <w:tcW w:w="3855" w:type="dxa"/>
          </w:tcPr>
          <w:p>
            <w:pPr>
              <w:pStyle w:val="0"/>
            </w:pPr>
            <w:r>
              <w:rPr>
                <w:sz w:val="20"/>
              </w:rPr>
              <w:t xml:space="preserve">Направления расходов, определенные в соответствии с </w:t>
            </w:r>
            <w:hyperlink w:history="0" r:id="rId45"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подпунктом "а" пункта 25</w:t>
              </w:r>
            </w:hyperlink>
            <w:r>
              <w:rPr>
                <w:sz w:val="20"/>
              </w:rPr>
              <w:t xml:space="preserve"> Правил N 1780,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history="0" r:id="rId46"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подпунктами "ж"</w:t>
              </w:r>
            </w:hyperlink>
            <w:r>
              <w:rPr>
                <w:sz w:val="20"/>
              </w:rPr>
              <w:t xml:space="preserve">, </w:t>
            </w:r>
            <w:hyperlink w:history="0" r:id="rId47"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"е" пункта 25</w:t>
              </w:r>
            </w:hyperlink>
            <w:r>
              <w:rPr>
                <w:sz w:val="20"/>
              </w:rPr>
              <w:t xml:space="preserve"> Правил N 1780,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tc>
        <w:tc>
          <w:tcPr>
            <w:tcW w:w="340" w:type="dxa"/>
          </w:tcPr>
          <w:p>
            <w:pPr>
              <w:pStyle w:val="0"/>
            </w:pPr>
            <w:r>
              <w:rPr>
                <w:sz w:val="20"/>
              </w:rPr>
            </w:r>
          </w:p>
        </w:tc>
        <w:tc>
          <w:tcPr>
            <w:tcW w:w="4876" w:type="dxa"/>
          </w:tcPr>
          <w:p>
            <w:pPr>
              <w:pStyle w:val="0"/>
            </w:pPr>
            <w:r>
              <w:rPr>
                <w:sz w:val="20"/>
              </w:rPr>
              <w:t xml:space="preserve">Осуществление закупки товаров и услуг в рамках реализации проекта с учетом того, что средства субсидии не могут быть использованы на: оказание материальной помощи, а также платных услуг населению; реализацию мероприятий, предполагающих извлечение прибыли;</w:t>
            </w:r>
          </w:p>
          <w:p>
            <w:pPr>
              <w:pStyle w:val="0"/>
            </w:pPr>
            <w:r>
              <w:rPr>
                <w:sz w:val="20"/>
              </w:rPr>
              <w:t xml:space="preserve">расходы, связанные с осуществлением предпринимательской деятельности и оказанием помощи коммерческим организациям; расходы, связанные с осуществлением деятельности, напрямую не связанной с проектами, представленными на конкурс; расходы на поддержку политических партий и кампаний; расходы на проведение митингов, демонстраций, пикетирований; расходы на фундаментальные научные исследования; расходы на приобретение алкогольных напитков и табачной продукции; уплата штрафов; расходы на приобретение недвижимого имущества (включая земельные участки), капитальное строительство новых зданий; расходы на текущий и капитальный ремонт; расходы на приобретение транспорта, за исключением случая решения конкурсной комиссии.</w:t>
            </w:r>
          </w:p>
        </w:tc>
      </w:tr>
      <w:tr>
        <w:tc>
          <w:tcPr>
            <w:tcW w:w="3855" w:type="dxa"/>
          </w:tcPr>
          <w:p>
            <w:pPr>
              <w:pStyle w:val="0"/>
            </w:pPr>
            <w:r>
              <w:rPr>
                <w:sz w:val="20"/>
              </w:rPr>
              <w:t xml:space="preserve">Наименование операций, для осуществления которых получатель субсидии приобретает за счет средств субсидии иностранную валюту (при необходимости)</w:t>
            </w:r>
          </w:p>
        </w:tc>
        <w:tc>
          <w:tcPr>
            <w:tcW w:w="340" w:type="dxa"/>
          </w:tcPr>
          <w:p>
            <w:pPr>
              <w:pStyle w:val="0"/>
            </w:pPr>
            <w:r>
              <w:rPr>
                <w:sz w:val="20"/>
              </w:rPr>
            </w:r>
          </w:p>
        </w:tc>
        <w:tc>
          <w:tcPr>
            <w:tcW w:w="4876" w:type="dxa"/>
          </w:tcPr>
          <w:p>
            <w:pPr>
              <w:pStyle w:val="0"/>
            </w:pPr>
            <w:r>
              <w:rPr>
                <w:sz w:val="20"/>
              </w:rPr>
              <w:t xml:space="preserve">Не предусмотрены</w:t>
            </w:r>
          </w:p>
        </w:tc>
      </w:tr>
      <w:tr>
        <w:tc>
          <w:tcPr>
            <w:tcW w:w="3855" w:type="dxa"/>
          </w:tcPr>
          <w:p>
            <w:pPr>
              <w:pStyle w:val="0"/>
            </w:pPr>
            <w:r>
              <w:rPr>
                <w:sz w:val="20"/>
              </w:rPr>
              <w:t xml:space="preserve">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history="0" r:id="rId48"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пунктами 37</w:t>
              </w:r>
            </w:hyperlink>
            <w:r>
              <w:rPr>
                <w:sz w:val="20"/>
              </w:rPr>
              <w:t xml:space="preserve"> - </w:t>
            </w:r>
            <w:hyperlink w:history="0" r:id="rId49"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39</w:t>
              </w:r>
            </w:hyperlink>
            <w:r>
              <w:rPr>
                <w:sz w:val="20"/>
              </w:rPr>
              <w:t xml:space="preserve"> Правил N 1780 (при необходимости)</w:t>
            </w:r>
          </w:p>
        </w:tc>
        <w:tc>
          <w:tcPr>
            <w:tcW w:w="340" w:type="dxa"/>
          </w:tcPr>
          <w:p>
            <w:pPr>
              <w:pStyle w:val="0"/>
            </w:pPr>
            <w:r>
              <w:rPr>
                <w:sz w:val="20"/>
              </w:rPr>
            </w:r>
          </w:p>
        </w:tc>
        <w:tc>
          <w:tcPr>
            <w:tcW w:w="4876" w:type="dxa"/>
          </w:tcPr>
          <w:p>
            <w:pPr>
              <w:pStyle w:val="0"/>
            </w:pPr>
            <w:r>
              <w:rPr>
                <w:sz w:val="20"/>
              </w:rPr>
              <w:t xml:space="preserve">Не предусмотрен</w:t>
            </w:r>
          </w:p>
        </w:tc>
      </w:tr>
      <w:tr>
        <w:tc>
          <w:tcPr>
            <w:tcW w:w="3855" w:type="dxa"/>
          </w:tcPr>
          <w:p>
            <w:pPr>
              <w:pStyle w:val="0"/>
            </w:pPr>
            <w:r>
              <w:rPr>
                <w:sz w:val="20"/>
              </w:rPr>
              <w:t xml:space="preserve">Штрафные санкции, определенные в соответствии с </w:t>
            </w:r>
            <w:hyperlink w:history="0" r:id="rId50" w:tooltip="Постановление Правительства РФ от 25.10.2023 N 1780 (ред. от 28.04.2025) &quot;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quot; {КонсультантПлюс}">
              <w:r>
                <w:rPr>
                  <w:sz w:val="20"/>
                  <w:color w:val="0000ff"/>
                </w:rPr>
                <w:t xml:space="preserve">пунктом 40</w:t>
              </w:r>
            </w:hyperlink>
            <w:r>
              <w:rPr>
                <w:sz w:val="20"/>
              </w:rPr>
              <w:t xml:space="preserve"> Правил N 1780 (при необходимости)</w:t>
            </w:r>
          </w:p>
        </w:tc>
        <w:tc>
          <w:tcPr>
            <w:tcW w:w="340" w:type="dxa"/>
          </w:tcPr>
          <w:p>
            <w:pPr>
              <w:pStyle w:val="0"/>
            </w:pPr>
            <w:r>
              <w:rPr>
                <w:sz w:val="20"/>
              </w:rPr>
            </w:r>
          </w:p>
        </w:tc>
        <w:tc>
          <w:tcPr>
            <w:tcW w:w="4876" w:type="dxa"/>
          </w:tcPr>
          <w:p>
            <w:pPr>
              <w:pStyle w:val="0"/>
            </w:pPr>
            <w:r>
              <w:rPr>
                <w:sz w:val="20"/>
              </w:rPr>
              <w:t xml:space="preserve">Не предусмотрены</w:t>
            </w:r>
          </w:p>
        </w:tc>
      </w:tr>
      <w:tr>
        <w:tc>
          <w:tcPr>
            <w:tcW w:w="3855" w:type="dxa"/>
          </w:tcPr>
          <w:p>
            <w:pPr>
              <w:pStyle w:val="0"/>
            </w:pPr>
            <w:r>
              <w:rPr>
                <w:sz w:val="20"/>
              </w:rPr>
              <w:t xml:space="preserve">Иные условия, устанавливаемые в случае необходимости</w:t>
            </w:r>
          </w:p>
        </w:tc>
        <w:tc>
          <w:tcPr>
            <w:tcW w:w="340" w:type="dxa"/>
          </w:tcPr>
          <w:p>
            <w:pPr>
              <w:pStyle w:val="0"/>
            </w:pPr>
            <w:r>
              <w:rPr>
                <w:sz w:val="20"/>
              </w:rPr>
            </w:r>
          </w:p>
        </w:tc>
        <w:tc>
          <w:tcPr>
            <w:tcW w:w="4876" w:type="dxa"/>
          </w:tcPr>
          <w:p>
            <w:pPr>
              <w:pStyle w:val="0"/>
            </w:pPr>
            <w:r>
              <w:rPr>
                <w:sz w:val="20"/>
              </w:rPr>
              <w:t xml:space="preserve">Не установлены</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культуры</w:t>
      </w:r>
    </w:p>
    <w:p>
      <w:pPr>
        <w:pStyle w:val="0"/>
        <w:jc w:val="right"/>
      </w:pPr>
      <w:r>
        <w:rPr>
          <w:sz w:val="20"/>
        </w:rPr>
        <w:t xml:space="preserve">Кабардино-Балкарской Республики</w:t>
      </w:r>
    </w:p>
    <w:p>
      <w:pPr>
        <w:pStyle w:val="0"/>
        <w:jc w:val="right"/>
      </w:pPr>
      <w:r>
        <w:rPr>
          <w:sz w:val="20"/>
        </w:rPr>
        <w:t xml:space="preserve">от 4 марта 2025 г. N 01-01/29</w:t>
      </w:r>
    </w:p>
    <w:p>
      <w:pPr>
        <w:pStyle w:val="0"/>
        <w:jc w:val="both"/>
      </w:pPr>
      <w:r>
        <w:rPr>
          <w:sz w:val="20"/>
        </w:rPr>
      </w:r>
    </w:p>
    <w:bookmarkStart w:id="235" w:name="P235"/>
    <w:bookmarkEnd w:id="235"/>
    <w:p>
      <w:pPr>
        <w:pStyle w:val="2"/>
        <w:jc w:val="center"/>
      </w:pPr>
      <w:r>
        <w:rPr>
          <w:sz w:val="20"/>
        </w:rPr>
        <w:t xml:space="preserve">СОСТАВ</w:t>
      </w:r>
    </w:p>
    <w:p>
      <w:pPr>
        <w:pStyle w:val="2"/>
        <w:jc w:val="center"/>
      </w:pPr>
      <w:r>
        <w:rPr>
          <w:sz w:val="20"/>
        </w:rPr>
        <w:t xml:space="preserve">КОНКУРСНОЙ КОМИССИИ ПО ОТБОРУ НЕКОММЕРЧЕСКИХ ОРГАНИЗАЦИЙ,</w:t>
      </w:r>
    </w:p>
    <w:p>
      <w:pPr>
        <w:pStyle w:val="2"/>
        <w:jc w:val="center"/>
      </w:pPr>
      <w:r>
        <w:rPr>
          <w:sz w:val="20"/>
        </w:rPr>
        <w:t xml:space="preserve">НЕ ЯВЛЯЮЩИХСЯ ГОСУДАРСТВЕННЫМИ (МУНИЦИПАЛЬНЫМИ)</w:t>
      </w:r>
    </w:p>
    <w:p>
      <w:pPr>
        <w:pStyle w:val="2"/>
        <w:jc w:val="center"/>
      </w:pPr>
      <w:r>
        <w:rPr>
          <w:sz w:val="20"/>
        </w:rPr>
        <w:t xml:space="preserve">УЧРЕЖДЕНИЯМИ, НА ФИНАНСОВОЕ ОБЕСПЕЧЕНИЕ ЗАТРАТ</w:t>
      </w:r>
    </w:p>
    <w:p>
      <w:pPr>
        <w:pStyle w:val="2"/>
        <w:jc w:val="center"/>
      </w:pPr>
      <w:r>
        <w:rPr>
          <w:sz w:val="20"/>
        </w:rPr>
        <w:t xml:space="preserve">ПО РЕАЛИЗАЦИИ ТВОРЧЕСКИХ ПРОЕКТОВ, НАПРАВЛЕННЫХ</w:t>
      </w:r>
    </w:p>
    <w:p>
      <w:pPr>
        <w:pStyle w:val="2"/>
        <w:jc w:val="center"/>
      </w:pPr>
      <w:r>
        <w:rPr>
          <w:sz w:val="20"/>
        </w:rPr>
        <w:t xml:space="preserve">НА УКРЕПЛЕНИЕ РОССИЙСКОЙ ГРАЖДАНСКОЙ ИДЕНТИЧНОСТИ НА ОСНОВЕ</w:t>
      </w:r>
    </w:p>
    <w:p>
      <w:pPr>
        <w:pStyle w:val="2"/>
        <w:jc w:val="center"/>
      </w:pPr>
      <w:r>
        <w:rPr>
          <w:sz w:val="20"/>
        </w:rPr>
        <w:t xml:space="preserve">ДУХОВНО-НРАВСТВЕННЫХ И КУЛЬТУРНЫХ ЦЕННОСТЕЙ НАРОДОВ</w:t>
      </w:r>
    </w:p>
    <w:p>
      <w:pPr>
        <w:pStyle w:val="2"/>
        <w:jc w:val="center"/>
      </w:pPr>
      <w:r>
        <w:rPr>
          <w:sz w:val="20"/>
        </w:rPr>
        <w:t xml:space="preserve">РОССИЙСКОЙ ФЕДЕРАЦИИ В 2025 ГОДУ</w:t>
      </w:r>
    </w:p>
    <w:p>
      <w:pPr>
        <w:pStyle w:val="0"/>
        <w:jc w:val="both"/>
      </w:pPr>
      <w:r>
        <w:rPr>
          <w:sz w:val="20"/>
        </w:rPr>
      </w:r>
    </w:p>
    <w:tbl>
      <w:tblPr>
        <w:tblInd w:w="0" w:type="dxa"/>
        <w:tblLayout w:type="fixed"/>
        <w:tblCellMar>
          <w:top w:w="102" w:type="dxa"/>
          <w:left w:w="62" w:type="dxa"/>
          <w:bottom w:w="102" w:type="dxa"/>
          <w:right w:w="62" w:type="dxa"/>
        </w:tblCellMar>
      </w:tblPr>
      <w:tblGrid>
        <w:gridCol w:w="2268"/>
        <w:gridCol w:w="340"/>
        <w:gridCol w:w="6463"/>
      </w:tblGrid>
      <w:tr>
        <w:tc>
          <w:tcPr>
            <w:tcW w:w="2268" w:type="dxa"/>
            <w:tcBorders>
              <w:top w:val="nil"/>
              <w:left w:val="nil"/>
              <w:bottom w:val="nil"/>
              <w:right w:val="nil"/>
            </w:tcBorders>
          </w:tcPr>
          <w:p>
            <w:pPr>
              <w:pStyle w:val="0"/>
            </w:pPr>
            <w:r>
              <w:rPr>
                <w:sz w:val="20"/>
              </w:rPr>
              <w:t xml:space="preserve">Кумахов М.Л.</w:t>
            </w:r>
          </w:p>
        </w:tc>
        <w:tc>
          <w:tcPr>
            <w:tcW w:w="340" w:type="dxa"/>
            <w:tcBorders>
              <w:top w:val="nil"/>
              <w:left w:val="nil"/>
              <w:bottom w:val="nil"/>
              <w:right w:val="nil"/>
            </w:tcBorders>
          </w:tcPr>
          <w:p>
            <w:pPr>
              <w:pStyle w:val="0"/>
              <w:jc w:val="center"/>
            </w:pPr>
            <w:r>
              <w:rPr>
                <w:sz w:val="20"/>
              </w:rPr>
              <w:t xml:space="preserve">-</w:t>
            </w:r>
          </w:p>
        </w:tc>
        <w:tc>
          <w:tcPr>
            <w:tcW w:w="6463" w:type="dxa"/>
            <w:tcBorders>
              <w:top w:val="nil"/>
              <w:left w:val="nil"/>
              <w:bottom w:val="nil"/>
              <w:right w:val="nil"/>
            </w:tcBorders>
          </w:tcPr>
          <w:p>
            <w:pPr>
              <w:pStyle w:val="0"/>
            </w:pPr>
            <w:r>
              <w:rPr>
                <w:sz w:val="20"/>
              </w:rPr>
              <w:t xml:space="preserve">министр культуры Кабардино-Балкарской Республики (председатель конкурсной комиссии)</w:t>
            </w:r>
          </w:p>
        </w:tc>
      </w:tr>
      <w:tr>
        <w:tc>
          <w:tcPr>
            <w:tcW w:w="2268" w:type="dxa"/>
            <w:tcBorders>
              <w:top w:val="nil"/>
              <w:left w:val="nil"/>
              <w:bottom w:val="nil"/>
              <w:right w:val="nil"/>
            </w:tcBorders>
          </w:tcPr>
          <w:p>
            <w:pPr>
              <w:pStyle w:val="0"/>
            </w:pPr>
            <w:r>
              <w:rPr>
                <w:sz w:val="20"/>
              </w:rPr>
              <w:t xml:space="preserve">Карчаева А.Х.</w:t>
            </w:r>
          </w:p>
        </w:tc>
        <w:tc>
          <w:tcPr>
            <w:tcW w:w="340" w:type="dxa"/>
            <w:tcBorders>
              <w:top w:val="nil"/>
              <w:left w:val="nil"/>
              <w:bottom w:val="nil"/>
              <w:right w:val="nil"/>
            </w:tcBorders>
          </w:tcPr>
          <w:p>
            <w:pPr>
              <w:pStyle w:val="0"/>
              <w:jc w:val="center"/>
            </w:pPr>
            <w:r>
              <w:rPr>
                <w:sz w:val="20"/>
              </w:rPr>
              <w:t xml:space="preserve">-</w:t>
            </w:r>
          </w:p>
        </w:tc>
        <w:tc>
          <w:tcPr>
            <w:tcW w:w="6463" w:type="dxa"/>
            <w:tcBorders>
              <w:top w:val="nil"/>
              <w:left w:val="nil"/>
              <w:bottom w:val="nil"/>
              <w:right w:val="nil"/>
            </w:tcBorders>
          </w:tcPr>
          <w:p>
            <w:pPr>
              <w:pStyle w:val="0"/>
            </w:pPr>
            <w:r>
              <w:rPr>
                <w:sz w:val="20"/>
              </w:rPr>
              <w:t xml:space="preserve">заместитель министра культуры Кабардино-Балкарской Республики (заместитель председателя конкурсной комиссии)</w:t>
            </w:r>
          </w:p>
        </w:tc>
      </w:tr>
      <w:tr>
        <w:tc>
          <w:tcPr>
            <w:tcW w:w="2268" w:type="dxa"/>
            <w:tcBorders>
              <w:top w:val="nil"/>
              <w:left w:val="nil"/>
              <w:bottom w:val="nil"/>
              <w:right w:val="nil"/>
            </w:tcBorders>
          </w:tcPr>
          <w:p>
            <w:pPr>
              <w:pStyle w:val="0"/>
            </w:pPr>
            <w:r>
              <w:rPr>
                <w:sz w:val="20"/>
              </w:rPr>
              <w:t xml:space="preserve">Барагунов Р.Е.</w:t>
            </w:r>
          </w:p>
        </w:tc>
        <w:tc>
          <w:tcPr>
            <w:tcW w:w="340" w:type="dxa"/>
            <w:tcBorders>
              <w:top w:val="nil"/>
              <w:left w:val="nil"/>
              <w:bottom w:val="nil"/>
              <w:right w:val="nil"/>
            </w:tcBorders>
          </w:tcPr>
          <w:p>
            <w:pPr>
              <w:pStyle w:val="0"/>
              <w:jc w:val="center"/>
            </w:pPr>
            <w:r>
              <w:rPr>
                <w:sz w:val="20"/>
              </w:rPr>
              <w:t xml:space="preserve">-</w:t>
            </w:r>
          </w:p>
        </w:tc>
        <w:tc>
          <w:tcPr>
            <w:tcW w:w="6463" w:type="dxa"/>
            <w:tcBorders>
              <w:top w:val="nil"/>
              <w:left w:val="nil"/>
              <w:bottom w:val="nil"/>
              <w:right w:val="nil"/>
            </w:tcBorders>
          </w:tcPr>
          <w:p>
            <w:pPr>
              <w:pStyle w:val="0"/>
            </w:pPr>
            <w:r>
              <w:rPr>
                <w:sz w:val="20"/>
              </w:rPr>
              <w:t xml:space="preserve">директор государственного казенного учреждения культуры "Государственный музыкальный театр"</w:t>
            </w:r>
          </w:p>
        </w:tc>
      </w:tr>
      <w:tr>
        <w:tc>
          <w:tcPr>
            <w:tcW w:w="2268" w:type="dxa"/>
            <w:tcBorders>
              <w:top w:val="nil"/>
              <w:left w:val="nil"/>
              <w:bottom w:val="nil"/>
              <w:right w:val="nil"/>
            </w:tcBorders>
          </w:tcPr>
          <w:p>
            <w:pPr>
              <w:pStyle w:val="0"/>
            </w:pPr>
            <w:r>
              <w:rPr>
                <w:sz w:val="20"/>
              </w:rPr>
              <w:t xml:space="preserve">Калмыкова З.Х.</w:t>
            </w:r>
          </w:p>
        </w:tc>
        <w:tc>
          <w:tcPr>
            <w:tcW w:w="340" w:type="dxa"/>
            <w:tcBorders>
              <w:top w:val="nil"/>
              <w:left w:val="nil"/>
              <w:bottom w:val="nil"/>
              <w:right w:val="nil"/>
            </w:tcBorders>
          </w:tcPr>
          <w:p>
            <w:pPr>
              <w:pStyle w:val="0"/>
              <w:jc w:val="center"/>
            </w:pPr>
            <w:r>
              <w:rPr>
                <w:sz w:val="20"/>
              </w:rPr>
              <w:t xml:space="preserve">-</w:t>
            </w:r>
          </w:p>
        </w:tc>
        <w:tc>
          <w:tcPr>
            <w:tcW w:w="6463" w:type="dxa"/>
            <w:tcBorders>
              <w:top w:val="nil"/>
              <w:left w:val="nil"/>
              <w:bottom w:val="nil"/>
              <w:right w:val="nil"/>
            </w:tcBorders>
          </w:tcPr>
          <w:p>
            <w:pPr>
              <w:pStyle w:val="0"/>
            </w:pPr>
            <w:r>
              <w:rPr>
                <w:sz w:val="20"/>
              </w:rPr>
              <w:t xml:space="preserve">начальник отдела бухгалтерского учета и отчетности Министерства культуры Кабардино-Балкарской Республики</w:t>
            </w:r>
          </w:p>
        </w:tc>
      </w:tr>
      <w:tr>
        <w:tc>
          <w:tcPr>
            <w:tcW w:w="2268" w:type="dxa"/>
            <w:tcBorders>
              <w:top w:val="nil"/>
              <w:left w:val="nil"/>
              <w:bottom w:val="nil"/>
              <w:right w:val="nil"/>
            </w:tcBorders>
          </w:tcPr>
          <w:p>
            <w:pPr>
              <w:pStyle w:val="0"/>
            </w:pPr>
            <w:r>
              <w:rPr>
                <w:sz w:val="20"/>
              </w:rPr>
              <w:t xml:space="preserve">Тхакахов А.С.</w:t>
            </w:r>
          </w:p>
        </w:tc>
        <w:tc>
          <w:tcPr>
            <w:tcW w:w="340" w:type="dxa"/>
            <w:tcBorders>
              <w:top w:val="nil"/>
              <w:left w:val="nil"/>
              <w:bottom w:val="nil"/>
              <w:right w:val="nil"/>
            </w:tcBorders>
          </w:tcPr>
          <w:p>
            <w:pPr>
              <w:pStyle w:val="0"/>
              <w:jc w:val="center"/>
            </w:pPr>
            <w:r>
              <w:rPr>
                <w:sz w:val="20"/>
              </w:rPr>
              <w:t xml:space="preserve">-</w:t>
            </w:r>
          </w:p>
        </w:tc>
        <w:tc>
          <w:tcPr>
            <w:tcW w:w="6463" w:type="dxa"/>
            <w:tcBorders>
              <w:top w:val="nil"/>
              <w:left w:val="nil"/>
              <w:bottom w:val="nil"/>
              <w:right w:val="nil"/>
            </w:tcBorders>
          </w:tcPr>
          <w:p>
            <w:pPr>
              <w:pStyle w:val="0"/>
            </w:pPr>
            <w:r>
              <w:rPr>
                <w:sz w:val="20"/>
              </w:rPr>
              <w:t xml:space="preserve">начальник отдела правовой и антикоррупционной работы Министерства культуры Кабардино-Балкарской Республики (секретарь конкурсной комиссии)</w:t>
            </w:r>
          </w:p>
        </w:tc>
      </w:tr>
      <w:tr>
        <w:tc>
          <w:tcPr>
            <w:tcW w:w="2268" w:type="dxa"/>
            <w:tcBorders>
              <w:top w:val="nil"/>
              <w:left w:val="nil"/>
              <w:bottom w:val="nil"/>
              <w:right w:val="nil"/>
            </w:tcBorders>
          </w:tcPr>
          <w:p>
            <w:pPr>
              <w:pStyle w:val="0"/>
            </w:pPr>
            <w:r>
              <w:rPr>
                <w:sz w:val="20"/>
              </w:rPr>
              <w:t xml:space="preserve">Хамдохова Ж.М.</w:t>
            </w:r>
          </w:p>
        </w:tc>
        <w:tc>
          <w:tcPr>
            <w:tcW w:w="340" w:type="dxa"/>
            <w:tcBorders>
              <w:top w:val="nil"/>
              <w:left w:val="nil"/>
              <w:bottom w:val="nil"/>
              <w:right w:val="nil"/>
            </w:tcBorders>
          </w:tcPr>
          <w:p>
            <w:pPr>
              <w:pStyle w:val="0"/>
              <w:jc w:val="center"/>
            </w:pPr>
            <w:r>
              <w:rPr>
                <w:sz w:val="20"/>
              </w:rPr>
              <w:t xml:space="preserve">-</w:t>
            </w:r>
          </w:p>
        </w:tc>
        <w:tc>
          <w:tcPr>
            <w:tcW w:w="6463" w:type="dxa"/>
            <w:tcBorders>
              <w:top w:val="nil"/>
              <w:left w:val="nil"/>
              <w:bottom w:val="nil"/>
              <w:right w:val="nil"/>
            </w:tcBorders>
          </w:tcPr>
          <w:p>
            <w:pPr>
              <w:pStyle w:val="0"/>
            </w:pPr>
            <w:r>
              <w:rPr>
                <w:sz w:val="20"/>
              </w:rPr>
              <w:t xml:space="preserve">директор государственного казенного учреждения культуры "Кабардино-Балкарская республиканская библиотека для слепых"</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КБР от 04.03.2025 N 01-01/29</w:t>
            <w:br/>
            <w:t>"Об утверждении Порядка предоставления грантов некоммерческим организаци...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117199&amp;dst=102386" TargetMode = "External"/>
	<Relationship Id="rId8" Type="http://schemas.openxmlformats.org/officeDocument/2006/relationships/hyperlink" Target="https://login.consultant.ru/link/?req=doc&amp;base=LAW&amp;n=504334&amp;dst=100067" TargetMode = "External"/>
	<Relationship Id="rId9" Type="http://schemas.openxmlformats.org/officeDocument/2006/relationships/hyperlink" Target="https://login.consultant.ru/link/?req=doc&amp;base=LAW&amp;n=491830&amp;dst=100036" TargetMode = "External"/>
	<Relationship Id="rId10" Type="http://schemas.openxmlformats.org/officeDocument/2006/relationships/hyperlink" Target="https://login.consultant.ru/link/?req=doc&amp;base=RLAW304&amp;n=119780&amp;dst=110423" TargetMode = "External"/>
	<Relationship Id="rId11" Type="http://schemas.openxmlformats.org/officeDocument/2006/relationships/hyperlink" Target="https://login.consultant.ru/link/?req=doc&amp;base=LAW&amp;n=504334&amp;dst=100131" TargetMode = "External"/>
	<Relationship Id="rId12" Type="http://schemas.openxmlformats.org/officeDocument/2006/relationships/hyperlink" Target="https://login.consultant.ru/link/?req=doc&amp;base=LAW&amp;n=491830&amp;dst=100021" TargetMode = "External"/>
	<Relationship Id="rId13" Type="http://schemas.openxmlformats.org/officeDocument/2006/relationships/hyperlink" Target="https://login.consultant.ru/link/?req=doc&amp;base=LAW&amp;n=503620&amp;dst=7156" TargetMode = "External"/>
	<Relationship Id="rId14" Type="http://schemas.openxmlformats.org/officeDocument/2006/relationships/hyperlink" Target="https://login.consultant.ru/link/?req=doc&amp;base=LAW&amp;n=504334&amp;dst=100382" TargetMode = "External"/>
	<Relationship Id="rId15" Type="http://schemas.openxmlformats.org/officeDocument/2006/relationships/hyperlink" Target="https://login.consultant.ru/link/?req=doc&amp;base=LAW&amp;n=504334&amp;dst=100125" TargetMode = "External"/>
	<Relationship Id="rId16" Type="http://schemas.openxmlformats.org/officeDocument/2006/relationships/hyperlink" Target="https://login.consultant.ru/link/?req=doc&amp;base=LAW&amp;n=503623" TargetMode = "External"/>
	<Relationship Id="rId17" Type="http://schemas.openxmlformats.org/officeDocument/2006/relationships/hyperlink" Target="https://login.consultant.ru/link/?req=doc&amp;base=LAW&amp;n=121087&amp;dst=100142" TargetMode = "External"/>
	<Relationship Id="rId18" Type="http://schemas.openxmlformats.org/officeDocument/2006/relationships/hyperlink" Target="https://login.consultant.ru/link/?req=doc&amp;base=LAW&amp;n=483130&amp;dst=5769" TargetMode = "External"/>
	<Relationship Id="rId19" Type="http://schemas.openxmlformats.org/officeDocument/2006/relationships/hyperlink" Target="https://login.consultant.ru/link/?req=doc&amp;base=LAW&amp;n=493282&amp;dst=666" TargetMode = "External"/>
	<Relationship Id="rId20" Type="http://schemas.openxmlformats.org/officeDocument/2006/relationships/hyperlink" Target="https://login.consultant.ru/link/?req=doc&amp;base=LAW&amp;n=493282&amp;dst=134" TargetMode = "External"/>
	<Relationship Id="rId21" Type="http://schemas.openxmlformats.org/officeDocument/2006/relationships/hyperlink" Target="https://login.consultant.ru/link/?req=doc&amp;base=LAW&amp;n=491830&amp;dst=21" TargetMode = "External"/>
	<Relationship Id="rId22" Type="http://schemas.openxmlformats.org/officeDocument/2006/relationships/hyperlink" Target="https://login.consultant.ru/link/?req=doc&amp;base=LAW&amp;n=491830&amp;dst=21" TargetMode = "External"/>
	<Relationship Id="rId23" Type="http://schemas.openxmlformats.org/officeDocument/2006/relationships/hyperlink" Target="https://login.consultant.ru/link/?req=doc&amp;base=LAW&amp;n=504334&amp;dst=100131" TargetMode = "External"/>
	<Relationship Id="rId24" Type="http://schemas.openxmlformats.org/officeDocument/2006/relationships/hyperlink" Target="https://login.consultant.ru/link/?req=doc&amp;base=LAW&amp;n=491830&amp;dst=100021" TargetMode = "External"/>
	<Relationship Id="rId25" Type="http://schemas.openxmlformats.org/officeDocument/2006/relationships/hyperlink" Target="https://login.consultant.ru/link/?req=doc&amp;base=LAW&amp;n=503620&amp;dst=7156" TargetMode = "External"/>
	<Relationship Id="rId26" Type="http://schemas.openxmlformats.org/officeDocument/2006/relationships/hyperlink" Target="https://login.consultant.ru/link/?req=doc&amp;base=LAW&amp;n=504334&amp;dst=100382" TargetMode = "External"/>
	<Relationship Id="rId27" Type="http://schemas.openxmlformats.org/officeDocument/2006/relationships/hyperlink" Target="https://login.consultant.ru/link/?req=doc&amp;base=LAW&amp;n=504334&amp;dst=100125" TargetMode = "External"/>
	<Relationship Id="rId28" Type="http://schemas.openxmlformats.org/officeDocument/2006/relationships/hyperlink" Target="https://login.consultant.ru/link/?req=doc&amp;base=LAW&amp;n=503623" TargetMode = "External"/>
	<Relationship Id="rId29" Type="http://schemas.openxmlformats.org/officeDocument/2006/relationships/hyperlink" Target="https://login.consultant.ru/link/?req=doc&amp;base=LAW&amp;n=121087&amp;dst=100142" TargetMode = "External"/>
	<Relationship Id="rId30" Type="http://schemas.openxmlformats.org/officeDocument/2006/relationships/hyperlink" Target="https://login.consultant.ru/link/?req=doc&amp;base=LAW&amp;n=483130&amp;dst=5769" TargetMode = "External"/>
	<Relationship Id="rId31" Type="http://schemas.openxmlformats.org/officeDocument/2006/relationships/hyperlink" Target="https://login.consultant.ru/link/?req=doc&amp;base=LAW&amp;n=493282&amp;dst=666" TargetMode = "External"/>
	<Relationship Id="rId32" Type="http://schemas.openxmlformats.org/officeDocument/2006/relationships/hyperlink" Target="https://login.consultant.ru/link/?req=doc&amp;base=LAW&amp;n=493282&amp;dst=134" TargetMode = "External"/>
	<Relationship Id="rId33" Type="http://schemas.openxmlformats.org/officeDocument/2006/relationships/hyperlink" Target="https://login.consultant.ru/link/?req=doc&amp;base=LAW&amp;n=504334&amp;dst=100122" TargetMode = "External"/>
	<Relationship Id="rId34" Type="http://schemas.openxmlformats.org/officeDocument/2006/relationships/hyperlink" Target="https://login.consultant.ru/link/?req=doc&amp;base=LAW&amp;n=504334&amp;dst=100032" TargetMode = "External"/>
	<Relationship Id="rId35" Type="http://schemas.openxmlformats.org/officeDocument/2006/relationships/hyperlink" Target="https://login.consultant.ru/link/?req=doc&amp;base=LAW&amp;n=504334&amp;dst=100106" TargetMode = "External"/>
	<Relationship Id="rId36" Type="http://schemas.openxmlformats.org/officeDocument/2006/relationships/hyperlink" Target="https://login.consultant.ru/link/?req=doc&amp;base=LAW&amp;n=504334&amp;dst=100387" TargetMode = "External"/>
	<Relationship Id="rId37" Type="http://schemas.openxmlformats.org/officeDocument/2006/relationships/hyperlink" Target="https://login.consultant.ru/link/?req=doc&amp;base=LAW&amp;n=504334&amp;dst=100387" TargetMode = "External"/>
	<Relationship Id="rId38" Type="http://schemas.openxmlformats.org/officeDocument/2006/relationships/hyperlink" Target="https://login.consultant.ru/link/?req=doc&amp;base=LAW&amp;n=503620&amp;dst=7609" TargetMode = "External"/>
	<Relationship Id="rId39" Type="http://schemas.openxmlformats.org/officeDocument/2006/relationships/hyperlink" Target="https://login.consultant.ru/link/?req=doc&amp;base=LAW&amp;n=503620&amp;dst=7614" TargetMode = "External"/>
	<Relationship Id="rId40" Type="http://schemas.openxmlformats.org/officeDocument/2006/relationships/hyperlink" Target="https://login.consultant.ru/link/?req=doc&amp;base=LAW&amp;n=504334&amp;dst=100114" TargetMode = "External"/>
	<Relationship Id="rId41" Type="http://schemas.openxmlformats.org/officeDocument/2006/relationships/hyperlink" Target="https://login.consultant.ru/link/?req=doc&amp;base=LAW&amp;n=504334&amp;dst=100117" TargetMode = "External"/>
	<Relationship Id="rId42" Type="http://schemas.openxmlformats.org/officeDocument/2006/relationships/hyperlink" Target="https://login.consultant.ru/link/?req=doc&amp;base=LAW&amp;n=493282&amp;dst=134" TargetMode = "External"/>
	<Relationship Id="rId43" Type="http://schemas.openxmlformats.org/officeDocument/2006/relationships/hyperlink" Target="https://login.consultant.ru/link/?req=doc&amp;base=LAW&amp;n=504334&amp;dst=100176" TargetMode = "External"/>
	<Relationship Id="rId44" Type="http://schemas.openxmlformats.org/officeDocument/2006/relationships/hyperlink" Target="https://login.consultant.ru/link/?req=doc&amp;base=LAW&amp;n=504334&amp;dst=100112" TargetMode = "External"/>
	<Relationship Id="rId45" Type="http://schemas.openxmlformats.org/officeDocument/2006/relationships/hyperlink" Target="https://login.consultant.ru/link/?req=doc&amp;base=LAW&amp;n=504334&amp;dst=100153" TargetMode = "External"/>
	<Relationship Id="rId46" Type="http://schemas.openxmlformats.org/officeDocument/2006/relationships/hyperlink" Target="https://login.consultant.ru/link/?req=doc&amp;base=LAW&amp;n=504334&amp;dst=100159" TargetMode = "External"/>
	<Relationship Id="rId47" Type="http://schemas.openxmlformats.org/officeDocument/2006/relationships/hyperlink" Target="https://login.consultant.ru/link/?req=doc&amp;base=LAW&amp;n=504334&amp;dst=100158" TargetMode = "External"/>
	<Relationship Id="rId48" Type="http://schemas.openxmlformats.org/officeDocument/2006/relationships/hyperlink" Target="https://login.consultant.ru/link/?req=doc&amp;base=LAW&amp;n=504334&amp;dst=100388" TargetMode = "External"/>
	<Relationship Id="rId49" Type="http://schemas.openxmlformats.org/officeDocument/2006/relationships/hyperlink" Target="https://login.consultant.ru/link/?req=doc&amp;base=LAW&amp;n=504334&amp;dst=100196" TargetMode = "External"/>
	<Relationship Id="rId50" Type="http://schemas.openxmlformats.org/officeDocument/2006/relationships/hyperlink" Target="https://login.consultant.ru/link/?req=doc&amp;base=LAW&amp;n=504334&amp;dst=10020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КБР от 04.03.2025 N 01-01/29
"Об утверждении Порядка предоставления грантов некоммерческим организациям, не являющимся государственными (муниципальными) учреждениями, на финансовое обеспечение затрат по реализации творческих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 в 2025 году"</dc:title>
  <dcterms:created xsi:type="dcterms:W3CDTF">2025-05-31T07:45:09Z</dcterms:created>
</cp:coreProperties>
</file>