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КБР от 26.02.2018 N 21</w:t>
              <w:br/>
              <w:t xml:space="preserve">(ред. от 17.10.2022)</w:t>
              <w:br/>
              <w:t xml:space="preserve">"Об утверждении Положения об Общественном совете при Министерстве экономического развития Кабардино-Балкарской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w:t>
      </w:r>
    </w:p>
    <w:p>
      <w:pPr>
        <w:pStyle w:val="2"/>
        <w:jc w:val="center"/>
      </w:pPr>
      <w:r>
        <w:rPr>
          <w:sz w:val="20"/>
        </w:rPr>
        <w:t xml:space="preserve">КАБАРДИНО-БАЛКАРСКОЙ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февраля 2018 г. N 21</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ЭКОНОМИЧЕСКОГО РАЗВИТИЯ</w:t>
      </w:r>
    </w:p>
    <w:p>
      <w:pPr>
        <w:pStyle w:val="2"/>
        <w:jc w:val="center"/>
      </w:pPr>
      <w:r>
        <w:rPr>
          <w:sz w:val="20"/>
        </w:rPr>
        <w:t xml:space="preserve">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Минэкономразвития КБР от 01.03.2019 </w:t>
            </w:r>
            <w:hyperlink w:history="0" r:id="rId7"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09.08.2021 </w:t>
            </w:r>
            <w:hyperlink w:history="0" r:id="rId8" w:tooltip="Приказ Минэкономразвития КБР от 09.08.2021 N 57 &quot;О внесении изменений в приказ Министерства экономического развития Кабардино-Балкарской Республики от 26 февраля 2018 года N 21&quot; {КонсультантПлюс}">
              <w:r>
                <w:rPr>
                  <w:sz w:val="20"/>
                  <w:color w:val="0000ff"/>
                </w:rPr>
                <w:t xml:space="preserve">N 57</w:t>
              </w:r>
            </w:hyperlink>
            <w:r>
              <w:rPr>
                <w:sz w:val="20"/>
                <w:color w:val="392c69"/>
              </w:rPr>
              <w:t xml:space="preserve">, от 17.10.2022 </w:t>
            </w:r>
            <w:hyperlink w:history="0" r:id="rId9" w:tooltip="Приказ Минэкономразвития КБР от 17.10.2022 N 144 &quot;О внесении изменений в приказ Министерства экономического развития Кабардино-Балкарской Республики от 26 февраля 2018 года N 21&quot; {КонсультантПлюс}">
              <w:r>
                <w:rPr>
                  <w:sz w:val="20"/>
                  <w:color w:val="0000ff"/>
                </w:rPr>
                <w:t xml:space="preserve">N 144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Распоряжение Правительства КБР от 29.06.2017 N 401-рп (ред. от 09.04.2019) &lt;О порядке образования общественных советов при исполнительных органах государственной власти Кабардино-Балкарской Республики&gt; (вместе с &quot;Типовым положением об общественном совете при исполнительном органе государственной власти Кабардино-Балкарской Республики&quot;) {КонсультантПлюс}">
        <w:r>
          <w:rPr>
            <w:sz w:val="20"/>
            <w:color w:val="0000ff"/>
          </w:rPr>
          <w:t xml:space="preserve">распоряжением</w:t>
        </w:r>
      </w:hyperlink>
      <w:r>
        <w:rPr>
          <w:sz w:val="20"/>
        </w:rPr>
        <w:t xml:space="preserve"> Правительства Кабардино-Балкарской Республики от 29 июня 2017 г. N 401-рп приказываю:</w:t>
      </w:r>
    </w:p>
    <w:p>
      <w:pPr>
        <w:pStyle w:val="0"/>
        <w:spacing w:before="200" w:line-rule="auto"/>
        <w:ind w:firstLine="540"/>
        <w:jc w:val="both"/>
      </w:pPr>
      <w:r>
        <w:rPr>
          <w:sz w:val="20"/>
        </w:rPr>
        <w:t xml:space="preserve">1. Утвердить прилагаемое </w:t>
      </w:r>
      <w:hyperlink w:history="0" w:anchor="P34" w:tooltip="ПОЛОЖЕНИЕ">
        <w:r>
          <w:rPr>
            <w:sz w:val="20"/>
            <w:color w:val="0000ff"/>
          </w:rPr>
          <w:t xml:space="preserve">Положение</w:t>
        </w:r>
      </w:hyperlink>
      <w:r>
        <w:rPr>
          <w:sz w:val="20"/>
        </w:rPr>
        <w:t xml:space="preserve"> об Общественном совете при Министерстве экономического развития Кабардино-Балкарской Республики.</w:t>
      </w:r>
    </w:p>
    <w:p>
      <w:pPr>
        <w:pStyle w:val="0"/>
        <w:spacing w:before="200" w:line-rule="auto"/>
        <w:ind w:firstLine="540"/>
        <w:jc w:val="both"/>
      </w:pPr>
      <w:r>
        <w:rPr>
          <w:sz w:val="20"/>
        </w:rPr>
        <w:t xml:space="preserve">2. Определить секретарем Общественного совета при Министерстве экономического развития Кабардино-Балкарской Республики Белецкую Ольгу Викторовну, заместителя министра экономического развития Кабардино-Балкарской Республики - руководителя департамента социально-экономических реформ.</w:t>
      </w:r>
    </w:p>
    <w:p>
      <w:pPr>
        <w:pStyle w:val="0"/>
        <w:jc w:val="both"/>
      </w:pPr>
      <w:r>
        <w:rPr>
          <w:sz w:val="20"/>
        </w:rPr>
        <w:t xml:space="preserve">(в ред. Приказов Минэкономразвития КБР от 09.08.2021 </w:t>
      </w:r>
      <w:hyperlink w:history="0" r:id="rId11" w:tooltip="Приказ Минэкономразвития КБР от 09.08.2021 N 57 &quot;О внесении изменений в приказ Министерства экономического развития Кабардино-Балкарской Республики от 26 февраля 2018 года N 21&quot; {КонсультантПлюс}">
        <w:r>
          <w:rPr>
            <w:sz w:val="20"/>
            <w:color w:val="0000ff"/>
          </w:rPr>
          <w:t xml:space="preserve">N 57</w:t>
        </w:r>
      </w:hyperlink>
      <w:r>
        <w:rPr>
          <w:sz w:val="20"/>
        </w:rPr>
        <w:t xml:space="preserve">, от 17.10.2022 </w:t>
      </w:r>
      <w:hyperlink w:history="0" r:id="rId12" w:tooltip="Приказ Минэкономразвития КБР от 17.10.2022 N 144 &quot;О внесении изменений в приказ Министерства экономического развития Кабардино-Балкарской Республики от 26 февраля 2018 года N 21&quot; {КонсультантПлюс}">
        <w:r>
          <w:rPr>
            <w:sz w:val="20"/>
            <w:color w:val="0000ff"/>
          </w:rPr>
          <w:t xml:space="preserve">N 144</w:t>
        </w:r>
      </w:hyperlink>
      <w:r>
        <w:rPr>
          <w:sz w:val="20"/>
        </w:rPr>
        <w:t xml:space="preserve">)</w:t>
      </w:r>
    </w:p>
    <w:p>
      <w:pPr>
        <w:pStyle w:val="0"/>
        <w:spacing w:before="200" w:line-rule="auto"/>
        <w:ind w:firstLine="540"/>
        <w:jc w:val="both"/>
      </w:pPr>
      <w:r>
        <w:rPr>
          <w:sz w:val="20"/>
        </w:rPr>
        <w:t xml:space="preserve">3. Признать утратившим силу </w:t>
      </w:r>
      <w:hyperlink w:history="0" r:id="rId13" w:tooltip="Приказ Минэкономразвития КБР от 07.06.2013 N 45 (ред. от 21.09.2015) &quot;Об Общественном совете при Министерстве экономического развития Кабардино-Балкарской Республики&quot; (вместе с &quot;Положением об Общественном совете при Министерстве экономического развития Кабардино-Балкарской Республики&quot;)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Кабардино-Балкарской Республики от 7 июня 2013 года N 45.</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экономического развития Кабардино-Балкарской Республики - руководителя департамента развития малого и среднего предпринимательства и конкуренции Белецкую О.В.</w:t>
      </w:r>
    </w:p>
    <w:p>
      <w:pPr>
        <w:pStyle w:val="0"/>
        <w:jc w:val="both"/>
      </w:pPr>
      <w:r>
        <w:rPr>
          <w:sz w:val="20"/>
        </w:rPr>
      </w:r>
    </w:p>
    <w:p>
      <w:pPr>
        <w:pStyle w:val="0"/>
        <w:jc w:val="right"/>
      </w:pPr>
      <w:r>
        <w:rPr>
          <w:sz w:val="20"/>
        </w:rPr>
        <w:t xml:space="preserve">Министр</w:t>
      </w:r>
    </w:p>
    <w:p>
      <w:pPr>
        <w:pStyle w:val="0"/>
        <w:jc w:val="right"/>
      </w:pPr>
      <w:r>
        <w:rPr>
          <w:sz w:val="20"/>
        </w:rPr>
        <w:t xml:space="preserve">Б.РАХАЕВ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СОГЛАСОВАНО                                 УТВЕРЖДЕН</w:t>
      </w:r>
    </w:p>
    <w:p>
      <w:pPr>
        <w:pStyle w:val="1"/>
        <w:jc w:val="both"/>
      </w:pPr>
      <w:r>
        <w:rPr>
          <w:sz w:val="20"/>
        </w:rPr>
        <w:t xml:space="preserve">Председатель Общественной палаты                 приказом Министерства</w:t>
      </w:r>
    </w:p>
    <w:p>
      <w:pPr>
        <w:pStyle w:val="1"/>
        <w:jc w:val="both"/>
      </w:pPr>
      <w:r>
        <w:rPr>
          <w:sz w:val="20"/>
        </w:rPr>
        <w:t xml:space="preserve">Кабардино-Балкарской Республики                 экономического развития</w:t>
      </w:r>
    </w:p>
    <w:p>
      <w:pPr>
        <w:pStyle w:val="1"/>
        <w:jc w:val="both"/>
      </w:pPr>
      <w:r>
        <w:rPr>
          <w:sz w:val="20"/>
        </w:rPr>
        <w:t xml:space="preserve">_____________________ Х.А. Бердов           Кабардино-Балкарской Республики</w:t>
      </w:r>
    </w:p>
    <w:p>
      <w:pPr>
        <w:pStyle w:val="1"/>
        <w:jc w:val="both"/>
      </w:pPr>
      <w:r>
        <w:rPr>
          <w:sz w:val="20"/>
        </w:rPr>
        <w:t xml:space="preserve"> ________________________ 2018 г.            от 26 февраля 2018 года N 21</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МИНИСТЕРСТВЕ ЭКОНОМИЧЕСКОГО</w:t>
      </w:r>
    </w:p>
    <w:p>
      <w:pPr>
        <w:pStyle w:val="2"/>
        <w:jc w:val="center"/>
      </w:pPr>
      <w:r>
        <w:rPr>
          <w:sz w:val="20"/>
        </w:rPr>
        <w:t xml:space="preserve">РАЗВИТИЯ КАБАРДИНО-БАЛКАРСКОЙ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Приказа</w:t>
              </w:r>
            </w:hyperlink>
            <w:r>
              <w:rPr>
                <w:sz w:val="20"/>
                <w:color w:val="392c69"/>
              </w:rPr>
              <w:t xml:space="preserve"> Минэкономразвития КБР от 01.03.2019 N 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(далее - Положение) определяет компетенцию, порядок деятельности и формирования общественного совета при Министерстве экономического развития Кабардино-Балкарской Республики (далее - Общественный совет), порядок взаимодействия Министерства экономического развития Кабардино-Балкарской Республики (далее - Министерство) с Общественной палатой Кабардино-Балкарской Республики (далее - Общественная палата) при создании общественного совета и формировании его состава.</w:t>
      </w:r>
    </w:p>
    <w:p>
      <w:pPr>
        <w:pStyle w:val="0"/>
        <w:spacing w:before="200" w:line-rule="auto"/>
        <w:ind w:firstLine="540"/>
        <w:jc w:val="both"/>
      </w:pPr>
      <w:r>
        <w:rPr>
          <w:sz w:val="20"/>
        </w:rPr>
        <w:t xml:space="preserve">1.2. Общественный совет при Министерстве образуется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w:t>
      </w:r>
      <w:hyperlink w:history="0" r:id="rId16" w:tooltip="Закон Кабардино-Балкарской Республики от 19.04.2016 N 20-РЗ (ред. от 28.12.2016) &quot;Об общественном контроле в Кабардино-Балкарской Республике&quot; (принят Парламентом КБР 31.03.2016) {КонсультантПлюс}">
        <w:r>
          <w:rPr>
            <w:sz w:val="20"/>
            <w:color w:val="0000ff"/>
          </w:rPr>
          <w:t xml:space="preserve">Законом</w:t>
        </w:r>
      </w:hyperlink>
      <w:r>
        <w:rPr>
          <w:sz w:val="20"/>
        </w:rPr>
        <w:t xml:space="preserve"> Кабардино-Балкарской Республики от 19 апреля 2016 г. N 20-РЗ "Об общественном контроле в Кабардино-Балкарской Республике".</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и формой регулярного взаимодействия власти и гражданского общества.</w:t>
      </w:r>
    </w:p>
    <w:p>
      <w:pPr>
        <w:pStyle w:val="0"/>
        <w:spacing w:before="200" w:line-rule="auto"/>
        <w:ind w:firstLine="540"/>
        <w:jc w:val="both"/>
      </w:pPr>
      <w:r>
        <w:rPr>
          <w:sz w:val="20"/>
        </w:rPr>
        <w:t xml:space="preserve">1.4. Общественный совет является субъектом общественного контроля и участвует в осуществлении общественного контроля в сферах, относящихся к компетенции Министерства.</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Положение об Общественном совете и вносимые в него изменения утверждаются правовым актом Министерства после согласования с Общественной палатой.</w:t>
      </w:r>
    </w:p>
    <w:p>
      <w:pPr>
        <w:pStyle w:val="0"/>
        <w:spacing w:before="200" w:line-rule="auto"/>
        <w:ind w:firstLine="540"/>
        <w:jc w:val="both"/>
      </w:pPr>
      <w:r>
        <w:rPr>
          <w:sz w:val="20"/>
        </w:rPr>
        <w:t xml:space="preserve">1.7. Общественный совет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w:history="0" r:id="rId18" w:tooltip="&quot;Конституция Кабардино-Балкарской Республики&quot; от 01.09.1997 N 28-РЗ (принята Парламентом КБР 01.09.1997) (ред. от 11.05.2022) {КонсультантПлюс}">
        <w:r>
          <w:rPr>
            <w:sz w:val="20"/>
            <w:color w:val="0000ff"/>
          </w:rPr>
          <w:t xml:space="preserve">Конституции</w:t>
        </w:r>
      </w:hyperlink>
      <w:r>
        <w:rPr>
          <w:sz w:val="20"/>
        </w:rPr>
        <w:t xml:space="preserve"> Кабардино-Балкарской Республики, законов и иных нормативных правовых актов Кабардино-Балкарской Республики, Типового </w:t>
      </w:r>
      <w:hyperlink w:history="0" r:id="rId19" w:tooltip="Распоряжение Правительства КБР от 29.06.2017 N 401-рп (ред. от 09.04.2019) &lt;О порядке образования общественных советов при исполнительных органах государственной власти Кабардино-Балкарской Республики&gt; (вместе с &quot;Типовым положением об общественном совете при исполнительном органе государственной власти Кабардино-Балкарской Республики&quot;) {КонсультантПлюс}">
        <w:r>
          <w:rPr>
            <w:sz w:val="20"/>
            <w:color w:val="0000ff"/>
          </w:rPr>
          <w:t xml:space="preserve">положения</w:t>
        </w:r>
      </w:hyperlink>
      <w:r>
        <w:rPr>
          <w:sz w:val="20"/>
        </w:rPr>
        <w:t xml:space="preserve">, утвержденного распоряжением Правительства Кабардино-Балкарской Республики от 29 июня 2017 года N 401-рп, настоящего Положения.</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II. Цели и задачи Общественного совета</w:t>
      </w:r>
    </w:p>
    <w:p>
      <w:pPr>
        <w:pStyle w:val="0"/>
        <w:jc w:val="both"/>
      </w:pPr>
      <w:r>
        <w:rPr>
          <w:sz w:val="20"/>
        </w:rPr>
      </w:r>
    </w:p>
    <w:p>
      <w:pPr>
        <w:pStyle w:val="0"/>
        <w:ind w:firstLine="540"/>
        <w:jc w:val="both"/>
      </w:pPr>
      <w:r>
        <w:rPr>
          <w:sz w:val="20"/>
        </w:rPr>
        <w:t xml:space="preserve">2.1. Общественный совет образуется в целях защиты прав и свобод граждан Российской Федерации, общественных объединений и иных негосударственных некоммерческих организаций при выработке и реализации государственной политики и нормативно-правовом регулировании в соответствующей сфере государственного управления, обеспечения открытости деятельности исполнительного органа государственной власти и повышения эффективности его взаимодействия с институтами гражданского общества, а также осуществления общественного контроля за деятельностью Министерства.</w:t>
      </w:r>
    </w:p>
    <w:p>
      <w:pPr>
        <w:pStyle w:val="0"/>
        <w:spacing w:before="200" w:line-rule="auto"/>
        <w:ind w:firstLine="540"/>
        <w:jc w:val="both"/>
      </w:pPr>
      <w:r>
        <w:rPr>
          <w:sz w:val="20"/>
        </w:rPr>
        <w:t xml:space="preserve">2.2. Основными задачами Общественного совета являются:</w:t>
      </w:r>
    </w:p>
    <w:p>
      <w:pPr>
        <w:pStyle w:val="0"/>
        <w:spacing w:before="200" w:line-rule="auto"/>
        <w:ind w:firstLine="540"/>
        <w:jc w:val="both"/>
      </w:pPr>
      <w:r>
        <w:rPr>
          <w:sz w:val="20"/>
        </w:rPr>
        <w:t xml:space="preserve">1) привлечение граждан, общественных объединений и иных негосударственных некоммерческих организаций к реализации государственной политики в сфере деятельности исполнительного органа государственной власти;</w:t>
      </w:r>
    </w:p>
    <w:p>
      <w:pPr>
        <w:pStyle w:val="0"/>
        <w:spacing w:before="200" w:line-rule="auto"/>
        <w:ind w:firstLine="540"/>
        <w:jc w:val="both"/>
      </w:pPr>
      <w:r>
        <w:rPr>
          <w:sz w:val="20"/>
        </w:rPr>
        <w:t xml:space="preserve">2) проведение общественной экспертизы законов и иных нормативных правовых актов и их проектов по вопросам деятельности Министерства;</w:t>
      </w:r>
    </w:p>
    <w:p>
      <w:pPr>
        <w:pStyle w:val="0"/>
        <w:spacing w:before="200" w:line-rule="auto"/>
        <w:ind w:firstLine="540"/>
        <w:jc w:val="both"/>
      </w:pPr>
      <w:r>
        <w:rPr>
          <w:sz w:val="20"/>
        </w:rPr>
        <w:t xml:space="preserve">3) анализ реализации мер по предупреждению коррупции, по выявлению и последующему устранению причин развития коррупции в сфере деятельности Министерства с участием представителей органов власти, институтов гражданского общества, средств массовой информации, участие в проведении антикоррупционной пропаганды;</w:t>
      </w:r>
    </w:p>
    <w:p>
      <w:pPr>
        <w:pStyle w:val="0"/>
        <w:spacing w:before="200" w:line-rule="auto"/>
        <w:ind w:firstLine="540"/>
        <w:jc w:val="both"/>
      </w:pPr>
      <w:r>
        <w:rPr>
          <w:sz w:val="20"/>
        </w:rPr>
        <w:t xml:space="preserve">4) 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5) выдвижение и обсуждение общественных инициатив, связанных с деятельностью Министерства, в том числе направленных на противодействие коррупции;</w:t>
      </w:r>
    </w:p>
    <w:p>
      <w:pPr>
        <w:pStyle w:val="0"/>
        <w:spacing w:before="200" w:line-rule="auto"/>
        <w:ind w:firstLine="540"/>
        <w:jc w:val="both"/>
      </w:pPr>
      <w:r>
        <w:rPr>
          <w:sz w:val="20"/>
        </w:rPr>
        <w:t xml:space="preserve">6) участие в информировании граждан о деятельности Министерства, в том числе через средства массовой информации, и в публичном обсуждении вопросов, касающихся деятельности Министерства;</w:t>
      </w:r>
    </w:p>
    <w:p>
      <w:pPr>
        <w:pStyle w:val="0"/>
        <w:spacing w:before="200" w:line-rule="auto"/>
        <w:ind w:firstLine="540"/>
        <w:jc w:val="both"/>
      </w:pPr>
      <w:r>
        <w:rPr>
          <w:sz w:val="20"/>
        </w:rPr>
        <w:t xml:space="preserve">7) осуществление оценки эффективности организации и функционирования системы внутреннего обеспечения соответствия деятельности Министерства требованиям антимонопольного законодательства.</w:t>
      </w:r>
    </w:p>
    <w:p>
      <w:pPr>
        <w:pStyle w:val="0"/>
        <w:jc w:val="both"/>
      </w:pPr>
      <w:r>
        <w:rPr>
          <w:sz w:val="20"/>
        </w:rPr>
        <w:t xml:space="preserve">(пп. 7 введен </w:t>
      </w:r>
      <w:hyperlink w:history="0" r:id="rId20"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Приказом</w:t>
        </w:r>
      </w:hyperlink>
      <w:r>
        <w:rPr>
          <w:sz w:val="20"/>
        </w:rPr>
        <w:t xml:space="preserve"> Минэкономразвития КБР от 01.03.2019 N 29)</w:t>
      </w:r>
    </w:p>
    <w:p>
      <w:pPr>
        <w:pStyle w:val="0"/>
        <w:jc w:val="both"/>
      </w:pPr>
      <w:r>
        <w:rPr>
          <w:sz w:val="20"/>
        </w:rPr>
      </w:r>
    </w:p>
    <w:p>
      <w:pPr>
        <w:pStyle w:val="2"/>
        <w:outlineLvl w:val="1"/>
        <w:jc w:val="center"/>
      </w:pPr>
      <w:r>
        <w:rPr>
          <w:sz w:val="20"/>
        </w:rPr>
        <w:t xml:space="preserve">III. Компетенция и полномочия Общественного совета</w:t>
      </w:r>
    </w:p>
    <w:p>
      <w:pPr>
        <w:pStyle w:val="0"/>
        <w:jc w:val="both"/>
      </w:pPr>
      <w:r>
        <w:rPr>
          <w:sz w:val="20"/>
        </w:rPr>
      </w:r>
    </w:p>
    <w:p>
      <w:pPr>
        <w:pStyle w:val="0"/>
        <w:ind w:firstLine="540"/>
        <w:jc w:val="both"/>
      </w:pPr>
      <w:r>
        <w:rPr>
          <w:sz w:val="20"/>
        </w:rPr>
        <w:t xml:space="preserve">3.1. К компетенции Общественного совета относятся:</w:t>
      </w:r>
    </w:p>
    <w:p>
      <w:pPr>
        <w:pStyle w:val="0"/>
        <w:spacing w:before="200" w:line-rule="auto"/>
        <w:ind w:firstLine="540"/>
        <w:jc w:val="both"/>
      </w:pPr>
      <w:r>
        <w:rPr>
          <w:sz w:val="20"/>
        </w:rPr>
        <w:t xml:space="preserve">1) подготовка рекомендаций по решению вопросов, связанных с участием Министерства в выработке государственной политики и осуществлении нормативного правового регулирования в сфере его ведения;</w:t>
      </w:r>
    </w:p>
    <w:p>
      <w:pPr>
        <w:pStyle w:val="0"/>
        <w:spacing w:before="200" w:line-rule="auto"/>
        <w:ind w:firstLine="540"/>
        <w:jc w:val="both"/>
      </w:pPr>
      <w:r>
        <w:rPr>
          <w:sz w:val="20"/>
        </w:rPr>
        <w:t xml:space="preserve">2) рассмотрение вопросов Министерства поручений и актов Президента Российской Федерации, Правительства Российской Федерации, Главы Кабардино-Балкарской Республики, Председателя Правительства Кабардино-Балкарской Республики, а также реализации планов мероприятий ("дорожных карт"), государственных программ Кабардино-Балкарской Республики;</w:t>
      </w:r>
    </w:p>
    <w:p>
      <w:pPr>
        <w:pStyle w:val="0"/>
        <w:spacing w:before="200" w:line-rule="auto"/>
        <w:ind w:firstLine="540"/>
        <w:jc w:val="both"/>
      </w:pPr>
      <w:r>
        <w:rPr>
          <w:sz w:val="20"/>
        </w:rPr>
        <w:t xml:space="preserve">3) осуществление общественного контроля в порядке и формах, предусмотренных законодательством об общественном контроле;</w:t>
      </w:r>
    </w:p>
    <w:p>
      <w:pPr>
        <w:pStyle w:val="0"/>
        <w:spacing w:before="200" w:line-rule="auto"/>
        <w:ind w:firstLine="540"/>
        <w:jc w:val="both"/>
      </w:pPr>
      <w:r>
        <w:rPr>
          <w:sz w:val="20"/>
        </w:rPr>
        <w:t xml:space="preserve">4) рассмотрение общественно значимых проектов правовых актов Кабардино-Балкарской Республики, в том числе предварительное обсуждение нормативных правовых актов и иных документов, включая программные, разрабатываемых Министерством, которые не могут быть приняты без такого обсуждения согласно </w:t>
      </w:r>
      <w:hyperlink w:history="0" r:id="rId21" w:tooltip="Постановление Правительства КБР от 10.02.2015 N 18-ПП &quot;Об утверждении состава нормативных правовых актов и иных документов, включая программные, разрабатываемых органами исполнительной власти Кабардино-Балкарской Республики, которые не могут быть приняты без предварительного обсуждения на заседаниях общественных советов при этих органах исполнительной власти Кабардино-Балкарской Республики&quot; {КонсультантПлюс}">
        <w:r>
          <w:rPr>
            <w:sz w:val="20"/>
            <w:color w:val="0000ff"/>
          </w:rPr>
          <w:t xml:space="preserve">постановлению</w:t>
        </w:r>
      </w:hyperlink>
      <w:r>
        <w:rPr>
          <w:sz w:val="20"/>
        </w:rPr>
        <w:t xml:space="preserve"> Правительства Кабардино-Балкарской Республики от 10 февраля 2015 г. N 18-ПП. Общественный совет совместно с руководством Министерства вправе определить дополнительный перечень проектов приоритетных правовых актов, которые подлежат обязательному предварительному обсуждению на заседаниях Общественного совета;</w:t>
      </w:r>
    </w:p>
    <w:p>
      <w:pPr>
        <w:pStyle w:val="0"/>
        <w:spacing w:before="200" w:line-rule="auto"/>
        <w:ind w:firstLine="540"/>
        <w:jc w:val="both"/>
      </w:pPr>
      <w:r>
        <w:rPr>
          <w:sz w:val="20"/>
        </w:rPr>
        <w:t xml:space="preserve">5) осуществление мониторинга качества оказания государственных услуг Министерством, участие в мероприятиях по повышению качества их предоставления;</w:t>
      </w:r>
    </w:p>
    <w:p>
      <w:pPr>
        <w:pStyle w:val="0"/>
        <w:spacing w:before="200" w:line-rule="auto"/>
        <w:ind w:firstLine="540"/>
        <w:jc w:val="both"/>
      </w:pPr>
      <w:r>
        <w:rPr>
          <w:sz w:val="20"/>
        </w:rPr>
        <w:t xml:space="preserve">6) участие в работе комиссий по соблюдению требований к служебному поведению и урегулированию конфликта интересов, 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работ и оказание услуг;</w:t>
      </w:r>
    </w:p>
    <w:p>
      <w:pPr>
        <w:pStyle w:val="0"/>
        <w:spacing w:before="200" w:line-rule="auto"/>
        <w:ind w:firstLine="540"/>
        <w:jc w:val="both"/>
      </w:pPr>
      <w:r>
        <w:rPr>
          <w:sz w:val="20"/>
        </w:rPr>
        <w:t xml:space="preserve">7) участие в рассмотрении вопросов деятельности структурных подразделений Министерства, государственных учреждений Кабардино-Балкарской Республики и иных организаций, подведомственных Министерству;</w:t>
      </w:r>
    </w:p>
    <w:p>
      <w:pPr>
        <w:pStyle w:val="0"/>
        <w:spacing w:before="200" w:line-rule="auto"/>
        <w:ind w:firstLine="540"/>
        <w:jc w:val="both"/>
      </w:pPr>
      <w:r>
        <w:rPr>
          <w:sz w:val="20"/>
        </w:rPr>
        <w:t xml:space="preserve">8) по согласованию с руководителем Министерства участие в заседаниях и иных мероприятиях, проводимых Министерством;</w:t>
      </w:r>
    </w:p>
    <w:p>
      <w:pPr>
        <w:pStyle w:val="0"/>
        <w:spacing w:before="200" w:line-rule="auto"/>
        <w:ind w:firstLine="540"/>
        <w:jc w:val="both"/>
      </w:pPr>
      <w:r>
        <w:rPr>
          <w:sz w:val="20"/>
        </w:rPr>
        <w:t xml:space="preserve">9) рассмотрение инициатив граждан, организаций по вопросам, относящимся к сфере деятельности Министерствам, внесение предложений по их реализации;</w:t>
      </w:r>
    </w:p>
    <w:p>
      <w:pPr>
        <w:pStyle w:val="0"/>
        <w:spacing w:before="200" w:line-rule="auto"/>
        <w:ind w:firstLine="540"/>
        <w:jc w:val="both"/>
      </w:pPr>
      <w:r>
        <w:rPr>
          <w:sz w:val="20"/>
        </w:rPr>
        <w:t xml:space="preserve">10) участие в приеме граждан должностными лицами Министерства, выборочный анализ качества ответов Министерства на обращения граждан;</w:t>
      </w:r>
    </w:p>
    <w:p>
      <w:pPr>
        <w:pStyle w:val="0"/>
        <w:spacing w:before="200" w:line-rule="auto"/>
        <w:ind w:firstLine="540"/>
        <w:jc w:val="both"/>
      </w:pPr>
      <w:r>
        <w:rPr>
          <w:sz w:val="20"/>
        </w:rPr>
        <w:t xml:space="preserve">11) взаимодействие со средствами массовой информации по освещению деятельности Общественного совета;</w:t>
      </w:r>
    </w:p>
    <w:p>
      <w:pPr>
        <w:pStyle w:val="0"/>
        <w:spacing w:before="200" w:line-rule="auto"/>
        <w:ind w:firstLine="540"/>
        <w:jc w:val="both"/>
      </w:pPr>
      <w:r>
        <w:rPr>
          <w:sz w:val="20"/>
        </w:rPr>
        <w:t xml:space="preserve">12) иные вопросы, отнесенные законодательством Российской Федерации и законодательством Кабардино-Балкарской Республики к компетенции общественных советов;</w:t>
      </w:r>
    </w:p>
    <w:p>
      <w:pPr>
        <w:pStyle w:val="0"/>
        <w:spacing w:before="200" w:line-rule="auto"/>
        <w:ind w:firstLine="540"/>
        <w:jc w:val="both"/>
      </w:pPr>
      <w:r>
        <w:rPr>
          <w:sz w:val="20"/>
        </w:rPr>
        <w:t xml:space="preserve">13) рассмотрение и оценка мероприятий Министерства в части, касающейся функционирования антимонопольного комплаенса;</w:t>
      </w:r>
    </w:p>
    <w:p>
      <w:pPr>
        <w:pStyle w:val="0"/>
        <w:jc w:val="both"/>
      </w:pPr>
      <w:r>
        <w:rPr>
          <w:sz w:val="20"/>
        </w:rPr>
        <w:t xml:space="preserve">(пп. 13 введен </w:t>
      </w:r>
      <w:hyperlink w:history="0" r:id="rId22"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Приказом</w:t>
        </w:r>
      </w:hyperlink>
      <w:r>
        <w:rPr>
          <w:sz w:val="20"/>
        </w:rPr>
        <w:t xml:space="preserve"> Минэкономразвития КБР от 01.03.2019 N 29)</w:t>
      </w:r>
    </w:p>
    <w:p>
      <w:pPr>
        <w:pStyle w:val="0"/>
        <w:spacing w:before="200" w:line-rule="auto"/>
        <w:ind w:firstLine="540"/>
        <w:jc w:val="both"/>
      </w:pPr>
      <w:r>
        <w:rPr>
          <w:sz w:val="20"/>
        </w:rPr>
        <w:t xml:space="preserve">14) рассмотрение и утверждение доклада об антимонопольном комплаенсе.</w:t>
      </w:r>
    </w:p>
    <w:p>
      <w:pPr>
        <w:pStyle w:val="0"/>
        <w:jc w:val="both"/>
      </w:pPr>
      <w:r>
        <w:rPr>
          <w:sz w:val="20"/>
        </w:rPr>
        <w:t xml:space="preserve">(пп. 14 введен </w:t>
      </w:r>
      <w:hyperlink w:history="0" r:id="rId23"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Приказом</w:t>
        </w:r>
      </w:hyperlink>
      <w:r>
        <w:rPr>
          <w:sz w:val="20"/>
        </w:rPr>
        <w:t xml:space="preserve"> Минэкономразвития КБР от 01.03.2019 N 29)</w:t>
      </w:r>
    </w:p>
    <w:p>
      <w:pPr>
        <w:pStyle w:val="0"/>
        <w:spacing w:before="200" w:line-rule="auto"/>
        <w:ind w:firstLine="540"/>
        <w:jc w:val="both"/>
      </w:pPr>
      <w:r>
        <w:rPr>
          <w:sz w:val="20"/>
        </w:rPr>
        <w:t xml:space="preserve">3.2. Для реализации своей компетенции Общественный совет наделяется следующими полномочиями:</w:t>
      </w:r>
    </w:p>
    <w:p>
      <w:pPr>
        <w:pStyle w:val="0"/>
        <w:spacing w:before="200" w:line-rule="auto"/>
        <w:ind w:firstLine="540"/>
        <w:jc w:val="both"/>
      </w:pPr>
      <w:r>
        <w:rPr>
          <w:sz w:val="20"/>
        </w:rPr>
        <w:t xml:space="preserve">1) приглашать на заседания Общественного совета руководителей Министерства, представителей Общественной палаты, общественных объединений и других организаций, должностных лиц и специалистов;</w:t>
      </w:r>
    </w:p>
    <w:p>
      <w:pPr>
        <w:pStyle w:val="0"/>
        <w:spacing w:before="200" w:line-rule="auto"/>
        <w:ind w:firstLine="540"/>
        <w:jc w:val="both"/>
      </w:pPr>
      <w:r>
        <w:rPr>
          <w:sz w:val="20"/>
        </w:rPr>
        <w:t xml:space="preserve">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Министерства государственные гражданские служащие;</w:t>
      </w:r>
    </w:p>
    <w:p>
      <w:pPr>
        <w:pStyle w:val="0"/>
        <w:spacing w:before="200" w:line-rule="auto"/>
        <w:ind w:firstLine="540"/>
        <w:jc w:val="both"/>
      </w:pPr>
      <w:r>
        <w:rPr>
          <w:sz w:val="20"/>
        </w:rPr>
        <w:t xml:space="preserve">3) пользоваться иными правами, предусмотренными законодательством Российской Федерации и законодательством Кабардино-Балкарской Республики.</w:t>
      </w:r>
    </w:p>
    <w:p>
      <w:pPr>
        <w:pStyle w:val="0"/>
        <w:jc w:val="both"/>
      </w:pPr>
      <w:r>
        <w:rPr>
          <w:sz w:val="20"/>
        </w:rPr>
      </w:r>
    </w:p>
    <w:p>
      <w:pPr>
        <w:pStyle w:val="2"/>
        <w:outlineLvl w:val="1"/>
        <w:jc w:val="center"/>
      </w:pPr>
      <w:r>
        <w:rPr>
          <w:sz w:val="20"/>
        </w:rPr>
        <w:t xml:space="preserve">IV.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формируется в соответствии с федеральными законами, законами Кабардино-Балкарской Республики и настоящим Положением в случае принятия решения о его образовании либо в случае истечения полномочий Общественного совета предыдущего состава. Количественный состав Общественного совета не может составлять менее 5 человек.</w:t>
      </w:r>
    </w:p>
    <w:p>
      <w:pPr>
        <w:pStyle w:val="0"/>
        <w:spacing w:before="200" w:line-rule="auto"/>
        <w:ind w:firstLine="540"/>
        <w:jc w:val="both"/>
      </w:pPr>
      <w:r>
        <w:rPr>
          <w:sz w:val="20"/>
        </w:rPr>
        <w:t xml:space="preserve">4.2. Общественный совет создается по инициативе руководителя Министерства либо по предложению Общественной палаты.</w:t>
      </w:r>
    </w:p>
    <w:p>
      <w:pPr>
        <w:pStyle w:val="0"/>
        <w:spacing w:before="200" w:line-rule="auto"/>
        <w:ind w:firstLine="540"/>
        <w:jc w:val="both"/>
      </w:pPr>
      <w:r>
        <w:rPr>
          <w:sz w:val="20"/>
        </w:rPr>
        <w:t xml:space="preserve">4.3. Предложение о создании Общественного совета по инициативе Общественной палаты осуществляется путем направления соответствующего решения совета Общественной палаты руководителю Министерства.</w:t>
      </w:r>
    </w:p>
    <w:p>
      <w:pPr>
        <w:pStyle w:val="0"/>
        <w:spacing w:before="200" w:line-rule="auto"/>
        <w:ind w:firstLine="540"/>
        <w:jc w:val="both"/>
      </w:pPr>
      <w:r>
        <w:rPr>
          <w:sz w:val="20"/>
        </w:rPr>
        <w:t xml:space="preserve">4.4. Объявление о начале формирования Общественного совета должно содержать:</w:t>
      </w:r>
    </w:p>
    <w:p>
      <w:pPr>
        <w:pStyle w:val="0"/>
        <w:spacing w:before="200" w:line-rule="auto"/>
        <w:ind w:firstLine="540"/>
        <w:jc w:val="both"/>
      </w:pPr>
      <w:r>
        <w:rPr>
          <w:sz w:val="20"/>
        </w:rPr>
        <w:t xml:space="preserve">1) информацию о начале приема заявлений от кандидатов в члены Общественного совета;</w:t>
      </w:r>
    </w:p>
    <w:p>
      <w:pPr>
        <w:pStyle w:val="0"/>
        <w:spacing w:before="200" w:line-rule="auto"/>
        <w:ind w:firstLine="540"/>
        <w:jc w:val="both"/>
      </w:pPr>
      <w:r>
        <w:rPr>
          <w:sz w:val="20"/>
        </w:rPr>
        <w:t xml:space="preserve">2) требования к кандидатам в члены Общественного совета;</w:t>
      </w:r>
    </w:p>
    <w:p>
      <w:pPr>
        <w:pStyle w:val="0"/>
        <w:spacing w:before="200" w:line-rule="auto"/>
        <w:ind w:firstLine="540"/>
        <w:jc w:val="both"/>
      </w:pPr>
      <w:r>
        <w:rPr>
          <w:sz w:val="20"/>
        </w:rPr>
        <w:t xml:space="preserve">3) сроки и место приема заявлений.</w:t>
      </w:r>
    </w:p>
    <w:p>
      <w:pPr>
        <w:pStyle w:val="0"/>
        <w:spacing w:before="200" w:line-rule="auto"/>
        <w:ind w:firstLine="540"/>
        <w:jc w:val="both"/>
      </w:pPr>
      <w:r>
        <w:rPr>
          <w:sz w:val="20"/>
        </w:rPr>
        <w:t xml:space="preserve">4.5. В случае создания Общественного совета по инициативе Министерства в Общественную палату направляются решение о создании Общественного совета и проект положения об Общественном совете для согласования.</w:t>
      </w:r>
    </w:p>
    <w:p>
      <w:pPr>
        <w:pStyle w:val="0"/>
        <w:spacing w:before="200" w:line-rule="auto"/>
        <w:ind w:firstLine="540"/>
        <w:jc w:val="both"/>
      </w:pPr>
      <w:r>
        <w:rPr>
          <w:sz w:val="20"/>
        </w:rPr>
        <w:t xml:space="preserve">4.6. Общественная палата в течение 5 рабочих дней рассматривает проект положения об Общественном совете.</w:t>
      </w:r>
    </w:p>
    <w:p>
      <w:pPr>
        <w:pStyle w:val="0"/>
        <w:spacing w:before="200" w:line-rule="auto"/>
        <w:ind w:firstLine="540"/>
        <w:jc w:val="both"/>
      </w:pPr>
      <w:r>
        <w:rPr>
          <w:sz w:val="20"/>
        </w:rPr>
        <w:t xml:space="preserve">4.7. В течение 30 рабочих дней со дня размещения объявления о начале процедуры формирования Общественного совета на своем официальном сайте в сети "Интернет" и в периодическом печатном издании Министерство организует сбор заявлений по кандидатурам в состав Общественного совета в соответствии с установленными требованиями.</w:t>
      </w:r>
    </w:p>
    <w:p>
      <w:pPr>
        <w:pStyle w:val="0"/>
        <w:spacing w:before="200" w:line-rule="auto"/>
        <w:ind w:firstLine="540"/>
        <w:jc w:val="both"/>
      </w:pPr>
      <w:r>
        <w:rPr>
          <w:sz w:val="20"/>
        </w:rPr>
        <w:t xml:space="preserve">4.8. Общественный совет формируется на основе добровольного участия в его деятельности граждан Российской Федерации, представителей различных социальных групп: Общественной палаты, бизнес-сообщества, общественных организаций, экспертного и научного сообществ, средств массовой информации, самовыдвиженцев.</w:t>
      </w:r>
    </w:p>
    <w:p>
      <w:pPr>
        <w:pStyle w:val="0"/>
        <w:spacing w:before="200" w:line-rule="auto"/>
        <w:ind w:firstLine="540"/>
        <w:jc w:val="both"/>
      </w:pPr>
      <w:r>
        <w:rPr>
          <w:sz w:val="20"/>
        </w:rPr>
        <w:t xml:space="preserve">4.9. Правом выдвижения кандидатур в члены Общественного совета обладают граждане в порядке самовыдвижения, Общественная палата,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Не допускаются к выдвижению кандидатов организации, которые в соответствии с </w:t>
      </w:r>
      <w:hyperlink w:history="0" r:id="rId24" w:tooltip="Закон Кабардино-Балкарской Республики от 08.06.2009 N 26-РЗ (ред. от 09.04.2019) &quot;Об Общественной палате Кабардино-Балкарской Республики&quot; (принят Парламентом КБР 29.04.2009) {КонсультантПлюс}">
        <w:r>
          <w:rPr>
            <w:sz w:val="20"/>
            <w:color w:val="0000ff"/>
          </w:rPr>
          <w:t xml:space="preserve">Законом</w:t>
        </w:r>
      </w:hyperlink>
      <w:r>
        <w:rPr>
          <w:sz w:val="20"/>
        </w:rPr>
        <w:t xml:space="preserve"> Кабардино-Балкарской Республики от 8 июня 2009 г. N 26-РЗ "Об Общественной палате Кабардино-Балкарской Республики" не могут выдвигать кандидатов в члены Общественной палаты Кабардино-Балкарской Республики.</w:t>
      </w:r>
    </w:p>
    <w:p>
      <w:pPr>
        <w:pStyle w:val="0"/>
        <w:spacing w:before="200" w:line-rule="auto"/>
        <w:ind w:firstLine="540"/>
        <w:jc w:val="both"/>
      </w:pPr>
      <w:r>
        <w:rPr>
          <w:sz w:val="20"/>
        </w:rPr>
        <w:t xml:space="preserve">4.10.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w:t>
      </w:r>
    </w:p>
    <w:p>
      <w:pPr>
        <w:pStyle w:val="0"/>
        <w:spacing w:before="200" w:line-rule="auto"/>
        <w:ind w:firstLine="540"/>
        <w:jc w:val="both"/>
      </w:pPr>
      <w:r>
        <w:rPr>
          <w:sz w:val="20"/>
        </w:rPr>
        <w:t xml:space="preserve">1) общественное объединение и иная негосударственная некоммерческая организация зарегистрирована и осуществляет деятельность на территории Кабардино-Балкарской Республики;</w:t>
      </w:r>
    </w:p>
    <w:p>
      <w:pPr>
        <w:pStyle w:val="0"/>
        <w:spacing w:before="200" w:line-rule="auto"/>
        <w:ind w:firstLine="540"/>
        <w:jc w:val="both"/>
      </w:pPr>
      <w:r>
        <w:rPr>
          <w:sz w:val="20"/>
        </w:rPr>
        <w:t xml:space="preserve">2) не находится в процессе ликвидации;</w:t>
      </w:r>
    </w:p>
    <w:p>
      <w:pPr>
        <w:pStyle w:val="0"/>
        <w:spacing w:before="200" w:line-rule="auto"/>
        <w:ind w:firstLine="540"/>
        <w:jc w:val="both"/>
      </w:pPr>
      <w:r>
        <w:rPr>
          <w:sz w:val="20"/>
        </w:rPr>
        <w:t xml:space="preserve">3) кандидат в состав Общественного совета при Министерстве старше 18 лет и имеет гражданство Российской Федерации;</w:t>
      </w:r>
    </w:p>
    <w:p>
      <w:pPr>
        <w:pStyle w:val="0"/>
        <w:spacing w:before="200" w:line-rule="auto"/>
        <w:ind w:firstLine="540"/>
        <w:jc w:val="both"/>
      </w:pPr>
      <w:r>
        <w:rPr>
          <w:sz w:val="20"/>
        </w:rPr>
        <w:t xml:space="preserve">4) не имеют конфликта интересов, связанного с осуществлением деятельности члена Общественного совета.</w:t>
      </w:r>
    </w:p>
    <w:bookmarkStart w:id="108" w:name="P108"/>
    <w:bookmarkEnd w:id="108"/>
    <w:p>
      <w:pPr>
        <w:pStyle w:val="0"/>
        <w:spacing w:before="200" w:line-rule="auto"/>
        <w:ind w:firstLine="540"/>
        <w:jc w:val="both"/>
      </w:pPr>
      <w:r>
        <w:rPr>
          <w:sz w:val="20"/>
        </w:rPr>
        <w:t xml:space="preserve">4.11.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лица, замещающие государственные должности, должности государственной службы Российской Федерации и Кабардино-Балкарской Республики либо назначаемые на должность руководителем Министерства, при котором образован Общественный совет, должности муниципальной службы, а также лица, замещающие выборные должности в органах местного самоуправления;</w:t>
      </w:r>
    </w:p>
    <w:p>
      <w:pPr>
        <w:pStyle w:val="0"/>
        <w:spacing w:before="200" w:line-rule="auto"/>
        <w:ind w:firstLine="540"/>
        <w:jc w:val="both"/>
      </w:pPr>
      <w:r>
        <w:rPr>
          <w:sz w:val="20"/>
        </w:rPr>
        <w:t xml:space="preserve">лица, признанные недееспособными на основании решения суда;</w:t>
      </w:r>
    </w:p>
    <w:p>
      <w:pPr>
        <w:pStyle w:val="0"/>
        <w:spacing w:before="200" w:line-rule="auto"/>
        <w:ind w:firstLine="540"/>
        <w:jc w:val="both"/>
      </w:pPr>
      <w:r>
        <w:rPr>
          <w:sz w:val="20"/>
        </w:rPr>
        <w:t xml:space="preserve">лица, имеющие непогашенную или неснятую судимость;</w:t>
      </w:r>
    </w:p>
    <w:p>
      <w:pPr>
        <w:pStyle w:val="0"/>
        <w:spacing w:before="200" w:line-rule="auto"/>
        <w:ind w:firstLine="540"/>
        <w:jc w:val="both"/>
      </w:pPr>
      <w:r>
        <w:rPr>
          <w:sz w:val="20"/>
        </w:rPr>
        <w:t xml:space="preserve">лица, имеющие двойное гражданство;</w:t>
      </w:r>
    </w:p>
    <w:p>
      <w:pPr>
        <w:pStyle w:val="0"/>
        <w:spacing w:before="200" w:line-rule="auto"/>
        <w:ind w:firstLine="540"/>
        <w:jc w:val="both"/>
      </w:pPr>
      <w:r>
        <w:rPr>
          <w:sz w:val="20"/>
        </w:rPr>
        <w:t xml:space="preserve">лица, входящие в состав двух общественных советов при исполнительном органе государственной власти, за исключением лиц, являющихся членами Общественного совета при исполнительном органе государственной власти, в который они выдвигаются повторно;</w:t>
      </w:r>
    </w:p>
    <w:p>
      <w:pPr>
        <w:pStyle w:val="0"/>
        <w:spacing w:before="200" w:line-rule="auto"/>
        <w:ind w:firstLine="540"/>
        <w:jc w:val="both"/>
      </w:pPr>
      <w:r>
        <w:rPr>
          <w:sz w:val="20"/>
        </w:rPr>
        <w:t xml:space="preserve">лица, которые в соответствии с Федеральным </w:t>
      </w:r>
      <w:hyperlink w:history="0" r:id="rId25"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4.12. Требования к комплектности документов, предоставляемых организацией, носят универсальный характер и включают:</w:t>
      </w:r>
    </w:p>
    <w:p>
      <w:pPr>
        <w:pStyle w:val="0"/>
        <w:spacing w:before="200" w:line-rule="auto"/>
        <w:ind w:firstLine="540"/>
        <w:jc w:val="both"/>
      </w:pPr>
      <w:r>
        <w:rPr>
          <w:sz w:val="20"/>
        </w:rPr>
        <w:t xml:space="preserve">1) </w:t>
      </w:r>
      <w:hyperlink w:history="0" w:anchor="P207" w:tooltip="                                 Заявление">
        <w:r>
          <w:rPr>
            <w:sz w:val="20"/>
            <w:color w:val="0000ff"/>
          </w:rPr>
          <w:t xml:space="preserve">заявление</w:t>
        </w:r>
      </w:hyperlink>
      <w:r>
        <w:rPr>
          <w:sz w:val="20"/>
        </w:rPr>
        <w:t xml:space="preserve"> кандидата в члены Общественного совета на имя руководителя Министерства о согласии принять участие в работе Общественного совета (приложение N 1);</w:t>
      </w:r>
    </w:p>
    <w:p>
      <w:pPr>
        <w:pStyle w:val="0"/>
        <w:spacing w:before="200" w:line-rule="auto"/>
        <w:ind w:firstLine="540"/>
        <w:jc w:val="both"/>
      </w:pPr>
      <w:r>
        <w:rPr>
          <w:sz w:val="20"/>
        </w:rPr>
        <w:t xml:space="preserve">2) </w:t>
      </w:r>
      <w:hyperlink w:history="0" w:anchor="P243" w:tooltip="                                  Анкета">
        <w:r>
          <w:rPr>
            <w:sz w:val="20"/>
            <w:color w:val="0000ff"/>
          </w:rPr>
          <w:t xml:space="preserve">анкета</w:t>
        </w:r>
      </w:hyperlink>
      <w:r>
        <w:rPr>
          <w:sz w:val="20"/>
        </w:rPr>
        <w:t xml:space="preserve"> кандидата (приложение N 2);</w:t>
      </w:r>
    </w:p>
    <w:p>
      <w:pPr>
        <w:pStyle w:val="0"/>
        <w:spacing w:before="200" w:line-rule="auto"/>
        <w:ind w:firstLine="540"/>
        <w:jc w:val="both"/>
      </w:pPr>
      <w:r>
        <w:rPr>
          <w:sz w:val="20"/>
        </w:rPr>
        <w:t xml:space="preserve">3) </w:t>
      </w:r>
      <w:hyperlink w:history="0" w:anchor="P306" w:tooltip="                                 Согласие">
        <w:r>
          <w:rPr>
            <w:sz w:val="20"/>
            <w:color w:val="0000ff"/>
          </w:rPr>
          <w:t xml:space="preserve">согласие</w:t>
        </w:r>
      </w:hyperlink>
      <w:r>
        <w:rPr>
          <w:sz w:val="20"/>
        </w:rPr>
        <w:t xml:space="preserve"> кандидата на обработку персональных данных (приложение N 3);</w:t>
      </w:r>
    </w:p>
    <w:p>
      <w:pPr>
        <w:pStyle w:val="0"/>
        <w:spacing w:before="200" w:line-rule="auto"/>
        <w:ind w:firstLine="540"/>
        <w:jc w:val="both"/>
      </w:pPr>
      <w:r>
        <w:rPr>
          <w:sz w:val="20"/>
        </w:rPr>
        <w:t xml:space="preserve">4) информационное письмо организации, выдвигающей кандидата, адресованное Министерству, содержащее в свободной форме (представляется в оригинале):</w:t>
      </w:r>
    </w:p>
    <w:p>
      <w:pPr>
        <w:pStyle w:val="0"/>
        <w:spacing w:before="200" w:line-rule="auto"/>
        <w:ind w:firstLine="540"/>
        <w:jc w:val="both"/>
      </w:pPr>
      <w:r>
        <w:rPr>
          <w:sz w:val="20"/>
        </w:rPr>
        <w:t xml:space="preserve">полное наименование юридического лица;</w:t>
      </w:r>
    </w:p>
    <w:p>
      <w:pPr>
        <w:pStyle w:val="0"/>
        <w:spacing w:before="200" w:line-rule="auto"/>
        <w:ind w:firstLine="540"/>
        <w:jc w:val="both"/>
      </w:pPr>
      <w:r>
        <w:rPr>
          <w:sz w:val="20"/>
        </w:rPr>
        <w:t xml:space="preserve">ИНН, ОГРН юридического лица;</w:t>
      </w:r>
    </w:p>
    <w:p>
      <w:pPr>
        <w:pStyle w:val="0"/>
        <w:spacing w:before="200" w:line-rule="auto"/>
        <w:ind w:firstLine="540"/>
        <w:jc w:val="both"/>
      </w:pPr>
      <w:r>
        <w:rPr>
          <w:sz w:val="20"/>
        </w:rPr>
        <w:t xml:space="preserve">выдержку из устава юридического лица о его целях и задачах.</w:t>
      </w:r>
    </w:p>
    <w:p>
      <w:pPr>
        <w:pStyle w:val="0"/>
        <w:spacing w:before="200" w:line-rule="auto"/>
        <w:ind w:firstLine="540"/>
        <w:jc w:val="both"/>
      </w:pPr>
      <w:r>
        <w:rPr>
          <w:sz w:val="20"/>
        </w:rPr>
        <w:t xml:space="preserve">4.13. Состав Общественного совета определяется Министерством из числа кандидатов, выдвинутых в члены Общественного совета, и утверждается по согласованию с Общественной палатой.</w:t>
      </w:r>
    </w:p>
    <w:p>
      <w:pPr>
        <w:pStyle w:val="0"/>
        <w:spacing w:before="200" w:line-rule="auto"/>
        <w:ind w:firstLine="540"/>
        <w:jc w:val="both"/>
      </w:pPr>
      <w:r>
        <w:rPr>
          <w:sz w:val="20"/>
        </w:rPr>
        <w:t xml:space="preserve">Руководитель Министерства определяет ответственного секретаря Общественного совета из числа своих сотрудников.</w:t>
      </w:r>
    </w:p>
    <w:p>
      <w:pPr>
        <w:pStyle w:val="0"/>
        <w:spacing w:before="200" w:line-rule="auto"/>
        <w:ind w:firstLine="540"/>
        <w:jc w:val="both"/>
      </w:pPr>
      <w:r>
        <w:rPr>
          <w:sz w:val="20"/>
        </w:rPr>
        <w:t xml:space="preserve">Ответственный секретарь Общественного совета не входит в состав Общественного совета и не является его членом.</w:t>
      </w:r>
    </w:p>
    <w:p>
      <w:pPr>
        <w:pStyle w:val="0"/>
        <w:spacing w:before="200" w:line-rule="auto"/>
        <w:ind w:firstLine="540"/>
        <w:jc w:val="both"/>
      </w:pPr>
      <w:r>
        <w:rPr>
          <w:sz w:val="20"/>
        </w:rPr>
        <w:t xml:space="preserve">4.14. Общественный совет считается сформированным со дня подписания руководителем Министерства соответствующего акта с указанием состава Общественного совета.</w:t>
      </w:r>
    </w:p>
    <w:p>
      <w:pPr>
        <w:pStyle w:val="0"/>
        <w:spacing w:before="200" w:line-rule="auto"/>
        <w:ind w:firstLine="540"/>
        <w:jc w:val="both"/>
      </w:pPr>
      <w:r>
        <w:rPr>
          <w:sz w:val="20"/>
        </w:rPr>
        <w:t xml:space="preserve">4.15. Срок полномочий членов Общественного совета составляет три года с момента проведения первого заседания Общественного совета во вновь сформированном составе.</w:t>
      </w:r>
    </w:p>
    <w:p>
      <w:pPr>
        <w:pStyle w:val="0"/>
        <w:spacing w:before="200" w:line-rule="auto"/>
        <w:ind w:firstLine="540"/>
        <w:jc w:val="both"/>
      </w:pPr>
      <w:r>
        <w:rPr>
          <w:sz w:val="20"/>
        </w:rPr>
        <w:t xml:space="preserve">4.16. Замена членов Общественного совета допускается в случае систематического (3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pPr>
        <w:pStyle w:val="0"/>
        <w:spacing w:before="200" w:line-rule="auto"/>
        <w:ind w:firstLine="540"/>
        <w:jc w:val="both"/>
      </w:pPr>
      <w:r>
        <w:rPr>
          <w:sz w:val="20"/>
        </w:rPr>
        <w:t xml:space="preserve">4.17. Вопрос об исключении члена Общественного совета в случае систематического пропуска заседаний Общественного совета инициируется решением Общественного совета.</w:t>
      </w:r>
    </w:p>
    <w:p>
      <w:pPr>
        <w:pStyle w:val="0"/>
        <w:spacing w:before="200" w:line-rule="auto"/>
        <w:ind w:firstLine="540"/>
        <w:jc w:val="both"/>
      </w:pPr>
      <w:r>
        <w:rPr>
          <w:sz w:val="20"/>
        </w:rPr>
        <w:t xml:space="preserve">4.18. Полномочия члена Общественного совета прекращаются в случае:</w:t>
      </w:r>
    </w:p>
    <w:p>
      <w:pPr>
        <w:pStyle w:val="0"/>
        <w:spacing w:before="200" w:line-rule="auto"/>
        <w:ind w:firstLine="540"/>
        <w:jc w:val="both"/>
      </w:pPr>
      <w:r>
        <w:rPr>
          <w:sz w:val="20"/>
        </w:rPr>
        <w:t xml:space="preserve">а) истечения срока его полномочий;</w:t>
      </w:r>
    </w:p>
    <w:p>
      <w:pPr>
        <w:pStyle w:val="0"/>
        <w:spacing w:before="200" w:line-rule="auto"/>
        <w:ind w:firstLine="540"/>
        <w:jc w:val="both"/>
      </w:pPr>
      <w:r>
        <w:rPr>
          <w:sz w:val="20"/>
        </w:rPr>
        <w:t xml:space="preserve">б) подачи им заявления о выходе из состава Общественного совета;</w:t>
      </w:r>
    </w:p>
    <w:p>
      <w:pPr>
        <w:pStyle w:val="0"/>
        <w:spacing w:before="200" w:line-rule="auto"/>
        <w:ind w:firstLine="540"/>
        <w:jc w:val="both"/>
      </w:pPr>
      <w:r>
        <w:rPr>
          <w:sz w:val="20"/>
        </w:rPr>
        <w:t xml:space="preserve">в) избрания или назначения члена Общественного совета на должности, указанные в </w:t>
      </w:r>
      <w:hyperlink w:history="0" w:anchor="P108" w:tooltip="4.11. Не могут быть выдвинуты в качестве кандидатов в члены Общественного совета:">
        <w:r>
          <w:rPr>
            <w:sz w:val="20"/>
            <w:color w:val="0000ff"/>
          </w:rPr>
          <w:t xml:space="preserve">пункте 4.11</w:t>
        </w:r>
      </w:hyperlink>
      <w:r>
        <w:rPr>
          <w:sz w:val="20"/>
        </w:rPr>
        <w:t xml:space="preserve"> настоящего Положения;</w:t>
      </w:r>
    </w:p>
    <w:p>
      <w:pPr>
        <w:pStyle w:val="0"/>
        <w:spacing w:before="200" w:line-rule="auto"/>
        <w:ind w:firstLine="540"/>
        <w:jc w:val="both"/>
      </w:pPr>
      <w:r>
        <w:rPr>
          <w:sz w:val="20"/>
        </w:rPr>
        <w:t xml:space="preserve">г)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д) его смерти,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е) в случаях, предусмотренных </w:t>
      </w:r>
      <w:hyperlink w:history="0" w:anchor="P188" w:tooltip="6.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
        <w:r>
          <w:rPr>
            <w:sz w:val="20"/>
            <w:color w:val="0000ff"/>
          </w:rPr>
          <w:t xml:space="preserve">пунктом 6.5</w:t>
        </w:r>
      </w:hyperlink>
      <w:r>
        <w:rPr>
          <w:sz w:val="20"/>
        </w:rPr>
        <w:t xml:space="preserve"> настоящего Положения.</w:t>
      </w:r>
    </w:p>
    <w:p>
      <w:pPr>
        <w:pStyle w:val="0"/>
        <w:spacing w:before="200" w:line-rule="auto"/>
        <w:ind w:firstLine="540"/>
        <w:jc w:val="both"/>
      </w:pPr>
      <w:r>
        <w:rPr>
          <w:sz w:val="20"/>
        </w:rPr>
        <w:t xml:space="preserve">4.19. В случае прекращения деятельности Общественный совет может быть создан вновь по инициативе руководителя Министерства либо Общественной палаты в порядке, определенном настоящим Положением.</w:t>
      </w:r>
    </w:p>
    <w:p>
      <w:pPr>
        <w:pStyle w:val="0"/>
        <w:spacing w:before="200" w:line-rule="auto"/>
        <w:ind w:firstLine="540"/>
        <w:jc w:val="both"/>
      </w:pPr>
      <w:r>
        <w:rPr>
          <w:sz w:val="20"/>
        </w:rPr>
        <w:t xml:space="preserve">4.20. Общественные советы второго и последующих составов формируются в установленном порядке в связи с истечением срока полномочий Общественного совета. Не позднее чем за 2 месяца до истечения срока полномочий действующего состава Общественного совета Министерство инициирует процедуру формирования его нового состава.</w:t>
      </w:r>
    </w:p>
    <w:p>
      <w:pPr>
        <w:pStyle w:val="0"/>
        <w:jc w:val="both"/>
      </w:pPr>
      <w:r>
        <w:rPr>
          <w:sz w:val="20"/>
        </w:rPr>
      </w:r>
    </w:p>
    <w:p>
      <w:pPr>
        <w:pStyle w:val="2"/>
        <w:outlineLvl w:val="1"/>
        <w:jc w:val="center"/>
      </w:pPr>
      <w:r>
        <w:rPr>
          <w:sz w:val="20"/>
        </w:rPr>
        <w:t xml:space="preserve">V.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собирается не позднее 30 (тридцати) дней со дня утверждения его состава и избирает председателя (сопредседателей), заместителя (заместителей) председателя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на год, утвержденным на заседании Общественного совета.</w:t>
      </w:r>
    </w:p>
    <w:p>
      <w:pPr>
        <w:pStyle w:val="0"/>
        <w:spacing w:before="200" w:line-rule="auto"/>
        <w:ind w:firstLine="540"/>
        <w:jc w:val="both"/>
      </w:pPr>
      <w:r>
        <w:rPr>
          <w:sz w:val="20"/>
        </w:rPr>
        <w:t xml:space="preserve">5.3. Основной формой деятельности Общественного совета являются заседания, которые проводятся не реже одного раза в квартал. Заседание Общественного совета считается правомочным, если на нем присутствует не менее половины его членов. По решению председателя Общественного совета или по требованию не менее одной трети его членов может быть проведено внеочередное заседание.</w:t>
      </w:r>
    </w:p>
    <w:p>
      <w:pPr>
        <w:pStyle w:val="0"/>
        <w:spacing w:before="200" w:line-rule="auto"/>
        <w:ind w:firstLine="540"/>
        <w:jc w:val="both"/>
      </w:pPr>
      <w:r>
        <w:rPr>
          <w:sz w:val="20"/>
        </w:rPr>
        <w:t xml:space="preserve">5.4.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w:t>
      </w:r>
    </w:p>
    <w:p>
      <w:pPr>
        <w:pStyle w:val="0"/>
        <w:spacing w:before="200" w:line-rule="auto"/>
        <w:ind w:firstLine="540"/>
        <w:jc w:val="both"/>
      </w:pPr>
      <w:r>
        <w:rPr>
          <w:sz w:val="20"/>
        </w:rPr>
        <w:t xml:space="preserve">5.5. Решения Общественного совета оформляются протоколами, копии которых предоставляются ответственным секретарем членам Общественного совета. Информация о решениях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в обязательном порядке подлежат размещению в сети "Интернет" на официальном сайте Министерства.</w:t>
      </w:r>
    </w:p>
    <w:p>
      <w:pPr>
        <w:pStyle w:val="0"/>
        <w:spacing w:before="200" w:line-rule="auto"/>
        <w:ind w:firstLine="540"/>
        <w:jc w:val="both"/>
      </w:pPr>
      <w:r>
        <w:rPr>
          <w:sz w:val="20"/>
        </w:rPr>
        <w:t xml:space="preserve">5.6.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w:t>
      </w:r>
    </w:p>
    <w:p>
      <w:pPr>
        <w:pStyle w:val="0"/>
        <w:spacing w:before="200" w:line-rule="auto"/>
        <w:ind w:firstLine="540"/>
        <w:jc w:val="both"/>
      </w:pPr>
      <w:r>
        <w:rPr>
          <w:sz w:val="20"/>
        </w:rPr>
        <w:t xml:space="preserve">5.7. За 5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3 дня до начала заседания Общественного совета предоставляет указанные материалы руководителю Министерства и членам Общественного совета.</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формирует при участии членов Общественного совета примерный план работы и вносит его на заседание Общественного совета для утверждения;</w:t>
      </w:r>
    </w:p>
    <w:p>
      <w:pPr>
        <w:pStyle w:val="0"/>
        <w:spacing w:before="200" w:line-rule="auto"/>
        <w:ind w:firstLine="540"/>
        <w:jc w:val="both"/>
      </w:pPr>
      <w:r>
        <w:rPr>
          <w:sz w:val="20"/>
        </w:rPr>
        <w:t xml:space="preserve">3) формирует при участии членов Общественного совета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4) контролирует своевременное уведомление членов Общественного совета о дате, месте проведения и повестке предстоящего заседания;</w:t>
      </w:r>
    </w:p>
    <w:p>
      <w:pPr>
        <w:pStyle w:val="0"/>
        <w:spacing w:before="200" w:line-rule="auto"/>
        <w:ind w:firstLine="540"/>
        <w:jc w:val="both"/>
      </w:pPr>
      <w:r>
        <w:rPr>
          <w:sz w:val="20"/>
        </w:rPr>
        <w:t xml:space="preserve">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6) контролирует своевременное направление членам Общественного совета документов и материалов;</w:t>
      </w:r>
    </w:p>
    <w:p>
      <w:pPr>
        <w:pStyle w:val="0"/>
        <w:spacing w:before="200" w:line-rule="auto"/>
        <w:ind w:firstLine="540"/>
        <w:jc w:val="both"/>
      </w:pPr>
      <w:r>
        <w:rPr>
          <w:sz w:val="20"/>
        </w:rPr>
        <w:t xml:space="preserve">7) вносит предложения по составу информации о деятельности Общественного совета, обязательной для размещения на официальном сайте Министерства;</w:t>
      </w:r>
    </w:p>
    <w:p>
      <w:pPr>
        <w:pStyle w:val="0"/>
        <w:spacing w:before="200" w:line-rule="auto"/>
        <w:ind w:firstLine="540"/>
        <w:jc w:val="both"/>
      </w:pPr>
      <w:r>
        <w:rPr>
          <w:sz w:val="20"/>
        </w:rPr>
        <w:t xml:space="preserve">8) взаимодействует с руководителем Министерства по вопросам реализации решений Общественного совета;</w:t>
      </w:r>
    </w:p>
    <w:p>
      <w:pPr>
        <w:pStyle w:val="0"/>
        <w:spacing w:before="200" w:line-rule="auto"/>
        <w:ind w:firstLine="540"/>
        <w:jc w:val="both"/>
      </w:pPr>
      <w:r>
        <w:rPr>
          <w:sz w:val="20"/>
        </w:rPr>
        <w:t xml:space="preserve">9) принимает меры по предотвращению и/или урегулированию конфликта интересов у членов Общественного совета, в том числе по досрочному снятию полномочий с члена Общественного совета, являющегося стороной конфликта интересов.</w:t>
      </w:r>
    </w:p>
    <w:p>
      <w:pPr>
        <w:pStyle w:val="0"/>
        <w:spacing w:before="200" w:line-rule="auto"/>
        <w:ind w:firstLine="540"/>
        <w:jc w:val="both"/>
      </w:pPr>
      <w:r>
        <w:rPr>
          <w:sz w:val="20"/>
        </w:rPr>
        <w:t xml:space="preserve">5.9. Заместитель председателя Общественного совета исполняет полномочия председателя по его поручению и в случаях его отсутствия.</w:t>
      </w:r>
    </w:p>
    <w:p>
      <w:pPr>
        <w:pStyle w:val="0"/>
        <w:spacing w:before="200" w:line-rule="auto"/>
        <w:ind w:firstLine="540"/>
        <w:jc w:val="both"/>
      </w:pPr>
      <w:r>
        <w:rPr>
          <w:sz w:val="20"/>
        </w:rPr>
        <w:t xml:space="preserve">5.10. Ответственный секретарь Общественного совета:</w:t>
      </w:r>
    </w:p>
    <w:p>
      <w:pPr>
        <w:pStyle w:val="0"/>
        <w:spacing w:before="200" w:line-rule="auto"/>
        <w:ind w:firstLine="540"/>
        <w:jc w:val="both"/>
      </w:pPr>
      <w:r>
        <w:rPr>
          <w:sz w:val="20"/>
        </w:rPr>
        <w:t xml:space="preserve">1) уведомляет руководителя Министерства о прекращении полномочий члена (членов) Общественного совета;</w:t>
      </w:r>
    </w:p>
    <w:p>
      <w:pPr>
        <w:pStyle w:val="0"/>
        <w:spacing w:before="200" w:line-rule="auto"/>
        <w:ind w:firstLine="540"/>
        <w:jc w:val="both"/>
      </w:pPr>
      <w:r>
        <w:rPr>
          <w:sz w:val="20"/>
        </w:rPr>
        <w:t xml:space="preserve">2) уведомляет членов Общественного совета о дате, месте проведения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3)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5)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этих материалов;</w:t>
      </w:r>
    </w:p>
    <w:p>
      <w:pPr>
        <w:pStyle w:val="0"/>
        <w:spacing w:before="200" w:line-rule="auto"/>
        <w:ind w:firstLine="540"/>
        <w:jc w:val="both"/>
      </w:pPr>
      <w:r>
        <w:rPr>
          <w:sz w:val="20"/>
        </w:rPr>
        <w:t xml:space="preserve">6) готовит и согласовывает с председателем Общественного совета состав информации о деятельности Общественного совета, обязательной для размещения в сети "Интернет" на официальном сайте Министерства.</w:t>
      </w:r>
    </w:p>
    <w:p>
      <w:pPr>
        <w:pStyle w:val="0"/>
        <w:spacing w:before="200" w:line-rule="auto"/>
        <w:ind w:firstLine="540"/>
        <w:jc w:val="both"/>
      </w:pPr>
      <w:r>
        <w:rPr>
          <w:sz w:val="20"/>
        </w:rPr>
        <w:t xml:space="preserve">5.11. Члены Общественного совета имеют право:</w:t>
      </w:r>
    </w:p>
    <w:p>
      <w:pPr>
        <w:pStyle w:val="0"/>
        <w:spacing w:before="200" w:line-rule="auto"/>
        <w:ind w:firstLine="540"/>
        <w:jc w:val="both"/>
      </w:pPr>
      <w:r>
        <w:rPr>
          <w:sz w:val="20"/>
        </w:rPr>
        <w:t xml:space="preserve">1) вносить предложения по формированию примерного плана работы Общественного совета, повестки заседания Общественного совета;</w:t>
      </w:r>
    </w:p>
    <w:p>
      <w:pPr>
        <w:pStyle w:val="0"/>
        <w:spacing w:before="200" w:line-rule="auto"/>
        <w:ind w:firstLine="540"/>
        <w:jc w:val="both"/>
      </w:pPr>
      <w:r>
        <w:rPr>
          <w:sz w:val="20"/>
        </w:rPr>
        <w:t xml:space="preserve">2) возглавлять комиссии и рабочие группы, формируемые Общественным советом;</w:t>
      </w:r>
    </w:p>
    <w:p>
      <w:pPr>
        <w:pStyle w:val="0"/>
        <w:spacing w:before="200" w:line-rule="auto"/>
        <w:ind w:firstLine="540"/>
        <w:jc w:val="both"/>
      </w:pPr>
      <w:r>
        <w:rPr>
          <w:sz w:val="20"/>
        </w:rPr>
        <w:t xml:space="preserve">3) предлагать кандидатуры экспертов, привлекаемых к работе Общественного совета;</w:t>
      </w:r>
    </w:p>
    <w:p>
      <w:pPr>
        <w:pStyle w:val="0"/>
        <w:spacing w:before="200" w:line-rule="auto"/>
        <w:ind w:firstLine="540"/>
        <w:jc w:val="both"/>
      </w:pPr>
      <w:r>
        <w:rPr>
          <w:sz w:val="20"/>
        </w:rPr>
        <w:t xml:space="preserve">4) участвовать в подготовке материалов по рассматриваемым вопросам, вносить предложения по проектам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5) в установленном порядке знакомиться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исполнительного органа государственной власти, а также с результатами рассмотрения таких обращений;</w:t>
      </w:r>
    </w:p>
    <w:p>
      <w:pPr>
        <w:pStyle w:val="0"/>
        <w:spacing w:before="200" w:line-rule="auto"/>
        <w:ind w:firstLine="540"/>
        <w:jc w:val="both"/>
      </w:pPr>
      <w:r>
        <w:rPr>
          <w:sz w:val="20"/>
        </w:rPr>
        <w:t xml:space="preserve">6) принимать участие в приеме граждан, осуществляемом должностными лицами Министерства;</w:t>
      </w:r>
    </w:p>
    <w:p>
      <w:pPr>
        <w:pStyle w:val="0"/>
        <w:spacing w:before="200" w:line-rule="auto"/>
        <w:ind w:firstLine="540"/>
        <w:jc w:val="both"/>
      </w:pPr>
      <w:hyperlink w:history="0" r:id="rId26"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7</w:t>
        </w:r>
      </w:hyperlink>
      <w:r>
        <w:rPr>
          <w:sz w:val="20"/>
        </w:rPr>
        <w:t xml:space="preserve">) запрашивать информацию о реализации решений Общественного совета, направленных в Министерство, а также документы, касающиеся организационно-хозяйственной деятельности Министерства;</w:t>
      </w:r>
    </w:p>
    <w:p>
      <w:pPr>
        <w:pStyle w:val="0"/>
        <w:spacing w:before="200" w:line-rule="auto"/>
        <w:ind w:firstLine="540"/>
        <w:jc w:val="both"/>
      </w:pPr>
      <w:hyperlink w:history="0" r:id="rId27" w:tooltip="Приказ Минэкономразвития КБР от 01.03.2019 N 29 &quot;О внесении изменений в Положение об Общественном совете при Министерстве экономического развития Кабардино-Балкарской Республики&quot; {КонсультантПлюс}">
        <w:r>
          <w:rPr>
            <w:sz w:val="20"/>
            <w:color w:val="0000ff"/>
          </w:rPr>
          <w:t xml:space="preserve">8</w:t>
        </w:r>
      </w:hyperlink>
      <w:r>
        <w:rPr>
          <w:sz w:val="20"/>
        </w:rPr>
        <w:t xml:space="preserve">) участвовать в разработке проектов нормативных правовых актов Министерства.</w:t>
      </w:r>
    </w:p>
    <w:p>
      <w:pPr>
        <w:pStyle w:val="0"/>
        <w:spacing w:before="200" w:line-rule="auto"/>
        <w:ind w:firstLine="540"/>
        <w:jc w:val="both"/>
      </w:pPr>
      <w:r>
        <w:rPr>
          <w:sz w:val="20"/>
        </w:rPr>
        <w:t xml:space="preserve">5.12.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5.13.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5.14. В целях информационного обеспечения деятельности Общественного совета, его публичности и открытости Общественный совет может пользоваться официальными сайтами Министерства, Общественной палаты Кабардино-Балкарской Республики в сети "Интернет".</w:t>
      </w:r>
    </w:p>
    <w:p>
      <w:pPr>
        <w:pStyle w:val="0"/>
        <w:spacing w:before="200" w:line-rule="auto"/>
        <w:ind w:firstLine="540"/>
        <w:jc w:val="both"/>
      </w:pPr>
      <w:r>
        <w:rPr>
          <w:sz w:val="20"/>
        </w:rPr>
        <w:t xml:space="preserve">5.15.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Кабардино-Балкарской Республики.</w:t>
      </w:r>
    </w:p>
    <w:p>
      <w:pPr>
        <w:pStyle w:val="0"/>
        <w:spacing w:before="200" w:line-rule="auto"/>
        <w:ind w:firstLine="540"/>
        <w:jc w:val="both"/>
      </w:pPr>
      <w:r>
        <w:rPr>
          <w:sz w:val="20"/>
        </w:rPr>
        <w:t xml:space="preserve">5.16. Организационно-техническое обеспечение деятельности общественных советов осуществляет Министерство.</w:t>
      </w:r>
    </w:p>
    <w:p>
      <w:pPr>
        <w:pStyle w:val="0"/>
        <w:jc w:val="both"/>
      </w:pPr>
      <w:r>
        <w:rPr>
          <w:sz w:val="20"/>
        </w:rPr>
      </w:r>
    </w:p>
    <w:p>
      <w:pPr>
        <w:pStyle w:val="2"/>
        <w:outlineLvl w:val="1"/>
        <w:jc w:val="center"/>
      </w:pPr>
      <w:r>
        <w:rPr>
          <w:sz w:val="20"/>
        </w:rPr>
        <w:t xml:space="preserve">VI. Конфликт интересов</w:t>
      </w:r>
    </w:p>
    <w:p>
      <w:pPr>
        <w:pStyle w:val="0"/>
        <w:jc w:val="both"/>
      </w:pPr>
      <w:r>
        <w:rPr>
          <w:sz w:val="20"/>
        </w:rPr>
      </w:r>
    </w:p>
    <w:p>
      <w:pPr>
        <w:pStyle w:val="0"/>
        <w:ind w:firstLine="540"/>
        <w:jc w:val="both"/>
      </w:pPr>
      <w:r>
        <w:rPr>
          <w:sz w:val="20"/>
        </w:rPr>
        <w:t xml:space="preserve">6.1.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общественными интересами (или институтов гражданского общества), способное привести к причинению вреда этим законным интересам.</w:t>
      </w:r>
    </w:p>
    <w:p>
      <w:pPr>
        <w:pStyle w:val="0"/>
        <w:spacing w:before="200" w:line-rule="auto"/>
        <w:ind w:firstLine="540"/>
        <w:jc w:val="both"/>
      </w:pPr>
      <w:r>
        <w:rPr>
          <w:sz w:val="20"/>
        </w:rPr>
        <w:t xml:space="preserve">6.2.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6.3. Члены Общественного совета после его формирования в течение 10 дней обязаны в письменной форме информировать председателя Общественного совета и руководителя Министерства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6.4.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bookmarkStart w:id="188" w:name="P188"/>
    <w:bookmarkEnd w:id="188"/>
    <w:p>
      <w:pPr>
        <w:pStyle w:val="0"/>
        <w:spacing w:before="200" w:line-rule="auto"/>
        <w:ind w:firstLine="540"/>
        <w:jc w:val="both"/>
      </w:pPr>
      <w:r>
        <w:rPr>
          <w:sz w:val="20"/>
        </w:rPr>
        <w:t xml:space="preserve">6.5.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настоящим Положением.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Министерстве экономического развития</w:t>
      </w:r>
    </w:p>
    <w:p>
      <w:pPr>
        <w:pStyle w:val="0"/>
        <w:jc w:val="right"/>
      </w:pPr>
      <w:r>
        <w:rPr>
          <w:sz w:val="20"/>
        </w:rPr>
        <w:t xml:space="preserve">Кабардино-Балкарской Республики</w:t>
      </w:r>
    </w:p>
    <w:p>
      <w:pPr>
        <w:pStyle w:val="0"/>
        <w:jc w:val="both"/>
      </w:pPr>
      <w:r>
        <w:rPr>
          <w:sz w:val="20"/>
        </w:rPr>
      </w:r>
    </w:p>
    <w:p>
      <w:pPr>
        <w:pStyle w:val="1"/>
        <w:jc w:val="both"/>
      </w:pPr>
      <w:r>
        <w:rPr>
          <w:sz w:val="20"/>
        </w:rPr>
        <w:t xml:space="preserve">                                     (наименование исполнительного органа</w:t>
      </w:r>
    </w:p>
    <w:p>
      <w:pPr>
        <w:pStyle w:val="1"/>
        <w:jc w:val="both"/>
      </w:pPr>
      <w:r>
        <w:rPr>
          <w:sz w:val="20"/>
        </w:rPr>
        <w:t xml:space="preserve">                                    _______________________________________</w:t>
      </w:r>
    </w:p>
    <w:p>
      <w:pPr>
        <w:pStyle w:val="1"/>
        <w:jc w:val="both"/>
      </w:pPr>
      <w:r>
        <w:rPr>
          <w:sz w:val="20"/>
        </w:rPr>
        <w:t xml:space="preserve">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                                    от ____________________________________</w:t>
      </w:r>
    </w:p>
    <w:p>
      <w:pPr>
        <w:pStyle w:val="1"/>
        <w:jc w:val="both"/>
      </w:pPr>
      <w:r>
        <w:rPr>
          <w:sz w:val="20"/>
        </w:rPr>
        <w:t xml:space="preserve">                                            (фамилия, имя, отчество)</w:t>
      </w:r>
    </w:p>
    <w:p>
      <w:pPr>
        <w:pStyle w:val="1"/>
        <w:jc w:val="both"/>
      </w:pPr>
      <w:r>
        <w:rPr>
          <w:sz w:val="20"/>
        </w:rPr>
      </w:r>
    </w:p>
    <w:bookmarkStart w:id="207" w:name="P207"/>
    <w:bookmarkEnd w:id="207"/>
    <w:p>
      <w:pPr>
        <w:pStyle w:val="1"/>
        <w:jc w:val="both"/>
      </w:pPr>
      <w:r>
        <w:rPr>
          <w:sz w:val="20"/>
        </w:rPr>
        <w:t xml:space="preserve">                                 Заявление</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исполнительном</w:t>
      </w:r>
    </w:p>
    <w:p>
      <w:pPr>
        <w:pStyle w:val="1"/>
        <w:jc w:val="both"/>
      </w:pPr>
      <w:r>
        <w:rPr>
          <w:sz w:val="20"/>
        </w:rPr>
        <w:t xml:space="preserve">органе  государственной  власти  Кабардино-Балкарской Республики, и выражаю</w:t>
      </w:r>
    </w:p>
    <w:p>
      <w:pPr>
        <w:pStyle w:val="1"/>
        <w:jc w:val="both"/>
      </w:pPr>
      <w:r>
        <w:rPr>
          <w:sz w:val="20"/>
        </w:rPr>
        <w:t xml:space="preserve">свое согласие войти в состав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члены Общественного совета;</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w:t>
      </w:r>
    </w:p>
    <w:p>
      <w:pPr>
        <w:pStyle w:val="1"/>
        <w:jc w:val="both"/>
      </w:pPr>
      <w:r>
        <w:rPr>
          <w:sz w:val="20"/>
        </w:rPr>
        <w:t xml:space="preserve">содержащего предложение о выдвижении кандидата в члены Общественного совета</w:t>
      </w:r>
    </w:p>
    <w:p>
      <w:pPr>
        <w:pStyle w:val="1"/>
        <w:jc w:val="both"/>
      </w:pPr>
      <w:r>
        <w:rPr>
          <w:sz w:val="20"/>
        </w:rPr>
        <w:t xml:space="preserve">(при наличии).</w:t>
      </w:r>
    </w:p>
    <w:p>
      <w:pPr>
        <w:pStyle w:val="1"/>
        <w:jc w:val="both"/>
      </w:pPr>
      <w:r>
        <w:rPr>
          <w:sz w:val="20"/>
        </w:rPr>
      </w:r>
    </w:p>
    <w:p>
      <w:pPr>
        <w:pStyle w:val="1"/>
        <w:jc w:val="both"/>
      </w:pPr>
      <w:r>
        <w:rPr>
          <w:sz w:val="20"/>
        </w:rPr>
        <w:t xml:space="preserve">"___" ______________ 20___ г.</w:t>
      </w:r>
    </w:p>
    <w:p>
      <w:pPr>
        <w:pStyle w:val="1"/>
        <w:jc w:val="both"/>
      </w:pPr>
      <w:r>
        <w:rPr>
          <w:sz w:val="20"/>
        </w:rPr>
      </w:r>
    </w:p>
    <w:p>
      <w:pPr>
        <w:pStyle w:val="1"/>
        <w:jc w:val="both"/>
      </w:pPr>
      <w:r>
        <w:rPr>
          <w:sz w:val="20"/>
        </w:rPr>
        <w:t xml:space="preserve">_________________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Министерстве экономического развития</w:t>
      </w:r>
    </w:p>
    <w:p>
      <w:pPr>
        <w:pStyle w:val="0"/>
        <w:jc w:val="right"/>
      </w:pPr>
      <w:r>
        <w:rPr>
          <w:sz w:val="20"/>
        </w:rPr>
        <w:t xml:space="preserve">Кабардино-Балкарской Республики</w:t>
      </w:r>
    </w:p>
    <w:p>
      <w:pPr>
        <w:pStyle w:val="0"/>
        <w:jc w:val="both"/>
      </w:pPr>
      <w:r>
        <w:rPr>
          <w:sz w:val="20"/>
        </w:rPr>
      </w:r>
    </w:p>
    <w:bookmarkStart w:id="243" w:name="P243"/>
    <w:bookmarkEnd w:id="243"/>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_____________________________________________________________</w:t>
      </w:r>
    </w:p>
    <w:p>
      <w:pPr>
        <w:pStyle w:val="1"/>
        <w:jc w:val="both"/>
      </w:pPr>
      <w:r>
        <w:rPr>
          <w:sz w:val="20"/>
        </w:rPr>
        <w:t xml:space="preserve">     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                     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406"/>
        <w:gridCol w:w="2098"/>
      </w:tblGrid>
      <w:tr>
        <w:tc>
          <w:tcPr>
            <w:tcW w:w="567" w:type="dxa"/>
          </w:tcPr>
          <w:p>
            <w:pPr>
              <w:pStyle w:val="0"/>
              <w:jc w:val="center"/>
            </w:pPr>
            <w:r>
              <w:rPr>
                <w:sz w:val="20"/>
              </w:rPr>
              <w:t xml:space="preserve">N</w:t>
            </w:r>
          </w:p>
          <w:p>
            <w:pPr>
              <w:pStyle w:val="0"/>
              <w:jc w:val="center"/>
            </w:pPr>
            <w:r>
              <w:rPr>
                <w:sz w:val="20"/>
              </w:rPr>
              <w:t xml:space="preserve">п/п</w:t>
            </w:r>
          </w:p>
        </w:tc>
        <w:tc>
          <w:tcPr>
            <w:tcW w:w="6406" w:type="dxa"/>
          </w:tcPr>
          <w:p>
            <w:pPr>
              <w:pStyle w:val="0"/>
              <w:jc w:val="center"/>
            </w:pPr>
            <w:r>
              <w:rPr>
                <w:sz w:val="20"/>
              </w:rPr>
              <w:t xml:space="preserve">Сведения о кандидате</w:t>
            </w:r>
          </w:p>
        </w:tc>
        <w:tc>
          <w:tcPr>
            <w:tcW w:w="2098"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6406" w:type="dxa"/>
          </w:tcPr>
          <w:p>
            <w:pPr>
              <w:pStyle w:val="0"/>
            </w:pPr>
            <w:r>
              <w:rPr>
                <w:sz w:val="20"/>
              </w:rPr>
              <w:t xml:space="preserve">Фамилия, имя, отчество (при наличии)</w:t>
            </w:r>
          </w:p>
        </w:tc>
        <w:tc>
          <w:tcPr>
            <w:tcW w:w="2098" w:type="dxa"/>
          </w:tcPr>
          <w:p>
            <w:pPr>
              <w:pStyle w:val="0"/>
            </w:pPr>
            <w:r>
              <w:rPr>
                <w:sz w:val="20"/>
              </w:rPr>
            </w:r>
          </w:p>
        </w:tc>
      </w:tr>
      <w:tr>
        <w:tc>
          <w:tcPr>
            <w:tcW w:w="567" w:type="dxa"/>
          </w:tcPr>
          <w:p>
            <w:pPr>
              <w:pStyle w:val="0"/>
              <w:jc w:val="center"/>
            </w:pPr>
            <w:r>
              <w:rPr>
                <w:sz w:val="20"/>
              </w:rPr>
              <w:t xml:space="preserve">2.</w:t>
            </w:r>
          </w:p>
        </w:tc>
        <w:tc>
          <w:tcPr>
            <w:tcW w:w="6406" w:type="dxa"/>
          </w:tcPr>
          <w:p>
            <w:pPr>
              <w:pStyle w:val="0"/>
            </w:pPr>
            <w:r>
              <w:rPr>
                <w:sz w:val="20"/>
              </w:rPr>
              <w:t xml:space="preserve">Должность</w:t>
            </w:r>
          </w:p>
        </w:tc>
        <w:tc>
          <w:tcPr>
            <w:tcW w:w="2098" w:type="dxa"/>
          </w:tcPr>
          <w:p>
            <w:pPr>
              <w:pStyle w:val="0"/>
            </w:pPr>
            <w:r>
              <w:rPr>
                <w:sz w:val="20"/>
              </w:rPr>
            </w:r>
          </w:p>
        </w:tc>
      </w:tr>
      <w:tr>
        <w:tc>
          <w:tcPr>
            <w:tcW w:w="567" w:type="dxa"/>
          </w:tcPr>
          <w:p>
            <w:pPr>
              <w:pStyle w:val="0"/>
              <w:jc w:val="center"/>
            </w:pPr>
            <w:r>
              <w:rPr>
                <w:sz w:val="20"/>
              </w:rPr>
              <w:t xml:space="preserve">3.</w:t>
            </w:r>
          </w:p>
        </w:tc>
        <w:tc>
          <w:tcPr>
            <w:tcW w:w="6406" w:type="dxa"/>
          </w:tcPr>
          <w:p>
            <w:pPr>
              <w:pStyle w:val="0"/>
            </w:pPr>
            <w:r>
              <w:rPr>
                <w:sz w:val="20"/>
              </w:rPr>
              <w:t xml:space="preserve">Дата рождения</w:t>
            </w:r>
          </w:p>
        </w:tc>
        <w:tc>
          <w:tcPr>
            <w:tcW w:w="2098" w:type="dxa"/>
          </w:tcPr>
          <w:p>
            <w:pPr>
              <w:pStyle w:val="0"/>
            </w:pPr>
            <w:r>
              <w:rPr>
                <w:sz w:val="20"/>
              </w:rPr>
            </w:r>
          </w:p>
        </w:tc>
      </w:tr>
      <w:tr>
        <w:tc>
          <w:tcPr>
            <w:tcW w:w="567" w:type="dxa"/>
          </w:tcPr>
          <w:p>
            <w:pPr>
              <w:pStyle w:val="0"/>
              <w:jc w:val="center"/>
            </w:pPr>
            <w:r>
              <w:rPr>
                <w:sz w:val="20"/>
              </w:rPr>
              <w:t xml:space="preserve">4.</w:t>
            </w:r>
          </w:p>
        </w:tc>
        <w:tc>
          <w:tcPr>
            <w:tcW w:w="6406" w:type="dxa"/>
          </w:tcPr>
          <w:p>
            <w:pPr>
              <w:pStyle w:val="0"/>
            </w:pPr>
            <w:r>
              <w:rPr>
                <w:sz w:val="20"/>
              </w:rPr>
              <w:t xml:space="preserve">Место жительства</w:t>
            </w:r>
          </w:p>
        </w:tc>
        <w:tc>
          <w:tcPr>
            <w:tcW w:w="2098" w:type="dxa"/>
          </w:tcPr>
          <w:p>
            <w:pPr>
              <w:pStyle w:val="0"/>
            </w:pPr>
            <w:r>
              <w:rPr>
                <w:sz w:val="20"/>
              </w:rPr>
            </w:r>
          </w:p>
        </w:tc>
      </w:tr>
      <w:tr>
        <w:tc>
          <w:tcPr>
            <w:tcW w:w="567" w:type="dxa"/>
          </w:tcPr>
          <w:p>
            <w:pPr>
              <w:pStyle w:val="0"/>
              <w:jc w:val="center"/>
            </w:pPr>
            <w:r>
              <w:rPr>
                <w:sz w:val="20"/>
              </w:rPr>
              <w:t xml:space="preserve">5.</w:t>
            </w:r>
          </w:p>
        </w:tc>
        <w:tc>
          <w:tcPr>
            <w:tcW w:w="6406" w:type="dxa"/>
          </w:tcPr>
          <w:p>
            <w:pPr>
              <w:pStyle w:val="0"/>
            </w:pPr>
            <w:r>
              <w:rPr>
                <w:sz w:val="20"/>
              </w:rPr>
              <w:t xml:space="preserve">Контактный телефон</w:t>
            </w:r>
          </w:p>
        </w:tc>
        <w:tc>
          <w:tcPr>
            <w:tcW w:w="2098" w:type="dxa"/>
          </w:tcPr>
          <w:p>
            <w:pPr>
              <w:pStyle w:val="0"/>
            </w:pPr>
            <w:r>
              <w:rPr>
                <w:sz w:val="20"/>
              </w:rPr>
            </w:r>
          </w:p>
        </w:tc>
      </w:tr>
      <w:tr>
        <w:tc>
          <w:tcPr>
            <w:tcW w:w="567" w:type="dxa"/>
          </w:tcPr>
          <w:p>
            <w:pPr>
              <w:pStyle w:val="0"/>
              <w:jc w:val="center"/>
            </w:pPr>
            <w:r>
              <w:rPr>
                <w:sz w:val="20"/>
              </w:rPr>
              <w:t xml:space="preserve">6.</w:t>
            </w:r>
          </w:p>
        </w:tc>
        <w:tc>
          <w:tcPr>
            <w:tcW w:w="6406" w:type="dxa"/>
          </w:tcPr>
          <w:p>
            <w:pPr>
              <w:pStyle w:val="0"/>
            </w:pPr>
            <w:r>
              <w:rPr>
                <w:sz w:val="20"/>
              </w:rPr>
              <w:t xml:space="preserve">E-mail (при наличии)</w:t>
            </w:r>
          </w:p>
        </w:tc>
        <w:tc>
          <w:tcPr>
            <w:tcW w:w="2098" w:type="dxa"/>
          </w:tcPr>
          <w:p>
            <w:pPr>
              <w:pStyle w:val="0"/>
            </w:pPr>
            <w:r>
              <w:rPr>
                <w:sz w:val="20"/>
              </w:rPr>
            </w:r>
          </w:p>
        </w:tc>
      </w:tr>
      <w:tr>
        <w:tc>
          <w:tcPr>
            <w:tcW w:w="567" w:type="dxa"/>
          </w:tcPr>
          <w:p>
            <w:pPr>
              <w:pStyle w:val="0"/>
              <w:jc w:val="center"/>
            </w:pPr>
            <w:r>
              <w:rPr>
                <w:sz w:val="20"/>
              </w:rPr>
              <w:t xml:space="preserve">7.</w:t>
            </w:r>
          </w:p>
        </w:tc>
        <w:tc>
          <w:tcPr>
            <w:tcW w:w="6406" w:type="dxa"/>
          </w:tcPr>
          <w:p>
            <w:pPr>
              <w:pStyle w:val="0"/>
            </w:pPr>
            <w:r>
              <w:rPr>
                <w:sz w:val="20"/>
              </w:rPr>
              <w:t xml:space="preserve">Уровень образования, наименование учебного заведения</w:t>
            </w:r>
          </w:p>
        </w:tc>
        <w:tc>
          <w:tcPr>
            <w:tcW w:w="2098" w:type="dxa"/>
          </w:tcPr>
          <w:p>
            <w:pPr>
              <w:pStyle w:val="0"/>
            </w:pPr>
            <w:r>
              <w:rPr>
                <w:sz w:val="20"/>
              </w:rPr>
            </w:r>
          </w:p>
        </w:tc>
      </w:tr>
      <w:tr>
        <w:tc>
          <w:tcPr>
            <w:tcW w:w="567" w:type="dxa"/>
          </w:tcPr>
          <w:p>
            <w:pPr>
              <w:pStyle w:val="0"/>
              <w:jc w:val="center"/>
            </w:pPr>
            <w:r>
              <w:rPr>
                <w:sz w:val="20"/>
              </w:rPr>
              <w:t xml:space="preserve">8.</w:t>
            </w:r>
          </w:p>
        </w:tc>
        <w:tc>
          <w:tcPr>
            <w:tcW w:w="6406" w:type="dxa"/>
          </w:tcPr>
          <w:p>
            <w:pPr>
              <w:pStyle w:val="0"/>
            </w:pPr>
            <w:r>
              <w:rPr>
                <w:sz w:val="20"/>
              </w:rPr>
              <w:t xml:space="preserve">Наличие ученого звания, ученой степени</w:t>
            </w:r>
          </w:p>
        </w:tc>
        <w:tc>
          <w:tcPr>
            <w:tcW w:w="2098" w:type="dxa"/>
          </w:tcPr>
          <w:p>
            <w:pPr>
              <w:pStyle w:val="0"/>
            </w:pPr>
            <w:r>
              <w:rPr>
                <w:sz w:val="20"/>
              </w:rPr>
            </w:r>
          </w:p>
        </w:tc>
      </w:tr>
      <w:tr>
        <w:tc>
          <w:tcPr>
            <w:tcW w:w="567" w:type="dxa"/>
          </w:tcPr>
          <w:p>
            <w:pPr>
              <w:pStyle w:val="0"/>
              <w:jc w:val="center"/>
            </w:pPr>
            <w:r>
              <w:rPr>
                <w:sz w:val="20"/>
              </w:rPr>
              <w:t xml:space="preserve">9.</w:t>
            </w:r>
          </w:p>
        </w:tc>
        <w:tc>
          <w:tcPr>
            <w:tcW w:w="6406" w:type="dxa"/>
          </w:tcPr>
          <w:p>
            <w:pPr>
              <w:pStyle w:val="0"/>
            </w:pPr>
            <w:r>
              <w:rPr>
                <w:sz w:val="20"/>
              </w:rPr>
              <w:t xml:space="preserve">Трудовая деятельность за последние 5 лет</w:t>
            </w:r>
          </w:p>
        </w:tc>
        <w:tc>
          <w:tcPr>
            <w:tcW w:w="2098" w:type="dxa"/>
          </w:tcPr>
          <w:p>
            <w:pPr>
              <w:pStyle w:val="0"/>
            </w:pPr>
            <w:r>
              <w:rPr>
                <w:sz w:val="20"/>
              </w:rPr>
            </w:r>
          </w:p>
        </w:tc>
      </w:tr>
      <w:tr>
        <w:tc>
          <w:tcPr>
            <w:tcW w:w="567" w:type="dxa"/>
          </w:tcPr>
          <w:p>
            <w:pPr>
              <w:pStyle w:val="0"/>
              <w:jc w:val="center"/>
            </w:pPr>
            <w:r>
              <w:rPr>
                <w:sz w:val="20"/>
              </w:rPr>
              <w:t xml:space="preserve">10.</w:t>
            </w:r>
          </w:p>
        </w:tc>
        <w:tc>
          <w:tcPr>
            <w:tcW w:w="6406" w:type="dxa"/>
          </w:tcPr>
          <w:p>
            <w:pPr>
              <w:pStyle w:val="0"/>
            </w:pPr>
            <w:r>
              <w:rPr>
                <w:sz w:val="20"/>
              </w:rPr>
              <w:t xml:space="preserve">Общественная деятельность</w:t>
            </w:r>
          </w:p>
        </w:tc>
        <w:tc>
          <w:tcPr>
            <w:tcW w:w="2098" w:type="dxa"/>
          </w:tcPr>
          <w:p>
            <w:pPr>
              <w:pStyle w:val="0"/>
            </w:pPr>
            <w:r>
              <w:rPr>
                <w:sz w:val="20"/>
              </w:rPr>
            </w:r>
          </w:p>
        </w:tc>
      </w:tr>
      <w:tr>
        <w:tc>
          <w:tcPr>
            <w:tcW w:w="567" w:type="dxa"/>
          </w:tcPr>
          <w:p>
            <w:pPr>
              <w:pStyle w:val="0"/>
              <w:jc w:val="center"/>
            </w:pPr>
            <w:r>
              <w:rPr>
                <w:sz w:val="20"/>
              </w:rPr>
              <w:t xml:space="preserve">11.</w:t>
            </w:r>
          </w:p>
        </w:tc>
        <w:tc>
          <w:tcPr>
            <w:tcW w:w="6406" w:type="dxa"/>
          </w:tcPr>
          <w:p>
            <w:pPr>
              <w:pStyle w:val="0"/>
            </w:pPr>
            <w:r>
              <w:rPr>
                <w:sz w:val="20"/>
              </w:rPr>
              <w:t xml:space="preserve">Наличие (отсутствие) неснятой или непогашенной судимости</w:t>
            </w:r>
          </w:p>
        </w:tc>
        <w:tc>
          <w:tcPr>
            <w:tcW w:w="2098" w:type="dxa"/>
          </w:tcPr>
          <w:p>
            <w:pPr>
              <w:pStyle w:val="0"/>
            </w:pPr>
            <w:r>
              <w:rPr>
                <w:sz w:val="20"/>
              </w:rPr>
            </w:r>
          </w:p>
        </w:tc>
      </w:tr>
      <w:tr>
        <w:tc>
          <w:tcPr>
            <w:tcW w:w="567" w:type="dxa"/>
          </w:tcPr>
          <w:p>
            <w:pPr>
              <w:pStyle w:val="0"/>
              <w:jc w:val="center"/>
            </w:pPr>
            <w:r>
              <w:rPr>
                <w:sz w:val="20"/>
              </w:rPr>
              <w:t xml:space="preserve">12.</w:t>
            </w:r>
          </w:p>
        </w:tc>
        <w:tc>
          <w:tcPr>
            <w:tcW w:w="6406" w:type="dxa"/>
          </w:tcPr>
          <w:p>
            <w:pPr>
              <w:pStyle w:val="0"/>
            </w:pPr>
            <w:r>
              <w:rPr>
                <w:sz w:val="20"/>
              </w:rPr>
              <w:t xml:space="preserve">Дополнительная информация (по желанию)</w:t>
            </w:r>
          </w:p>
        </w:tc>
        <w:tc>
          <w:tcPr>
            <w:tcW w:w="2098" w:type="dxa"/>
          </w:tcPr>
          <w:p>
            <w:pPr>
              <w:pStyle w:val="0"/>
            </w:pPr>
            <w:r>
              <w:rPr>
                <w:sz w:val="20"/>
              </w:rPr>
            </w:r>
          </w:p>
        </w:tc>
      </w:tr>
    </w:tbl>
    <w:p>
      <w:pPr>
        <w:pStyle w:val="0"/>
        <w:jc w:val="both"/>
      </w:pPr>
      <w:r>
        <w:rPr>
          <w:sz w:val="20"/>
        </w:rPr>
      </w:r>
    </w:p>
    <w:p>
      <w:pPr>
        <w:pStyle w:val="1"/>
        <w:jc w:val="both"/>
      </w:pPr>
      <w:r>
        <w:rPr>
          <w:sz w:val="20"/>
        </w:rPr>
        <w:t xml:space="preserve">"___" ______________ 20___ г.</w:t>
      </w:r>
    </w:p>
    <w:p>
      <w:pPr>
        <w:pStyle w:val="1"/>
        <w:jc w:val="both"/>
      </w:pPr>
      <w:r>
        <w:rPr>
          <w:sz w:val="20"/>
        </w:rPr>
      </w:r>
    </w:p>
    <w:p>
      <w:pPr>
        <w:pStyle w:val="1"/>
        <w:jc w:val="both"/>
      </w:pPr>
      <w:r>
        <w:rPr>
          <w:sz w:val="20"/>
        </w:rPr>
        <w:t xml:space="preserve">_________________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Министерстве экономического развития</w:t>
      </w:r>
    </w:p>
    <w:p>
      <w:pPr>
        <w:pStyle w:val="0"/>
        <w:jc w:val="right"/>
      </w:pPr>
      <w:r>
        <w:rPr>
          <w:sz w:val="20"/>
        </w:rPr>
        <w:t xml:space="preserve">Кабардино-Балкарской Республики</w:t>
      </w:r>
    </w:p>
    <w:p>
      <w:pPr>
        <w:pStyle w:val="0"/>
        <w:jc w:val="both"/>
      </w:pPr>
      <w:r>
        <w:rPr>
          <w:sz w:val="20"/>
        </w:rPr>
      </w:r>
    </w:p>
    <w:bookmarkStart w:id="306" w:name="P306"/>
    <w:bookmarkEnd w:id="306"/>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 личность, и его</w:t>
      </w:r>
    </w:p>
    <w:p>
      <w:pPr>
        <w:pStyle w:val="1"/>
        <w:jc w:val="both"/>
      </w:pPr>
      <w:r>
        <w:rPr>
          <w:sz w:val="20"/>
        </w:rPr>
        <w:t xml:space="preserve">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порядке  и на условиях, определенных Федеральным </w:t>
      </w:r>
      <w:hyperlink w:history="0" r:id="rId28"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 выражаю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государственной власти)</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члены Общественного совета при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                     Кабардино-Балкарской Республики)</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передачу персональных данных</w:t>
      </w:r>
    </w:p>
    <w:p>
      <w:pPr>
        <w:pStyle w:val="1"/>
        <w:jc w:val="both"/>
      </w:pPr>
      <w:r>
        <w:rPr>
          <w:sz w:val="20"/>
        </w:rPr>
        <w:t xml:space="preserve">по  запросам органов государственной власти Кабардино-Балкарской Республики</w:t>
      </w:r>
    </w:p>
    <w:p>
      <w:pPr>
        <w:pStyle w:val="1"/>
        <w:jc w:val="both"/>
      </w:pPr>
      <w:r>
        <w:rPr>
          <w:sz w:val="20"/>
        </w:rPr>
        <w:t xml:space="preserve">в  рамках  их полномочий с использованием машинных носителей или по каналам</w:t>
      </w:r>
    </w:p>
    <w:p>
      <w:pPr>
        <w:pStyle w:val="1"/>
        <w:jc w:val="both"/>
      </w:pPr>
      <w:r>
        <w:rPr>
          <w:sz w:val="20"/>
        </w:rPr>
        <w:t xml:space="preserve">связи  с  соблюдением мер, обеспечивающих их защиту от несанкционированного</w:t>
      </w:r>
    </w:p>
    <w:p>
      <w:pPr>
        <w:pStyle w:val="1"/>
        <w:jc w:val="both"/>
      </w:pPr>
      <w:r>
        <w:rPr>
          <w:sz w:val="20"/>
        </w:rPr>
        <w:t xml:space="preserve">доступа,  размещение  их на официальном сайте исполнительного органа власти</w:t>
      </w:r>
    </w:p>
    <w:p>
      <w:pPr>
        <w:pStyle w:val="1"/>
        <w:jc w:val="both"/>
      </w:pPr>
      <w:r>
        <w:rPr>
          <w:sz w:val="20"/>
        </w:rPr>
        <w:t xml:space="preserve">Кабардино-Балкарской  Республики  в  сети  "Интернет"  и  (или) на странице</w:t>
      </w:r>
    </w:p>
    <w:p>
      <w:pPr>
        <w:pStyle w:val="1"/>
        <w:jc w:val="both"/>
      </w:pPr>
      <w:r>
        <w:rPr>
          <w:sz w:val="20"/>
        </w:rPr>
        <w:t xml:space="preserve">органа    исполнительной   власти   Кабардино-Балкарской   Республики,   на</w:t>
      </w:r>
    </w:p>
    <w:p>
      <w:pPr>
        <w:pStyle w:val="1"/>
        <w:jc w:val="both"/>
      </w:pPr>
      <w:r>
        <w:rPr>
          <w:sz w:val="20"/>
        </w:rPr>
        <w:t xml:space="preserve">официальном      интернет-сайте      органов      исполнительной     власти</w:t>
      </w:r>
    </w:p>
    <w:p>
      <w:pPr>
        <w:pStyle w:val="1"/>
        <w:jc w:val="both"/>
      </w:pPr>
      <w:r>
        <w:rPr>
          <w:sz w:val="20"/>
        </w:rPr>
        <w:t xml:space="preserve">Кабардино-Балкарской  Республики.  Оператор  вправе  осуществлять смешанную</w:t>
      </w:r>
    </w:p>
    <w:p>
      <w:pPr>
        <w:pStyle w:val="1"/>
        <w:jc w:val="both"/>
      </w:pPr>
      <w:r>
        <w:rPr>
          <w:sz w:val="20"/>
        </w:rPr>
        <w:t xml:space="preserve">(автоматизированную  и  неавтоматизированную)  обработку  моих персональных</w:t>
      </w:r>
    </w:p>
    <w:p>
      <w:pPr>
        <w:pStyle w:val="1"/>
        <w:jc w:val="both"/>
      </w:pPr>
      <w:r>
        <w:rPr>
          <w:sz w:val="20"/>
        </w:rPr>
        <w:t xml:space="preserve">данных  посредством  внесения  их  в  электронную  базу данных, включения в</w:t>
      </w:r>
    </w:p>
    <w:p>
      <w:pPr>
        <w:pStyle w:val="1"/>
        <w:jc w:val="both"/>
      </w:pPr>
      <w:r>
        <w:rPr>
          <w:sz w:val="20"/>
        </w:rPr>
        <w:t xml:space="preserve">списки   (реестры)   и   отчетные   формы,   предусмотренные   документами,</w:t>
      </w:r>
    </w:p>
    <w:p>
      <w:pPr>
        <w:pStyle w:val="1"/>
        <w:jc w:val="both"/>
      </w:pPr>
      <w:r>
        <w:rPr>
          <w:sz w:val="20"/>
        </w:rPr>
        <w:t xml:space="preserve">регламентирующими 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 Я оставляю за собой право</w:t>
      </w:r>
    </w:p>
    <w:p>
      <w:pPr>
        <w:pStyle w:val="1"/>
        <w:jc w:val="both"/>
      </w:pPr>
      <w:r>
        <w:rPr>
          <w:sz w:val="20"/>
        </w:rPr>
        <w:t xml:space="preserve">отозвать   настоящее   согласие  посредством  составления  соответствующего</w:t>
      </w:r>
    </w:p>
    <w:p>
      <w:pPr>
        <w:pStyle w:val="1"/>
        <w:jc w:val="both"/>
      </w:pPr>
      <w:r>
        <w:rPr>
          <w:sz w:val="20"/>
        </w:rPr>
        <w:t xml:space="preserve">письменного  документа, который может быть направлен мной в адрес оператора</w:t>
      </w:r>
    </w:p>
    <w:p>
      <w:pPr>
        <w:pStyle w:val="1"/>
        <w:jc w:val="both"/>
      </w:pPr>
      <w:r>
        <w:rPr>
          <w:sz w:val="20"/>
        </w:rPr>
        <w:t xml:space="preserve">по  почте  заказным письмом с уведомлением о вручении либо вручен лично под</w:t>
      </w:r>
    </w:p>
    <w:p>
      <w:pPr>
        <w:pStyle w:val="1"/>
        <w:jc w:val="both"/>
      </w:pPr>
      <w:r>
        <w:rPr>
          <w:sz w:val="20"/>
        </w:rPr>
        <w:t xml:space="preserve">расписку уполномоченному представителю 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   (а)   с   правами   субъекта   персональных   данных,</w:t>
      </w:r>
    </w:p>
    <w:p>
      <w:pPr>
        <w:pStyle w:val="1"/>
        <w:jc w:val="both"/>
      </w:pPr>
      <w:r>
        <w:rPr>
          <w:sz w:val="20"/>
        </w:rPr>
        <w:t xml:space="preserve">предусмотренными   Федеральным   </w:t>
      </w:r>
      <w:hyperlink w:history="0" r:id="rId2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w:t>
      </w:r>
    </w:p>
    <w:p>
      <w:pPr>
        <w:pStyle w:val="1"/>
        <w:jc w:val="both"/>
      </w:pPr>
      <w:r>
        <w:rPr>
          <w:sz w:val="20"/>
        </w:rPr>
        <w:t xml:space="preserve">"О персональных данных".</w:t>
      </w:r>
    </w:p>
    <w:p>
      <w:pPr>
        <w:pStyle w:val="1"/>
        <w:jc w:val="both"/>
      </w:pPr>
      <w:r>
        <w:rPr>
          <w:sz w:val="20"/>
        </w:rPr>
      </w:r>
    </w:p>
    <w:p>
      <w:pPr>
        <w:pStyle w:val="1"/>
        <w:jc w:val="both"/>
      </w:pPr>
      <w:r>
        <w:rPr>
          <w:sz w:val="20"/>
        </w:rPr>
        <w:t xml:space="preserve">"___" ______________ 20___ г.</w:t>
      </w:r>
    </w:p>
    <w:p>
      <w:pPr>
        <w:pStyle w:val="1"/>
        <w:jc w:val="both"/>
      </w:pPr>
      <w:r>
        <w:rPr>
          <w:sz w:val="20"/>
        </w:rPr>
      </w:r>
    </w:p>
    <w:p>
      <w:pPr>
        <w:pStyle w:val="1"/>
        <w:jc w:val="both"/>
      </w:pPr>
      <w:r>
        <w:rPr>
          <w:sz w:val="20"/>
        </w:rPr>
        <w:t xml:space="preserve">_________________  __________________________________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КБР от 26.02.2018 N 21</w:t>
            <w:br/>
            <w:t>(ред. от 17.10.2022)</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B48DC6C9FEB3DD809BF20F893E29240F8529D14ACD7808CB94117F627569B47FCF4EEF4554AE686DA38EE5D1EF92223E8FC740E9AD390AD553AFz2F9Q" TargetMode = "External"/>
	<Relationship Id="rId8" Type="http://schemas.openxmlformats.org/officeDocument/2006/relationships/hyperlink" Target="consultantplus://offline/ref=4DB48DC6C9FEB3DD809BF20F893E29240F8529D144CA750EC794117F627569B47FCF4EEF4554AE686DA38EE4D1EF92223E8FC740E9AD390AD553AFz2F9Q" TargetMode = "External"/>
	<Relationship Id="rId9" Type="http://schemas.openxmlformats.org/officeDocument/2006/relationships/hyperlink" Target="consultantplus://offline/ref=4DB48DC6C9FEB3DD809BF20F893E29240F8529D145CC7808C194117F627569B47FCF4EEF4554AE686DA38EE4D1EF92223E8FC740E9AD390AD553AFz2F9Q" TargetMode = "External"/>
	<Relationship Id="rId10" Type="http://schemas.openxmlformats.org/officeDocument/2006/relationships/hyperlink" Target="consultantplus://offline/ref=4DB48DC6C9FEB3DD809BF20F893E29240F8529D14ACD7800C694117F627569B47FCF4EFD450CA26865BD8FE1C4B9C364z6F9Q" TargetMode = "External"/>
	<Relationship Id="rId11" Type="http://schemas.openxmlformats.org/officeDocument/2006/relationships/hyperlink" Target="consultantplus://offline/ref=8E9E423401F5C8F11CFBEAF32D04E2AC94679EA5A25C43C87F7488C3EBDDB924986A531B446F0ED598BB46A814B972B3F8B8C806E255F567B014640AF5Q" TargetMode = "External"/>
	<Relationship Id="rId12" Type="http://schemas.openxmlformats.org/officeDocument/2006/relationships/hyperlink" Target="consultantplus://offline/ref=8E9E423401F5C8F11CFBEAF32D04E2AC94679EA5A35A4ECE797488C3EBDDB924986A531B446F0ED598BB46A814B972B3F8B8C806E255F567B014640AF5Q" TargetMode = "External"/>
	<Relationship Id="rId13" Type="http://schemas.openxmlformats.org/officeDocument/2006/relationships/hyperlink" Target="consultantplus://offline/ref=8E9E423401F5C8F11CFBEAF32D04E2AC94679EA5AE5F4FCA787488C3EBDDB924986A5309443702D590A547AC01EF23F50AFFQ" TargetMode = "External"/>
	<Relationship Id="rId14" Type="http://schemas.openxmlformats.org/officeDocument/2006/relationships/hyperlink" Target="consultantplus://offline/ref=8E9E423401F5C8F11CFBEAF32D04E2AC94679EA5AC5B4ECE737488C3EBDDB924986A531B446F0ED598BB46A814B972B3F8B8C806E255F567B014640AF5Q" TargetMode = "External"/>
	<Relationship Id="rId15" Type="http://schemas.openxmlformats.org/officeDocument/2006/relationships/hyperlink" Target="consultantplus://offline/ref=8E9E423401F5C8F11CFBF4FE3B68BFA1936DC4A0A9584D98262BD39EBCD4B373CD255255006A11D499A544AD1D0EFFQ" TargetMode = "External"/>
	<Relationship Id="rId16" Type="http://schemas.openxmlformats.org/officeDocument/2006/relationships/hyperlink" Target="consultantplus://offline/ref=8E9E423401F5C8F11CFBEAF32D04E2AC94679EA5AF5C45CA797488C3EBDDB924986A5309443702D590A547AC01EF23F50AFFQ" TargetMode = "External"/>
	<Relationship Id="rId17" Type="http://schemas.openxmlformats.org/officeDocument/2006/relationships/hyperlink" Target="consultantplus://offline/ref=8E9E423401F5C8F11CFBF4FE3B68BFA19264C7ADA1081A9A777EDD9BB484E963C96C07501E630ECB9ABB440AFFQ" TargetMode = "External"/>
	<Relationship Id="rId18" Type="http://schemas.openxmlformats.org/officeDocument/2006/relationships/hyperlink" Target="consultantplus://offline/ref=8E9E423401F5C8F11CFBEAF32D04E2AC94679EA5A35E42CA727488C3EBDDB924986A5309443702D590A547AC01EF23F50AFFQ" TargetMode = "External"/>
	<Relationship Id="rId19" Type="http://schemas.openxmlformats.org/officeDocument/2006/relationships/hyperlink" Target="consultantplus://offline/ref=8E9E423401F5C8F11CFBEAF32D04E2AC94679EA5AC5B4EC67E7488C3EBDDB924986A531B446F0ED598BB47AC14B972B3F8B8C806E255F567B014640AF5Q" TargetMode = "External"/>
	<Relationship Id="rId20" Type="http://schemas.openxmlformats.org/officeDocument/2006/relationships/hyperlink" Target="consultantplus://offline/ref=8E9E423401F5C8F11CFBEAF32D04E2AC94679EA5AC5B4ECE737488C3EBDDB924986A531B446F0ED598BB46AB14B972B3F8B8C806E255F567B014640AF5Q" TargetMode = "External"/>
	<Relationship Id="rId21" Type="http://schemas.openxmlformats.org/officeDocument/2006/relationships/hyperlink" Target="consultantplus://offline/ref=8E9E423401F5C8F11CFBEAF32D04E2AC94679EA5A95646CA7A7488C3EBDDB924986A5309443702D590A547AC01EF23F50AFFQ" TargetMode = "External"/>
	<Relationship Id="rId22" Type="http://schemas.openxmlformats.org/officeDocument/2006/relationships/hyperlink" Target="consultantplus://offline/ref=8E9E423401F5C8F11CFBEAF32D04E2AC94679EA5AC5B4ECE737488C3EBDDB924986A531B446F0ED598BB46A514B972B3F8B8C806E255F567B014640AF5Q" TargetMode = "External"/>
	<Relationship Id="rId23" Type="http://schemas.openxmlformats.org/officeDocument/2006/relationships/hyperlink" Target="consultantplus://offline/ref=8E9E423401F5C8F11CFBEAF32D04E2AC94679EA5AC5B4ECE737488C3EBDDB924986A531B446F0ED598BB47AD14B972B3F8B8C806E255F567B014640AF5Q" TargetMode = "External"/>
	<Relationship Id="rId24" Type="http://schemas.openxmlformats.org/officeDocument/2006/relationships/hyperlink" Target="consultantplus://offline/ref=8E9E423401F5C8F11CFBEAF32D04E2AC94679EA5AC5B4EC87D7488C3EBDDB924986A5309443702D590A547AC01EF23F50AFFQ" TargetMode = "External"/>
	<Relationship Id="rId25" Type="http://schemas.openxmlformats.org/officeDocument/2006/relationships/hyperlink" Target="consultantplus://offline/ref=8E9E423401F5C8F11CFBF4FE3B68BFA19364C7AAAA574D98262BD39EBCD4B373CD255255006A11D499A544AD1D0EFFQ" TargetMode = "External"/>
	<Relationship Id="rId26" Type="http://schemas.openxmlformats.org/officeDocument/2006/relationships/hyperlink" Target="consultantplus://offline/ref=8E9E423401F5C8F11CFBEAF32D04E2AC94679EA5AC5B4ECE737488C3EBDDB924986A531B446F0ED598BB47AC14B972B3F8B8C806E255F567B014640AF5Q" TargetMode = "External"/>
	<Relationship Id="rId27" Type="http://schemas.openxmlformats.org/officeDocument/2006/relationships/hyperlink" Target="consultantplus://offline/ref=8E9E423401F5C8F11CFBEAF32D04E2AC94679EA5AC5B4ECE737488C3EBDDB924986A531B446F0ED598BB47AC14B972B3F8B8C806E255F567B014640AF5Q" TargetMode = "External"/>
	<Relationship Id="rId28" Type="http://schemas.openxmlformats.org/officeDocument/2006/relationships/hyperlink" Target="consultantplus://offline/ref=8E9E423401F5C8F11CFBF4FE3B68BFA1946EC2AAAE5F4D98262BD39EBCD4B373CD255255006A11D499A544AD1D0EFFQ" TargetMode = "External"/>
	<Relationship Id="rId29" Type="http://schemas.openxmlformats.org/officeDocument/2006/relationships/hyperlink" Target="consultantplus://offline/ref=8E9E423401F5C8F11CFBF4FE3B68BFA1946EC2AAAE5F4D98262BD39EBCD4B373CD255255006A11D499A544AD1D0EFF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КБР от 26.02.2018 N 21
(ред. от 17.10.2022)
"Об утверждении Положения об Общественном совете при Министерстве экономического развития Кабардино-Балкарской Республики"</dc:title>
  <dcterms:created xsi:type="dcterms:W3CDTF">2022-11-08T16:05:51Z</dcterms:created>
</cp:coreProperties>
</file>