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Минмолодежи КБР от 14.02.2025 N 23</w:t>
              <w:br/>
              <w:t xml:space="preserve">"Об утверждении порядка определения объема и предоставления субсидии автономной некоммерческой организации "Ресурсный центр развития волонтерства (добровольчества) Кабардино-Балкарской Республики"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ПО ДЕЛАМ МОЛОДЕЖИ</w:t>
      </w:r>
    </w:p>
    <w:p>
      <w:pPr>
        <w:pStyle w:val="2"/>
        <w:jc w:val="center"/>
      </w:pPr>
      <w:r>
        <w:rPr>
          <w:sz w:val="20"/>
        </w:rPr>
        <w:t xml:space="preserve">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14 февраля 2025 г. N 23</w:t>
      </w:r>
    </w:p>
    <w:p>
      <w:pPr>
        <w:pStyle w:val="2"/>
        <w:jc w:val="center"/>
      </w:pPr>
      <w:r>
        <w:rPr>
          <w:sz w:val="20"/>
        </w:rPr>
      </w:r>
    </w:p>
    <w:p>
      <w:pPr>
        <w:pStyle w:val="2"/>
        <w:jc w:val="center"/>
      </w:pPr>
      <w:r>
        <w:rPr>
          <w:sz w:val="20"/>
        </w:rPr>
        <w:t xml:space="preserve">ОБ УТВЕРЖДЕНИИ ПОРЯДКА ОПРЕДЕЛЕНИЯ ОБЪЕМА И ПРЕДОСТАВЛЕНИЯ</w:t>
      </w:r>
    </w:p>
    <w:p>
      <w:pPr>
        <w:pStyle w:val="2"/>
        <w:jc w:val="center"/>
      </w:pPr>
      <w:r>
        <w:rPr>
          <w:sz w:val="20"/>
        </w:rPr>
        <w:t xml:space="preserve">СУБСИДИИ АВТОНОМНОЙ НЕКОММЕРЧЕСКОЙ ОРГАНИЗАЦИИ "РЕСУРСНЫЙ</w:t>
      </w:r>
    </w:p>
    <w:p>
      <w:pPr>
        <w:pStyle w:val="2"/>
        <w:jc w:val="center"/>
      </w:pPr>
      <w:r>
        <w:rPr>
          <w:sz w:val="20"/>
        </w:rPr>
        <w:t xml:space="preserve">ЦЕНТР РАЗВИТИЯ ВОЛОНТЕРСТВА (ДОБРОВОЛЬЧЕСТВА)</w:t>
      </w:r>
    </w:p>
    <w:p>
      <w:pPr>
        <w:pStyle w:val="2"/>
        <w:jc w:val="center"/>
      </w:pPr>
      <w:r>
        <w:rPr>
          <w:sz w:val="20"/>
        </w:rPr>
        <w:t xml:space="preserve">КАБАРДИНО-БАЛКАРСКОЙ РЕСПУБЛИКИ"</w:t>
      </w:r>
    </w:p>
    <w:p>
      <w:pPr>
        <w:pStyle w:val="0"/>
        <w:jc w:val="both"/>
      </w:pPr>
      <w:r>
        <w:rPr>
          <w:sz w:val="20"/>
        </w:rPr>
      </w:r>
    </w:p>
    <w:p>
      <w:pPr>
        <w:pStyle w:val="0"/>
        <w:ind w:firstLine="540"/>
        <w:jc w:val="both"/>
      </w:pPr>
      <w:r>
        <w:rPr>
          <w:sz w:val="20"/>
        </w:rPr>
        <w:t xml:space="preserve">В соответствии с </w:t>
      </w:r>
      <w:hyperlink w:history="0" r:id="rId7" w:tooltip="&quot;Бюджетный кодекс Российской Федерации&quot; от 31.07.1998 N 145-ФЗ (ред. от 21.04.2025) {КонсультантПлюс}">
        <w:r>
          <w:rPr>
            <w:sz w:val="20"/>
            <w:color w:val="0000ff"/>
          </w:rPr>
          <w:t xml:space="preserve">частью 2 статьи 78.1</w:t>
        </w:r>
      </w:hyperlink>
      <w:r>
        <w:rPr>
          <w:sz w:val="20"/>
        </w:rPr>
        <w:t xml:space="preserve"> Бюджетного кодекса Российской Федерации, </w:t>
      </w:r>
      <w:hyperlink w:history="0" r:id="rId8" w:tooltip="Федеральный закон от 12.01.1996 N 7-ФЗ (ред. от 13.12.2024, с изм. от 23.11.2007) &quot;О некоммерческих организациях&quot; {КонсультантПлюс}">
        <w:r>
          <w:rPr>
            <w:sz w:val="20"/>
            <w:color w:val="0000ff"/>
          </w:rPr>
          <w:t xml:space="preserve">статьей 10</w:t>
        </w:r>
      </w:hyperlink>
      <w:r>
        <w:rPr>
          <w:sz w:val="20"/>
        </w:rPr>
        <w:t xml:space="preserve"> Федерального закона от 12.01.1996 N 7-ФЗ "О некоммерческих организациях", </w:t>
      </w:r>
      <w:hyperlink w:history="0" r:id="rId9"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постановлением</w:t>
        </w:r>
      </w:hyperlink>
      <w:r>
        <w:rPr>
          <w:sz w:val="20"/>
        </w:rPr>
        <w:t xml:space="preserve"> Правительства от 25 октября 2023 г. N 1780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приказываю:</w:t>
      </w:r>
    </w:p>
    <w:p>
      <w:pPr>
        <w:pStyle w:val="0"/>
        <w:spacing w:before="200" w:line-rule="auto"/>
        <w:ind w:firstLine="540"/>
        <w:jc w:val="both"/>
      </w:pPr>
      <w:r>
        <w:rPr>
          <w:sz w:val="20"/>
        </w:rPr>
        <w:t xml:space="preserve">1. Утвердить прилагаемый </w:t>
      </w:r>
      <w:hyperlink w:history="0" w:anchor="P30" w:tooltip="ПОРЯДОК">
        <w:r>
          <w:rPr>
            <w:sz w:val="20"/>
            <w:color w:val="0000ff"/>
          </w:rPr>
          <w:t xml:space="preserve">порядок</w:t>
        </w:r>
      </w:hyperlink>
      <w:r>
        <w:rPr>
          <w:sz w:val="20"/>
        </w:rPr>
        <w:t xml:space="preserve"> определения объема и предоставления субсидии автономной некоммерческой организации "Ресурсный центр развития волонтерства (добровольчества) Кабардино-Балкарской Республики".</w:t>
      </w:r>
    </w:p>
    <w:p>
      <w:pPr>
        <w:pStyle w:val="0"/>
        <w:spacing w:before="200" w:line-rule="auto"/>
        <w:ind w:firstLine="540"/>
        <w:jc w:val="both"/>
      </w:pPr>
      <w:r>
        <w:rPr>
          <w:sz w:val="20"/>
        </w:rPr>
        <w:t xml:space="preserve">2. Признать утратившим силу </w:t>
      </w:r>
      <w:hyperlink w:history="0" r:id="rId10" w:tooltip="Приказ Минмолодежи КБР от 29.01.2024 N 14 &quot;Об утверждении порядка определения объема и предоставления субсидии автономной некоммерческой организации &quot;Ресурсный центр развития волонтерства (добровольчества) Кабардино-Балкарской Республики&quot; ------------ Утратил силу или отменен {КонсультантПлюс}">
        <w:r>
          <w:rPr>
            <w:sz w:val="20"/>
            <w:color w:val="0000ff"/>
          </w:rPr>
          <w:t xml:space="preserve">приказ</w:t>
        </w:r>
      </w:hyperlink>
      <w:r>
        <w:rPr>
          <w:sz w:val="20"/>
        </w:rPr>
        <w:t xml:space="preserve"> Министерства по делам молодежи Кабардино-Балкарской Республики от 29 января 2024 года N 14.</w:t>
      </w:r>
    </w:p>
    <w:p>
      <w:pPr>
        <w:pStyle w:val="0"/>
        <w:spacing w:before="200" w:line-rule="auto"/>
        <w:ind w:firstLine="540"/>
        <w:jc w:val="both"/>
      </w:pPr>
      <w:r>
        <w:rPr>
          <w:sz w:val="20"/>
        </w:rPr>
        <w:t xml:space="preserve">3. Контроль за исполнением настоящего приказа возложить на заместителя министра по делам молодежи Кабардино-Балкарской Республики Бжедугова М.Б.</w:t>
      </w:r>
    </w:p>
    <w:p>
      <w:pPr>
        <w:pStyle w:val="0"/>
        <w:jc w:val="both"/>
      </w:pPr>
      <w:r>
        <w:rPr>
          <w:sz w:val="20"/>
        </w:rPr>
      </w:r>
    </w:p>
    <w:p>
      <w:pPr>
        <w:pStyle w:val="0"/>
        <w:jc w:val="right"/>
      </w:pPr>
      <w:r>
        <w:rPr>
          <w:sz w:val="20"/>
        </w:rPr>
        <w:t xml:space="preserve">Министр</w:t>
      </w:r>
    </w:p>
    <w:p>
      <w:pPr>
        <w:pStyle w:val="0"/>
        <w:jc w:val="right"/>
      </w:pPr>
      <w:r>
        <w:rPr>
          <w:sz w:val="20"/>
        </w:rPr>
        <w:t xml:space="preserve">А.ЛЮЕВ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по делам молодежи</w:t>
      </w:r>
    </w:p>
    <w:p>
      <w:pPr>
        <w:pStyle w:val="0"/>
        <w:jc w:val="right"/>
      </w:pPr>
      <w:r>
        <w:rPr>
          <w:sz w:val="20"/>
        </w:rPr>
        <w:t xml:space="preserve">Кабардино-Балкарской Республики</w:t>
      </w:r>
    </w:p>
    <w:p>
      <w:pPr>
        <w:pStyle w:val="0"/>
        <w:jc w:val="right"/>
      </w:pPr>
      <w:r>
        <w:rPr>
          <w:sz w:val="20"/>
        </w:rPr>
        <w:t xml:space="preserve">от 14 февраля 2025 г. N 23</w:t>
      </w:r>
    </w:p>
    <w:p>
      <w:pPr>
        <w:pStyle w:val="0"/>
        <w:jc w:val="both"/>
      </w:pPr>
      <w:r>
        <w:rPr>
          <w:sz w:val="20"/>
        </w:rPr>
      </w:r>
    </w:p>
    <w:bookmarkStart w:id="30" w:name="P30"/>
    <w:bookmarkEnd w:id="30"/>
    <w:p>
      <w:pPr>
        <w:pStyle w:val="2"/>
        <w:jc w:val="center"/>
      </w:pPr>
      <w:r>
        <w:rPr>
          <w:sz w:val="20"/>
        </w:rPr>
        <w:t xml:space="preserve">ПОРЯДОК</w:t>
      </w:r>
    </w:p>
    <w:p>
      <w:pPr>
        <w:pStyle w:val="2"/>
        <w:jc w:val="center"/>
      </w:pPr>
      <w:r>
        <w:rPr>
          <w:sz w:val="20"/>
        </w:rPr>
        <w:t xml:space="preserve">ПРЕДОСТАВЛЕНИЯ СУБСИДИИ АВТОНОМНОЙ НЕКОММЕРЧЕСКОЙ</w:t>
      </w:r>
    </w:p>
    <w:p>
      <w:pPr>
        <w:pStyle w:val="2"/>
        <w:jc w:val="center"/>
      </w:pPr>
      <w:r>
        <w:rPr>
          <w:sz w:val="20"/>
        </w:rPr>
        <w:t xml:space="preserve">ОРГАНИЗАЦИИ "РЕСУРСНЫЙ ЦЕНТР РАЗВИТИЯ ВОЛОНТЕРСТВА</w:t>
      </w:r>
    </w:p>
    <w:p>
      <w:pPr>
        <w:pStyle w:val="2"/>
        <w:jc w:val="center"/>
      </w:pPr>
      <w:r>
        <w:rPr>
          <w:sz w:val="20"/>
        </w:rPr>
        <w:t xml:space="preserve">(ДОБРОВОЛЬЧЕСТВА) КАБАРДИНО-БАЛКАРСКОЙ РЕСПУБЛИКИ"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855"/>
        <w:gridCol w:w="340"/>
        <w:gridCol w:w="4309"/>
      </w:tblGrid>
      <w:tr>
        <w:tc>
          <w:tcPr>
            <w:tcW w:w="567" w:type="dxa"/>
          </w:tcPr>
          <w:p>
            <w:pPr>
              <w:pStyle w:val="0"/>
              <w:jc w:val="center"/>
            </w:pPr>
            <w:r>
              <w:rPr>
                <w:sz w:val="20"/>
              </w:rPr>
              <w:t xml:space="preserve">1.</w:t>
            </w:r>
          </w:p>
        </w:tc>
        <w:tc>
          <w:tcPr>
            <w:tcW w:w="3855" w:type="dxa"/>
          </w:tcPr>
          <w:p>
            <w:pPr>
              <w:pStyle w:val="0"/>
            </w:pPr>
            <w:r>
              <w:rPr>
                <w:sz w:val="20"/>
              </w:rPr>
              <w:t xml:space="preserve">Наименование главного распорядителя бюджетных средств</w:t>
            </w:r>
          </w:p>
        </w:tc>
        <w:tc>
          <w:tcPr>
            <w:tcW w:w="340" w:type="dxa"/>
          </w:tcPr>
          <w:p>
            <w:pPr>
              <w:pStyle w:val="0"/>
            </w:pPr>
            <w:r>
              <w:rPr>
                <w:sz w:val="20"/>
              </w:rPr>
            </w:r>
          </w:p>
        </w:tc>
        <w:tc>
          <w:tcPr>
            <w:tcW w:w="4309" w:type="dxa"/>
          </w:tcPr>
          <w:p>
            <w:pPr>
              <w:pStyle w:val="0"/>
            </w:pPr>
            <w:r>
              <w:rPr>
                <w:sz w:val="20"/>
              </w:rPr>
              <w:t xml:space="preserve">Министерство по делам молодежи Кабардино-Балкарской Республики (далее - Министерство)</w:t>
            </w:r>
          </w:p>
        </w:tc>
      </w:tr>
      <w:tr>
        <w:tc>
          <w:tcPr>
            <w:tcW w:w="567" w:type="dxa"/>
          </w:tcPr>
          <w:p>
            <w:pPr>
              <w:pStyle w:val="0"/>
              <w:jc w:val="center"/>
            </w:pPr>
            <w:r>
              <w:rPr>
                <w:sz w:val="20"/>
              </w:rPr>
              <w:t xml:space="preserve">2.</w:t>
            </w:r>
          </w:p>
        </w:tc>
        <w:tc>
          <w:tcPr>
            <w:tcW w:w="3855" w:type="dxa"/>
          </w:tcPr>
          <w:p>
            <w:pPr>
              <w:pStyle w:val="0"/>
            </w:pPr>
            <w:r>
              <w:rPr>
                <w:sz w:val="20"/>
              </w:rPr>
              <w:t xml:space="preserve">Размещение информации о субсидии в сети "Интернет"</w:t>
            </w:r>
          </w:p>
        </w:tc>
        <w:tc>
          <w:tcPr>
            <w:tcW w:w="340" w:type="dxa"/>
          </w:tcPr>
          <w:p>
            <w:pPr>
              <w:pStyle w:val="0"/>
            </w:pPr>
            <w:r>
              <w:rPr>
                <w:sz w:val="20"/>
              </w:rPr>
            </w:r>
          </w:p>
        </w:tc>
        <w:tc>
          <w:tcPr>
            <w:tcW w:w="4309" w:type="dxa"/>
          </w:tcPr>
          <w:p>
            <w:pPr>
              <w:pStyle w:val="0"/>
            </w:pPr>
            <w:r>
              <w:rPr>
                <w:sz w:val="20"/>
              </w:rPr>
              <w:t xml:space="preserve">Информация о субсидиях размещается в установленном Министерством финансов Российской Федерации порядке на едином портале бюджетной системы Российской Федерации в информационно-телекоммуникационной сети "Интернет" или на ином сайте в информационно-телекоммуникационной сети "Интернет"</w:t>
            </w:r>
          </w:p>
        </w:tc>
      </w:tr>
      <w:tr>
        <w:tc>
          <w:tcPr>
            <w:tcW w:w="567" w:type="dxa"/>
          </w:tcPr>
          <w:p>
            <w:pPr>
              <w:pStyle w:val="0"/>
              <w:jc w:val="center"/>
            </w:pPr>
            <w:r>
              <w:rPr>
                <w:sz w:val="20"/>
              </w:rPr>
              <w:t xml:space="preserve">3.</w:t>
            </w:r>
          </w:p>
        </w:tc>
        <w:tc>
          <w:tcPr>
            <w:tcW w:w="3855" w:type="dxa"/>
          </w:tcPr>
          <w:p>
            <w:pPr>
              <w:pStyle w:val="0"/>
            </w:pPr>
            <w:r>
              <w:rPr>
                <w:sz w:val="20"/>
              </w:rPr>
              <w:t xml:space="preserve">Наименование бюджета бюджетной системы Российской Федерации, из которого предоставляется субсидия</w:t>
            </w:r>
          </w:p>
        </w:tc>
        <w:tc>
          <w:tcPr>
            <w:tcW w:w="340" w:type="dxa"/>
          </w:tcPr>
          <w:p>
            <w:pPr>
              <w:pStyle w:val="0"/>
            </w:pPr>
            <w:r>
              <w:rPr>
                <w:sz w:val="20"/>
              </w:rPr>
            </w:r>
          </w:p>
        </w:tc>
        <w:tc>
          <w:tcPr>
            <w:tcW w:w="4309" w:type="dxa"/>
          </w:tcPr>
          <w:p>
            <w:pPr>
              <w:pStyle w:val="0"/>
            </w:pPr>
            <w:r>
              <w:rPr>
                <w:sz w:val="20"/>
              </w:rPr>
              <w:t xml:space="preserve">Республиканский бюджет Кабардино-Балкарской Республики</w:t>
            </w:r>
          </w:p>
        </w:tc>
      </w:tr>
      <w:tr>
        <w:tc>
          <w:tcPr>
            <w:tcW w:w="567" w:type="dxa"/>
          </w:tcPr>
          <w:p>
            <w:pPr>
              <w:pStyle w:val="0"/>
              <w:jc w:val="center"/>
            </w:pPr>
            <w:r>
              <w:rPr>
                <w:sz w:val="20"/>
              </w:rPr>
              <w:t xml:space="preserve">4.</w:t>
            </w:r>
          </w:p>
        </w:tc>
        <w:tc>
          <w:tcPr>
            <w:tcW w:w="3855" w:type="dxa"/>
          </w:tcPr>
          <w:p>
            <w:pPr>
              <w:pStyle w:val="0"/>
            </w:pPr>
            <w:r>
              <w:rPr>
                <w:sz w:val="20"/>
              </w:rPr>
              <w:t xml:space="preserve">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tc>
        <w:tc>
          <w:tcPr>
            <w:tcW w:w="340" w:type="dxa"/>
          </w:tcPr>
          <w:p>
            <w:pPr>
              <w:pStyle w:val="0"/>
            </w:pPr>
            <w:r>
              <w:rPr>
                <w:sz w:val="20"/>
              </w:rPr>
            </w:r>
          </w:p>
        </w:tc>
        <w:tc>
          <w:tcPr>
            <w:tcW w:w="4309" w:type="dxa"/>
          </w:tcPr>
          <w:p>
            <w:pPr>
              <w:pStyle w:val="0"/>
            </w:pPr>
            <w:r>
              <w:rPr>
                <w:sz w:val="20"/>
              </w:rPr>
              <w:t xml:space="preserve">Национальный проект "Молодежь и дети" в рамках государственной программы Российской Федерации "Развитие образования"</w:t>
            </w:r>
          </w:p>
        </w:tc>
      </w:tr>
      <w:tr>
        <w:tc>
          <w:tcPr>
            <w:tcW w:w="567" w:type="dxa"/>
          </w:tcPr>
          <w:p>
            <w:pPr>
              <w:pStyle w:val="0"/>
              <w:jc w:val="center"/>
            </w:pPr>
            <w:r>
              <w:rPr>
                <w:sz w:val="20"/>
              </w:rPr>
              <w:t xml:space="preserve">5.</w:t>
            </w:r>
          </w:p>
        </w:tc>
        <w:tc>
          <w:tcPr>
            <w:tcW w:w="3855" w:type="dxa"/>
          </w:tcPr>
          <w:p>
            <w:pPr>
              <w:pStyle w:val="0"/>
            </w:pPr>
            <w:r>
              <w:rPr>
                <w:sz w:val="20"/>
              </w:rPr>
              <w:t xml:space="preserve">Наименование субсидии</w:t>
            </w:r>
          </w:p>
        </w:tc>
        <w:tc>
          <w:tcPr>
            <w:tcW w:w="340" w:type="dxa"/>
          </w:tcPr>
          <w:p>
            <w:pPr>
              <w:pStyle w:val="0"/>
            </w:pPr>
            <w:r>
              <w:rPr>
                <w:sz w:val="20"/>
              </w:rPr>
            </w:r>
          </w:p>
        </w:tc>
        <w:tc>
          <w:tcPr>
            <w:tcW w:w="4309" w:type="dxa"/>
          </w:tcPr>
          <w:p>
            <w:pPr>
              <w:pStyle w:val="0"/>
            </w:pPr>
            <w:r>
              <w:rPr>
                <w:sz w:val="20"/>
              </w:rPr>
              <w:t xml:space="preserve">Субсидия автономной некоммерческой организации "Ресурсный центр развития волонтерства (добровольчества) Кабардино-Балкарской Республики"</w:t>
            </w:r>
          </w:p>
        </w:tc>
      </w:tr>
      <w:tr>
        <w:tc>
          <w:tcPr>
            <w:tcW w:w="567" w:type="dxa"/>
          </w:tcPr>
          <w:p>
            <w:pPr>
              <w:pStyle w:val="0"/>
              <w:jc w:val="center"/>
            </w:pPr>
            <w:r>
              <w:rPr>
                <w:sz w:val="20"/>
              </w:rPr>
              <w:t xml:space="preserve">6.</w:t>
            </w:r>
          </w:p>
        </w:tc>
        <w:tc>
          <w:tcPr>
            <w:tcW w:w="3855" w:type="dxa"/>
          </w:tcPr>
          <w:p>
            <w:pPr>
              <w:pStyle w:val="0"/>
            </w:pPr>
            <w:r>
              <w:rPr>
                <w:sz w:val="20"/>
              </w:rPr>
              <w:t xml:space="preserve">Цель предоставления субсидии</w:t>
            </w:r>
          </w:p>
        </w:tc>
        <w:tc>
          <w:tcPr>
            <w:tcW w:w="340" w:type="dxa"/>
          </w:tcPr>
          <w:p>
            <w:pPr>
              <w:pStyle w:val="0"/>
            </w:pPr>
            <w:r>
              <w:rPr>
                <w:sz w:val="20"/>
              </w:rPr>
            </w:r>
          </w:p>
        </w:tc>
        <w:tc>
          <w:tcPr>
            <w:tcW w:w="4309" w:type="dxa"/>
          </w:tcPr>
          <w:p>
            <w:pPr>
              <w:pStyle w:val="0"/>
            </w:pPr>
            <w:r>
              <w:rPr>
                <w:sz w:val="20"/>
              </w:rPr>
              <w:t xml:space="preserve">Реализация мероприятий региональных проектов "Россия - страна возможностей" и "Мы вместе (Воспитание гармонично развитой личности)", в рамках реализации государственной </w:t>
            </w:r>
            <w:hyperlink w:history="0" r:id="rId11" w:tooltip="Распоряжение Правительства КБР от 24.01.2024 N 27-рп (ред. от 24.02.2025) &lt;Об утверждении паспорта государственной программы (комплексной программы) Кабардино-Балкарской Республики &quot;Развитие молодежной политики в Кабардино-Балкарской Республике&quot;&gt; (вместе с &quot;Паспортом комплекса процессных мероприятий &quot;Поддержка молодежных инициатив&quot;) ------------ Недействующая редакция {КонсультантПлюс}">
              <w:r>
                <w:rPr>
                  <w:sz w:val="20"/>
                  <w:color w:val="0000ff"/>
                </w:rPr>
                <w:t xml:space="preserve">программы</w:t>
              </w:r>
            </w:hyperlink>
            <w:r>
              <w:rPr>
                <w:sz w:val="20"/>
              </w:rPr>
              <w:t xml:space="preserve"> Кабардино-Балкарской Республики "Развитие молодежной политики в Кабардино-Балкарской Республике", утвержденной распоряжением Правительства Кабардино-Балкарской Республики от 24 января 2024 г. N 27-рп, а также иных проектов и мероприятий федерального и регионального уровней, направленных на создание условий для развития молодежной политики в Кабардино-Балкарской Республике</w:t>
            </w:r>
          </w:p>
        </w:tc>
      </w:tr>
      <w:tr>
        <w:tc>
          <w:tcPr>
            <w:tcW w:w="567" w:type="dxa"/>
          </w:tcPr>
          <w:p>
            <w:pPr>
              <w:pStyle w:val="0"/>
              <w:jc w:val="center"/>
            </w:pPr>
            <w:r>
              <w:rPr>
                <w:sz w:val="20"/>
              </w:rPr>
              <w:t xml:space="preserve">7.</w:t>
            </w:r>
          </w:p>
        </w:tc>
        <w:tc>
          <w:tcPr>
            <w:tcW w:w="3855" w:type="dxa"/>
          </w:tcPr>
          <w:p>
            <w:pPr>
              <w:pStyle w:val="0"/>
            </w:pPr>
            <w:r>
              <w:rPr>
                <w:sz w:val="20"/>
              </w:rPr>
              <w:t xml:space="preserve">Тип субсидии,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(далее - порядок проведения мониторинга достижения результата)</w:t>
            </w:r>
          </w:p>
        </w:tc>
        <w:tc>
          <w:tcPr>
            <w:tcW w:w="340" w:type="dxa"/>
          </w:tcPr>
          <w:p>
            <w:pPr>
              <w:pStyle w:val="0"/>
            </w:pPr>
            <w:r>
              <w:rPr>
                <w:sz w:val="20"/>
              </w:rPr>
            </w:r>
          </w:p>
        </w:tc>
        <w:tc>
          <w:tcPr>
            <w:tcW w:w="4309" w:type="dxa"/>
          </w:tcPr>
          <w:p>
            <w:pPr>
              <w:pStyle w:val="0"/>
            </w:pPr>
            <w:r>
              <w:rPr>
                <w:sz w:val="20"/>
              </w:rPr>
              <w:t xml:space="preserve">Субсидии на оказание услуг (выполнение работ)</w:t>
            </w:r>
          </w:p>
        </w:tc>
      </w:tr>
      <w:tr>
        <w:tc>
          <w:tcPr>
            <w:tcW w:w="567" w:type="dxa"/>
          </w:tcPr>
          <w:p>
            <w:pPr>
              <w:pStyle w:val="0"/>
              <w:jc w:val="center"/>
            </w:pPr>
            <w:r>
              <w:rPr>
                <w:sz w:val="20"/>
              </w:rPr>
              <w:t xml:space="preserve">8.</w:t>
            </w:r>
          </w:p>
        </w:tc>
        <w:tc>
          <w:tcPr>
            <w:tcW w:w="3855" w:type="dxa"/>
          </w:tcPr>
          <w:p>
            <w:pPr>
              <w:pStyle w:val="0"/>
            </w:pPr>
            <w:r>
              <w:rPr>
                <w:sz w:val="20"/>
              </w:rPr>
              <w:t xml:space="preserve">Тип результата предоставления субсидии, определенный в соответствии с порядком проведения мониторинга достижения результата</w:t>
            </w:r>
          </w:p>
        </w:tc>
        <w:tc>
          <w:tcPr>
            <w:tcW w:w="340" w:type="dxa"/>
          </w:tcPr>
          <w:p>
            <w:pPr>
              <w:pStyle w:val="0"/>
            </w:pPr>
            <w:r>
              <w:rPr>
                <w:sz w:val="20"/>
              </w:rPr>
            </w:r>
          </w:p>
        </w:tc>
        <w:tc>
          <w:tcPr>
            <w:tcW w:w="4309" w:type="dxa"/>
          </w:tcPr>
          <w:p>
            <w:pPr>
              <w:pStyle w:val="0"/>
            </w:pPr>
            <w:r>
              <w:rPr>
                <w:sz w:val="20"/>
              </w:rPr>
              <w:t xml:space="preserve">Оказание услуг (выполнение работ), субсидии на приобретение товаров, работ, услуг</w:t>
            </w:r>
          </w:p>
        </w:tc>
      </w:tr>
      <w:tr>
        <w:tc>
          <w:tcPr>
            <w:tcW w:w="567" w:type="dxa"/>
          </w:tcPr>
          <w:p>
            <w:pPr>
              <w:pStyle w:val="0"/>
              <w:jc w:val="center"/>
            </w:pPr>
            <w:r>
              <w:rPr>
                <w:sz w:val="20"/>
              </w:rPr>
              <w:t xml:space="preserve">9.</w:t>
            </w:r>
          </w:p>
        </w:tc>
        <w:tc>
          <w:tcPr>
            <w:tcW w:w="3855" w:type="dxa"/>
          </w:tcPr>
          <w:p>
            <w:pPr>
              <w:pStyle w:val="0"/>
            </w:pPr>
            <w:r>
              <w:rPr>
                <w:sz w:val="20"/>
              </w:rPr>
              <w:t xml:space="preserve">Код результата предоставления субсидии, определенного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tc>
        <w:tc>
          <w:tcPr>
            <w:tcW w:w="340" w:type="dxa"/>
          </w:tcPr>
          <w:p>
            <w:pPr>
              <w:pStyle w:val="0"/>
            </w:pPr>
            <w:r>
              <w:rPr>
                <w:sz w:val="20"/>
              </w:rPr>
            </w:r>
          </w:p>
        </w:tc>
        <w:tc>
          <w:tcPr>
            <w:tcW w:w="4309" w:type="dxa"/>
          </w:tcPr>
          <w:p>
            <w:pPr>
              <w:pStyle w:val="0"/>
            </w:pPr>
            <w:r>
              <w:rPr>
                <w:sz w:val="20"/>
              </w:rPr>
              <w:t xml:space="preserve">- Реализованы практики поддержки добровольчества (волонтерства) по итогам проведения ежегодного конкурса по предоставлению субсидии субъектам Российской Федерации на реализацию практик поддержки и развития добровольчества (волонтерства) "Регион добрых дел";</w:t>
            </w:r>
          </w:p>
          <w:p>
            <w:pPr>
              <w:pStyle w:val="0"/>
            </w:pPr>
            <w:r>
              <w:rPr>
                <w:sz w:val="20"/>
              </w:rPr>
              <w:t xml:space="preserve">- Реализована программа комплексного развития молодежной политики в субъектах Российской Федерации "Регион для молодых"</w:t>
            </w:r>
          </w:p>
        </w:tc>
      </w:tr>
      <w:tr>
        <w:tc>
          <w:tcPr>
            <w:tcW w:w="567" w:type="dxa"/>
          </w:tcPr>
          <w:p>
            <w:pPr>
              <w:pStyle w:val="0"/>
              <w:jc w:val="center"/>
            </w:pPr>
            <w:r>
              <w:rPr>
                <w:sz w:val="20"/>
              </w:rPr>
              <w:t xml:space="preserve">10.</w:t>
            </w:r>
          </w:p>
        </w:tc>
        <w:tc>
          <w:tcPr>
            <w:tcW w:w="3855" w:type="dxa"/>
          </w:tcPr>
          <w:p>
            <w:pPr>
              <w:pStyle w:val="0"/>
            </w:pPr>
            <w:r>
              <w:rPr>
                <w:sz w:val="20"/>
              </w:rPr>
              <w:t xml:space="preserve">Способ предоставления субсидии (финансовое обеспечение затрат; возмещение недополученных доходов и (или) возмещение затрат)</w:t>
            </w:r>
          </w:p>
        </w:tc>
        <w:tc>
          <w:tcPr>
            <w:tcW w:w="340" w:type="dxa"/>
          </w:tcPr>
          <w:p>
            <w:pPr>
              <w:pStyle w:val="0"/>
            </w:pPr>
            <w:r>
              <w:rPr>
                <w:sz w:val="20"/>
              </w:rPr>
            </w:r>
          </w:p>
        </w:tc>
        <w:tc>
          <w:tcPr>
            <w:tcW w:w="4309" w:type="dxa"/>
          </w:tcPr>
          <w:p>
            <w:pPr>
              <w:pStyle w:val="0"/>
            </w:pPr>
            <w:r>
              <w:rPr>
                <w:sz w:val="20"/>
              </w:rPr>
              <w:t xml:space="preserve">Финансовое обеспечение затрат</w:t>
            </w:r>
          </w:p>
        </w:tc>
      </w:tr>
      <w:tr>
        <w:tc>
          <w:tcPr>
            <w:tcW w:w="567" w:type="dxa"/>
          </w:tcPr>
          <w:p>
            <w:pPr>
              <w:pStyle w:val="0"/>
              <w:jc w:val="center"/>
            </w:pPr>
            <w:r>
              <w:rPr>
                <w:sz w:val="20"/>
              </w:rPr>
              <w:t xml:space="preserve">11.</w:t>
            </w:r>
          </w:p>
        </w:tc>
        <w:tc>
          <w:tcPr>
            <w:tcW w:w="3855" w:type="dxa"/>
          </w:tcPr>
          <w:p>
            <w:pPr>
              <w:pStyle w:val="0"/>
            </w:pPr>
            <w:r>
              <w:rPr>
                <w:sz w:val="20"/>
              </w:rPr>
              <w:t xml:space="preserve">Способ осуществления отбора получателей субсидии (запрос предложений или конкурс)</w:t>
            </w:r>
          </w:p>
        </w:tc>
        <w:tc>
          <w:tcPr>
            <w:tcW w:w="340" w:type="dxa"/>
          </w:tcPr>
          <w:p>
            <w:pPr>
              <w:pStyle w:val="0"/>
            </w:pPr>
            <w:r>
              <w:rPr>
                <w:sz w:val="20"/>
              </w:rPr>
            </w:r>
          </w:p>
        </w:tc>
        <w:tc>
          <w:tcPr>
            <w:tcW w:w="4309" w:type="dxa"/>
          </w:tcPr>
          <w:p>
            <w:pPr>
              <w:pStyle w:val="0"/>
            </w:pPr>
            <w:r>
              <w:rPr>
                <w:sz w:val="20"/>
              </w:rPr>
              <w:t xml:space="preserve">Отбор получателей субсидии не требуется</w:t>
            </w:r>
          </w:p>
        </w:tc>
      </w:tr>
      <w:tr>
        <w:tc>
          <w:tcPr>
            <w:tcW w:w="567" w:type="dxa"/>
          </w:tcPr>
          <w:p>
            <w:pPr>
              <w:pStyle w:val="0"/>
              <w:jc w:val="center"/>
            </w:pPr>
            <w:r>
              <w:rPr>
                <w:sz w:val="20"/>
              </w:rPr>
              <w:t xml:space="preserve">12.</w:t>
            </w:r>
          </w:p>
        </w:tc>
        <w:tc>
          <w:tcPr>
            <w:tcW w:w="3855" w:type="dxa"/>
          </w:tcPr>
          <w:p>
            <w:pPr>
              <w:pStyle w:val="0"/>
            </w:pPr>
            <w:r>
              <w:rPr>
                <w:sz w:val="20"/>
              </w:rPr>
              <w:t xml:space="preserve">Требования, определенные в соответствии с </w:t>
            </w:r>
            <w:hyperlink w:history="0" r:id="rId12"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19</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(далее - Правила N 1780),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w:t>
            </w:r>
            <w:hyperlink w:history="0" r:id="rId13"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1781, и в соответствии с </w:t>
            </w:r>
            <w:hyperlink w:history="0" r:id="rId14" w:tooltip="&quot;Бюджетный кодекс Российской Федерации&quot; от 31.07.1998 N 145-ФЗ (ред. от 21.04.2025) {КонсультантПлюс}">
              <w:r>
                <w:rPr>
                  <w:sz w:val="20"/>
                  <w:color w:val="0000ff"/>
                </w:rPr>
                <w:t xml:space="preserve">пунктом 4 статьи 78.5</w:t>
              </w:r>
            </w:hyperlink>
            <w:r>
              <w:rPr>
                <w:sz w:val="20"/>
              </w:rPr>
              <w:t xml:space="preserve"> Бюджетного кодекса Российской Федерации, а также получатели субсидии, определенные в соответствии с </w:t>
            </w:r>
            <w:hyperlink w:history="0" r:id="rId15"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20</w:t>
              </w:r>
            </w:hyperlink>
            <w:r>
              <w:rPr>
                <w:sz w:val="20"/>
              </w:rPr>
              <w:t xml:space="preserve"> Правил N 1780, а также при необходимости информация, предусмотренная абзацем третьим </w:t>
            </w:r>
            <w:hyperlink w:history="0" r:id="rId16"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подпункта "а" пункта 18</w:t>
              </w:r>
            </w:hyperlink>
            <w:r>
              <w:rPr>
                <w:sz w:val="20"/>
              </w:rPr>
              <w:t xml:space="preserve"> Правил N 1780</w:t>
            </w:r>
          </w:p>
        </w:tc>
        <w:tc>
          <w:tcPr>
            <w:tcW w:w="340" w:type="dxa"/>
          </w:tcPr>
          <w:p>
            <w:pPr>
              <w:pStyle w:val="0"/>
            </w:pPr>
            <w:r>
              <w:rPr>
                <w:sz w:val="20"/>
              </w:rPr>
            </w:r>
          </w:p>
        </w:tc>
        <w:tc>
          <w:tcPr>
            <w:tcW w:w="4309" w:type="dxa"/>
          </w:tcPr>
          <w:p>
            <w:pPr>
              <w:pStyle w:val="0"/>
            </w:pPr>
            <w:r>
              <w:rPr>
                <w:sz w:val="20"/>
              </w:rPr>
              <w:t xml:space="preserve">Получатель субсидии на дату рассмотрения заявки и заключения договора (соглашения) о предоставлении субсидии (далее - соглашение) должен соответствовать следующим требованиям:</w:t>
            </w:r>
          </w:p>
          <w:p>
            <w:pPr>
              <w:pStyle w:val="0"/>
            </w:pPr>
            <w:r>
              <w:rPr>
                <w:sz w:val="20"/>
              </w:rPr>
              <w:t xml:space="preserve">1. Получатель субсидии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pPr>
            <w:r>
              <w:rPr>
                <w:sz w:val="20"/>
              </w:rPr>
              <w:t xml:space="preserve">2. Получатель субсидии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pPr>
            <w:r>
              <w:rPr>
                <w:sz w:val="20"/>
              </w:rPr>
              <w:t xml:space="preserve">3. Получатель субсидии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p>
            <w:pPr>
              <w:pStyle w:val="0"/>
            </w:pPr>
            <w:r>
              <w:rPr>
                <w:sz w:val="20"/>
              </w:rPr>
              <w:t xml:space="preserve">4. Получатель субсидии не должен являться иностранным агентом в соответствии с Федеральным </w:t>
            </w:r>
            <w:hyperlink w:history="0" r:id="rId17"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pPr>
            <w:r>
              <w:rPr>
                <w:sz w:val="20"/>
              </w:rPr>
              <w:t xml:space="preserve">5. Получатель субсидии не находится в составляемых в рамках реализации полномочий, предусмотренных </w:t>
            </w:r>
            <w:hyperlink w:history="0" r:id="rId1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pPr>
            <w:r>
              <w:rPr>
                <w:sz w:val="20"/>
              </w:rPr>
              <w:t xml:space="preserve">6. У получателя субсидии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pPr>
              <w:pStyle w:val="0"/>
            </w:pPr>
            <w:r>
              <w:rPr>
                <w:sz w:val="20"/>
              </w:rPr>
              <w:t xml:space="preserve">7. У получателя субсидии на едином налоговом счете должна отсутствовать или не превышать размер, определенный </w:t>
            </w:r>
            <w:hyperlink w:history="0" r:id="rId19"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pPr>
            <w:r>
              <w:rPr>
                <w:sz w:val="20"/>
              </w:rPr>
              <w:t xml:space="preserve">8. Получатель субсидии,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p>
            <w:pPr>
              <w:pStyle w:val="0"/>
            </w:pPr>
            <w:r>
              <w:rPr>
                <w:sz w:val="20"/>
              </w:rPr>
              <w:t xml:space="preserve">9.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w:t>
            </w:r>
          </w:p>
          <w:p>
            <w:pPr>
              <w:pStyle w:val="0"/>
            </w:pPr>
            <w:r>
              <w:rPr>
                <w:sz w:val="20"/>
              </w:rPr>
              <w:t xml:space="preserve">10. Предоставляемая субсидия подлежит казначейскому сопровождению и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получателем субсидии в территориальный орган Федерального казначейства или финансовый орган распоряжения о совершении казначейских платежей для оплаты денежного обязательства получателя субсидии</w:t>
            </w:r>
          </w:p>
        </w:tc>
      </w:tr>
      <w:tr>
        <w:tc>
          <w:tcPr>
            <w:tcW w:w="567" w:type="dxa"/>
          </w:tcPr>
          <w:p>
            <w:pPr>
              <w:pStyle w:val="0"/>
              <w:jc w:val="center"/>
            </w:pPr>
            <w:r>
              <w:rPr>
                <w:sz w:val="20"/>
              </w:rPr>
              <w:t xml:space="preserve">13.</w:t>
            </w:r>
          </w:p>
        </w:tc>
        <w:tc>
          <w:tcPr>
            <w:tcW w:w="3855" w:type="dxa"/>
          </w:tcPr>
          <w:p>
            <w:pPr>
              <w:pStyle w:val="0"/>
            </w:pPr>
            <w:r>
              <w:rPr>
                <w:sz w:val="20"/>
              </w:rPr>
              <w:t xml:space="preserve">Порядок расчета размера субсидии с учетом положений </w:t>
            </w:r>
            <w:hyperlink w:history="0" r:id="rId20"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 24</w:t>
              </w:r>
            </w:hyperlink>
            <w:r>
              <w:rPr>
                <w:sz w:val="20"/>
              </w:rPr>
              <w:t xml:space="preserve"> Правил N 1780</w:t>
            </w:r>
          </w:p>
        </w:tc>
        <w:tc>
          <w:tcPr>
            <w:tcW w:w="340" w:type="dxa"/>
          </w:tcPr>
          <w:p>
            <w:pPr>
              <w:pStyle w:val="0"/>
            </w:pPr>
            <w:r>
              <w:rPr>
                <w:sz w:val="20"/>
              </w:rPr>
            </w:r>
          </w:p>
        </w:tc>
        <w:tc>
          <w:tcPr>
            <w:tcW w:w="4309" w:type="dxa"/>
          </w:tcPr>
          <w:p>
            <w:pPr>
              <w:pStyle w:val="0"/>
            </w:pPr>
            <w:r>
              <w:rPr>
                <w:sz w:val="20"/>
              </w:rPr>
              <w:t xml:space="preserve">Субсидия предоставляется в размере, определенном Законом Кабардино-Балкарской Республики на текущий финансовый год и на плановый период, в соответствии со сводной бюджетной росписью республиканского бюджета</w:t>
            </w:r>
          </w:p>
        </w:tc>
      </w:tr>
      <w:tr>
        <w:tc>
          <w:tcPr>
            <w:tcW w:w="567" w:type="dxa"/>
          </w:tcPr>
          <w:p>
            <w:pPr>
              <w:pStyle w:val="0"/>
              <w:jc w:val="center"/>
            </w:pPr>
            <w:r>
              <w:rPr>
                <w:sz w:val="20"/>
              </w:rPr>
              <w:t xml:space="preserve">14.</w:t>
            </w:r>
          </w:p>
        </w:tc>
        <w:tc>
          <w:tcPr>
            <w:tcW w:w="3855" w:type="dxa"/>
          </w:tcPr>
          <w:p>
            <w:pPr>
              <w:pStyle w:val="0"/>
            </w:pPr>
            <w:r>
              <w:rPr>
                <w:sz w:val="20"/>
              </w:rPr>
              <w:t xml:space="preserve">Наименование отчетности, представляемой получателем субсидии, предусмотренной </w:t>
            </w:r>
            <w:hyperlink w:history="0" r:id="rId21"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32</w:t>
              </w:r>
            </w:hyperlink>
            <w:r>
              <w:rPr>
                <w:sz w:val="20"/>
              </w:rPr>
              <w:t xml:space="preserve"> Правил N 1780 (при необходимости)</w:t>
            </w:r>
          </w:p>
        </w:tc>
        <w:tc>
          <w:tcPr>
            <w:tcW w:w="340" w:type="dxa"/>
          </w:tcPr>
          <w:p>
            <w:pPr>
              <w:pStyle w:val="0"/>
            </w:pPr>
            <w:r>
              <w:rPr>
                <w:sz w:val="20"/>
              </w:rPr>
            </w:r>
          </w:p>
        </w:tc>
        <w:tc>
          <w:tcPr>
            <w:tcW w:w="4309" w:type="dxa"/>
          </w:tcPr>
          <w:p>
            <w:pPr>
              <w:pStyle w:val="0"/>
            </w:pPr>
            <w:r>
              <w:rPr>
                <w:sz w:val="20"/>
              </w:rPr>
              <w:t xml:space="preserve">Форма отчетности о расходах, источником финансового обеспечения которых является Субсидия.</w:t>
            </w:r>
          </w:p>
          <w:p>
            <w:pPr>
              <w:pStyle w:val="0"/>
            </w:pPr>
            <w:r>
              <w:rPr>
                <w:sz w:val="20"/>
              </w:rPr>
              <w:t xml:space="preserve">Форма отчетности о реализации проекта, источником финансового обеспечения которых является субсидия</w:t>
            </w:r>
          </w:p>
        </w:tc>
      </w:tr>
      <w:tr>
        <w:tc>
          <w:tcPr>
            <w:tcW w:w="567" w:type="dxa"/>
          </w:tcPr>
          <w:p>
            <w:pPr>
              <w:pStyle w:val="0"/>
              <w:jc w:val="center"/>
            </w:pPr>
            <w:r>
              <w:rPr>
                <w:sz w:val="20"/>
              </w:rPr>
              <w:t xml:space="preserve">15.</w:t>
            </w:r>
          </w:p>
        </w:tc>
        <w:tc>
          <w:tcPr>
            <w:tcW w:w="3855" w:type="dxa"/>
          </w:tcPr>
          <w:p>
            <w:pPr>
              <w:pStyle w:val="0"/>
            </w:pPr>
            <w:r>
              <w:rPr>
                <w:sz w:val="20"/>
              </w:rPr>
              <w:t xml:space="preserve">Информация о возможности заключения соглашения о предоставлении субсидии с иным юридическим лицом в соответствии с </w:t>
            </w:r>
            <w:hyperlink w:history="0" r:id="rId22"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12</w:t>
              </w:r>
            </w:hyperlink>
            <w:r>
              <w:rPr>
                <w:sz w:val="20"/>
              </w:rPr>
              <w:t xml:space="preserve"> Правил N 1780</w:t>
            </w:r>
          </w:p>
        </w:tc>
        <w:tc>
          <w:tcPr>
            <w:tcW w:w="340" w:type="dxa"/>
          </w:tcPr>
          <w:p>
            <w:pPr>
              <w:pStyle w:val="0"/>
            </w:pPr>
            <w:r>
              <w:rPr>
                <w:sz w:val="20"/>
              </w:rPr>
            </w:r>
          </w:p>
        </w:tc>
        <w:tc>
          <w:tcPr>
            <w:tcW w:w="4309" w:type="dxa"/>
          </w:tcPr>
          <w:p>
            <w:pPr>
              <w:pStyle w:val="0"/>
            </w:pPr>
            <w:r>
              <w:rPr>
                <w:sz w:val="20"/>
              </w:rPr>
              <w:t xml:space="preserve">Не предусмотрена</w:t>
            </w:r>
          </w:p>
        </w:tc>
      </w:tr>
      <w:tr>
        <w:tc>
          <w:tcPr>
            <w:tcW w:w="567" w:type="dxa"/>
          </w:tcPr>
          <w:p>
            <w:pPr>
              <w:pStyle w:val="0"/>
              <w:jc w:val="center"/>
            </w:pPr>
            <w:r>
              <w:rPr>
                <w:sz w:val="20"/>
              </w:rPr>
              <w:t xml:space="preserve">16.</w:t>
            </w:r>
          </w:p>
        </w:tc>
        <w:tc>
          <w:tcPr>
            <w:tcW w:w="3855" w:type="dxa"/>
          </w:tcPr>
          <w:p>
            <w:pPr>
              <w:pStyle w:val="0"/>
            </w:pPr>
            <w:r>
              <w:rPr>
                <w:sz w:val="20"/>
              </w:rPr>
              <w:t xml:space="preserve">Направления расходов, определенные в соответствии с </w:t>
            </w:r>
            <w:hyperlink w:history="0" r:id="rId23"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"а" пункта 25</w:t>
              </w:r>
            </w:hyperlink>
            <w:r>
              <w:rPr>
                <w:sz w:val="20"/>
              </w:rPr>
              <w:t xml:space="preserve"> Правил N 1780, а также при необходимости наименования затрат, произведенных получателем субсидии за счет собственных средств, возмещаемых за счет субсидии, определенные в соответствии с </w:t>
            </w:r>
            <w:hyperlink w:history="0" r:id="rId24"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"ж" пункта 25</w:t>
              </w:r>
            </w:hyperlink>
            <w:r>
              <w:rPr>
                <w:sz w:val="20"/>
              </w:rPr>
              <w:t xml:space="preserve"> Правил N 1780, в случае предоставления субсидий в порядке финансового обеспечения затрат в связи с производством (реализацией) товаров, выполнением работ, оказанием услуг</w:t>
            </w:r>
          </w:p>
        </w:tc>
        <w:tc>
          <w:tcPr>
            <w:tcW w:w="340" w:type="dxa"/>
          </w:tcPr>
          <w:p>
            <w:pPr>
              <w:pStyle w:val="0"/>
            </w:pPr>
            <w:r>
              <w:rPr>
                <w:sz w:val="20"/>
              </w:rPr>
            </w:r>
          </w:p>
        </w:tc>
        <w:tc>
          <w:tcPr>
            <w:tcW w:w="4309" w:type="dxa"/>
          </w:tcPr>
          <w:p>
            <w:pPr>
              <w:pStyle w:val="0"/>
            </w:pPr>
            <w:r>
              <w:rPr>
                <w:sz w:val="20"/>
              </w:rPr>
              <w:t xml:space="preserve">Осуществление закупки товаров и услуг в рамках реализации проекта с учетом того, что средства субсидии не могут быть использованы на:</w:t>
            </w:r>
          </w:p>
          <w:p>
            <w:pPr>
              <w:pStyle w:val="0"/>
            </w:pPr>
            <w:r>
              <w:rPr>
                <w:sz w:val="20"/>
              </w:rPr>
              <w:t xml:space="preserve">оказание материальной помощи, а также платных услуг населению; реализацию мероприятий, предполагающих извлечение прибыли; расходы, связанные с осуществлением предпринимательской деятельности и оказанием помощи коммерческим организациям; расходы, связанные с осуществлением деятельности, напрямую не связанной с проектами, представленными на конкурс; расходы на поддержку политических партий и кампаний; расходы на проведение митингов, демонстраций, пикетирований; расходы на фундаментальные научные исследования; расходы на приобретение алкогольных напитков и табачной продукции; уплата штрафов;</w:t>
            </w:r>
          </w:p>
          <w:p>
            <w:pPr>
              <w:pStyle w:val="0"/>
            </w:pPr>
            <w:r>
              <w:rPr>
                <w:sz w:val="20"/>
              </w:rPr>
              <w:t xml:space="preserve">расходы на приобретение недвижимого имущества (включая земельные участки), капитальное строительство новых зданий; расходы на текущий и капитальный ремонт;</w:t>
            </w:r>
          </w:p>
          <w:p>
            <w:pPr>
              <w:pStyle w:val="0"/>
            </w:pPr>
            <w:r>
              <w:rPr>
                <w:sz w:val="20"/>
              </w:rPr>
              <w:t xml:space="preserve">расходы на приобретение транспорта, за исключением случая решения конкурсной комиссии</w:t>
            </w:r>
          </w:p>
        </w:tc>
      </w:tr>
      <w:tr>
        <w:tblPrEx>
          <w:tblBorders>
            <w:insideH w:val="nil"/>
          </w:tblBorders>
        </w:tblPrEx>
        <w:tc>
          <w:tcPr>
            <w:gridSpan w:val="4"/>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Графа вторая нижеследующего пункта изложена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567" w:type="dxa"/>
            <w:tcBorders>
              <w:top w:val="nil"/>
            </w:tcBorders>
          </w:tcPr>
          <w:p>
            <w:pPr>
              <w:pStyle w:val="0"/>
              <w:jc w:val="center"/>
            </w:pPr>
            <w:r>
              <w:rPr>
                <w:sz w:val="20"/>
              </w:rPr>
              <w:t xml:space="preserve">17.</w:t>
            </w:r>
          </w:p>
        </w:tc>
        <w:tc>
          <w:tcPr>
            <w:tcW w:w="3855" w:type="dxa"/>
            <w:tcBorders>
              <w:top w:val="nil"/>
            </w:tcBorders>
          </w:tcPr>
          <w:p>
            <w:pPr>
              <w:pStyle w:val="0"/>
            </w:pPr>
            <w:r>
              <w:rPr>
                <w:sz w:val="20"/>
              </w:rPr>
              <w:t xml:space="preserve">Для получения субсидии АНО "РЦРВ КБР" представляет в Минмолодежи КБР следующие документы</w:t>
            </w:r>
          </w:p>
        </w:tc>
        <w:tc>
          <w:tcPr>
            <w:tcW w:w="340" w:type="dxa"/>
            <w:tcBorders>
              <w:top w:val="nil"/>
            </w:tcBorders>
          </w:tcPr>
          <w:p>
            <w:pPr>
              <w:pStyle w:val="0"/>
            </w:pPr>
            <w:r>
              <w:rPr>
                <w:sz w:val="20"/>
              </w:rPr>
            </w:r>
          </w:p>
        </w:tc>
        <w:tc>
          <w:tcPr>
            <w:tcW w:w="4309" w:type="dxa"/>
            <w:tcBorders>
              <w:top w:val="nil"/>
            </w:tcBorders>
          </w:tcPr>
          <w:p>
            <w:pPr>
              <w:pStyle w:val="0"/>
            </w:pPr>
            <w:r>
              <w:rPr>
                <w:sz w:val="20"/>
              </w:rPr>
              <w:t xml:space="preserve">заявление о предоставлении субсидии, по форме, приведенной в </w:t>
            </w:r>
            <w:hyperlink w:history="0" w:anchor="P136" w:tooltip="                                 ЗАЯВЛЕНИЕ">
              <w:r>
                <w:rPr>
                  <w:sz w:val="20"/>
                  <w:color w:val="0000ff"/>
                </w:rPr>
                <w:t xml:space="preserve">приложении</w:t>
              </w:r>
            </w:hyperlink>
            <w:r>
              <w:rPr>
                <w:sz w:val="20"/>
              </w:rPr>
              <w:t xml:space="preserve"> к настоящему Порядку (далее - заявление);</w:t>
            </w:r>
          </w:p>
          <w:p>
            <w:pPr>
              <w:pStyle w:val="0"/>
            </w:pPr>
            <w:r>
              <w:rPr>
                <w:sz w:val="20"/>
              </w:rPr>
              <w:t xml:space="preserve">справку о наличии сальдо на едином налоговом счете по состоянию не ранее одного месяца с даты предоставления документов; справку, подписанную руководителем заявителя (уполномоченным лицом), подтверждающую отсутствие у заявителя по состоянию на дату' не ранее чем за один месяц до даты подачи заявления и документов для предоставления субсидии просроченной задолженности по возврату в республиканский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республиканским бюджетом (в произвольной форме); справку, подписанную руководителем заявителя (уполномоченным лицом) по состоянию на дату не ранее одного месяца до даты подачи заявления, подтверждающую, что заявитель не находится в процессе реорганизации, ликвидации, в отношении него не введена процедура банкротства, деятельность заявителя не приостановлена в порядке, предусмотренном законодательством Российской Федерации (в произвольной форме);</w:t>
            </w:r>
          </w:p>
          <w:p>
            <w:pPr>
              <w:pStyle w:val="0"/>
            </w:pPr>
            <w:r>
              <w:rPr>
                <w:sz w:val="20"/>
              </w:rPr>
              <w:t xml:space="preserve">справку, подписанную руководителем заявителя (уполномоченным лицом) по состоянию на дату не ранее одного месяца до даты подачи заявления, подтверждающую, что заявитель не получает средства из республиканского бюджета на основании иных нормативных правовых актов Кабардино-Балкарской Республики на цели, установленные п. 1.3 Порядка (в произвольной форме);</w:t>
            </w:r>
          </w:p>
          <w:p>
            <w:pPr>
              <w:pStyle w:val="0"/>
            </w:pPr>
            <w:r>
              <w:rPr>
                <w:sz w:val="20"/>
              </w:rPr>
              <w:t xml:space="preserve">выписку из Единого государственного реестра юридических лиц, по состоянию на дату не ранее чем за один месяц до даты подачи заявления документов для предоставления субсидии; справку, подписанную руководителем заявителя (уполномоченным лицом), подтверждающую отсутствие в реестре дисквалифицированных лиц сведений о дисквалифицированных руководителе, главном бухгалтере заявителя (в произвольной форме);</w:t>
            </w:r>
          </w:p>
          <w:p>
            <w:pPr>
              <w:pStyle w:val="0"/>
            </w:pPr>
            <w:r>
              <w:rPr>
                <w:sz w:val="20"/>
              </w:rPr>
              <w:t xml:space="preserve">справку, подписанную руководителем заявителя (уполномоченным лицом), подтверждающую, отсутствие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pPr>
            <w:r>
              <w:rPr>
                <w:sz w:val="20"/>
              </w:rPr>
              <w:t xml:space="preserve">справку, подписанную руководителем заявителя (уполномоченным лицом), подтверждающую, отсутствие в составляемых в рамках реализации полномочий, предусмотренных </w:t>
            </w:r>
            <w:hyperlink w:history="0" r:id="rId25"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w:t>
            </w:r>
          </w:p>
          <w:p>
            <w:pPr>
              <w:pStyle w:val="0"/>
            </w:pPr>
            <w:r>
              <w:rPr>
                <w:sz w:val="20"/>
              </w:rPr>
              <w:t xml:space="preserve">"Электронный бюджет".</w:t>
            </w:r>
          </w:p>
          <w:p>
            <w:pPr>
              <w:pStyle w:val="0"/>
            </w:pPr>
            <w:r>
              <w:rPr>
                <w:sz w:val="20"/>
              </w:rPr>
              <w:t xml:space="preserve">Осуществление расходов, источником финансового обеспечения которых являются не использованные в отчетном финансовом году остатки субсидии, производится в случае принятия главным распорядителем решения о наличии потребности в указанных средствах в очередном финансовом году и включении таких положений в соглашение (договор) о предоставлении субсидии.</w:t>
            </w:r>
          </w:p>
          <w:p>
            <w:pPr>
              <w:pStyle w:val="0"/>
            </w:pPr>
            <w:r>
              <w:rPr>
                <w:sz w:val="20"/>
              </w:rPr>
              <w:t xml:space="preserve">Не использованные в текущем году остатки субсидии, в отношении которых главным распорядителем не принято решение о наличии потребности в очередном финансовом году, подлежат возврату в республиканский бюджет Кабардино-Балкарской Республики в течение первых 60 рабочих дней очередного финансового года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pPr>
      <w:r>
        <w:rPr>
          <w:sz w:val="20"/>
        </w:rPr>
      </w:r>
    </w:p>
    <w:bookmarkStart w:id="136" w:name="P136"/>
    <w:bookmarkEnd w:id="136"/>
    <w:p>
      <w:pPr>
        <w:pStyle w:val="1"/>
        <w:jc w:val="both"/>
      </w:pPr>
      <w:r>
        <w:rPr>
          <w:sz w:val="20"/>
        </w:rPr>
        <w:t xml:space="preserve">                                 ЗАЯВЛЕНИЕ</w:t>
      </w:r>
    </w:p>
    <w:p>
      <w:pPr>
        <w:pStyle w:val="1"/>
        <w:jc w:val="both"/>
      </w:pPr>
      <w:r>
        <w:rPr>
          <w:sz w:val="20"/>
        </w:rPr>
        <w:t xml:space="preserve">                         о предоставлении субсидии</w:t>
      </w:r>
    </w:p>
    <w:p>
      <w:pPr>
        <w:pStyle w:val="1"/>
        <w:jc w:val="both"/>
      </w:pPr>
      <w:r>
        <w:rPr>
          <w:sz w:val="20"/>
        </w:rPr>
      </w:r>
    </w:p>
    <w:p>
      <w:pPr>
        <w:pStyle w:val="1"/>
        <w:jc w:val="both"/>
      </w:pPr>
      <w:r>
        <w:rPr>
          <w:sz w:val="20"/>
        </w:rPr>
        <w:t xml:space="preserve">    Прошу   предоставить  субсидию  автономной  некоммерческой  организации</w:t>
      </w:r>
    </w:p>
    <w:p>
      <w:pPr>
        <w:pStyle w:val="1"/>
        <w:jc w:val="both"/>
      </w:pPr>
      <w:r>
        <w:rPr>
          <w:sz w:val="20"/>
        </w:rPr>
        <w:t xml:space="preserve">"Ресурсный      центр      развития      волонтерства     (добровольчества)</w:t>
      </w:r>
    </w:p>
    <w:p>
      <w:pPr>
        <w:pStyle w:val="1"/>
        <w:jc w:val="both"/>
      </w:pPr>
      <w:r>
        <w:rPr>
          <w:sz w:val="20"/>
        </w:rPr>
        <w:t xml:space="preserve">Кабардино-Балкарской   Республики"   на   финансовое   обеспечение   затрат</w:t>
      </w:r>
    </w:p>
    <w:p>
      <w:pPr>
        <w:pStyle w:val="1"/>
        <w:jc w:val="both"/>
      </w:pPr>
      <w:r>
        <w:rPr>
          <w:sz w:val="20"/>
        </w:rPr>
        <w:t xml:space="preserve">организации  в  целях  реализации своих уставных целей, осуществляющей свою</w:t>
      </w:r>
    </w:p>
    <w:p>
      <w:pPr>
        <w:pStyle w:val="1"/>
        <w:jc w:val="both"/>
      </w:pPr>
      <w:r>
        <w:rPr>
          <w:sz w:val="20"/>
        </w:rPr>
        <w:t xml:space="preserve">деятельность в сфере молодежной политики в рамках</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проекта)</w:t>
      </w:r>
    </w:p>
    <w:p>
      <w:pPr>
        <w:pStyle w:val="1"/>
        <w:jc w:val="both"/>
      </w:pPr>
      <w:r>
        <w:rPr>
          <w:sz w:val="20"/>
        </w:rPr>
        <w:t xml:space="preserve">    Документы,   представленные   в   целях  получения  субсидии,  являются</w:t>
      </w:r>
    </w:p>
    <w:p>
      <w:pPr>
        <w:pStyle w:val="1"/>
        <w:jc w:val="both"/>
      </w:pPr>
      <w:r>
        <w:rPr>
          <w:sz w:val="20"/>
        </w:rPr>
        <w:t xml:space="preserve">достоверными.</w:t>
      </w:r>
    </w:p>
    <w:p>
      <w:pPr>
        <w:pStyle w:val="1"/>
        <w:jc w:val="both"/>
      </w:pPr>
      <w:r>
        <w:rPr>
          <w:sz w:val="20"/>
        </w:rPr>
        <w:t xml:space="preserve">    Приложение:</w:t>
      </w:r>
    </w:p>
    <w:p>
      <w:pPr>
        <w:pStyle w:val="1"/>
        <w:jc w:val="both"/>
      </w:pPr>
      <w:r>
        <w:rPr>
          <w:sz w:val="20"/>
        </w:rPr>
        <w:t xml:space="preserve">    1.  Согласие  получателя  субсидии  на  осуществление Минмолодежи КБР и</w:t>
      </w:r>
    </w:p>
    <w:p>
      <w:pPr>
        <w:pStyle w:val="1"/>
        <w:jc w:val="both"/>
      </w:pPr>
      <w:r>
        <w:rPr>
          <w:sz w:val="20"/>
        </w:rPr>
        <w:t xml:space="preserve">органами государственного финансового контроля проверок соблюдения условий,</w:t>
      </w:r>
    </w:p>
    <w:p>
      <w:pPr>
        <w:pStyle w:val="1"/>
        <w:jc w:val="both"/>
      </w:pPr>
      <w:r>
        <w:rPr>
          <w:sz w:val="20"/>
        </w:rPr>
        <w:t xml:space="preserve">целей  и  порядка  предоставления  субсидии  по форме согласно </w:t>
      </w:r>
      <w:hyperlink w:history="0" w:anchor="P169" w:tooltip="                                 СОГЛАСИЕ">
        <w:r>
          <w:rPr>
            <w:sz w:val="20"/>
            <w:color w:val="0000ff"/>
          </w:rPr>
          <w:t xml:space="preserve">приложению</w:t>
        </w:r>
      </w:hyperlink>
      <w:r>
        <w:rPr>
          <w:sz w:val="20"/>
        </w:rPr>
        <w:t xml:space="preserve"> к</w:t>
      </w:r>
    </w:p>
    <w:p>
      <w:pPr>
        <w:pStyle w:val="1"/>
        <w:jc w:val="both"/>
      </w:pPr>
      <w:r>
        <w:rPr>
          <w:sz w:val="20"/>
        </w:rPr>
        <w:t xml:space="preserve">настоящему заявлению.</w:t>
      </w:r>
    </w:p>
    <w:p>
      <w:pPr>
        <w:pStyle w:val="1"/>
        <w:jc w:val="both"/>
      </w:pPr>
      <w:r>
        <w:rPr>
          <w:sz w:val="20"/>
        </w:rPr>
        <w:t xml:space="preserve">    2. Иные документы (указывается перечень документов).</w:t>
      </w:r>
    </w:p>
    <w:p>
      <w:pPr>
        <w:pStyle w:val="1"/>
        <w:jc w:val="both"/>
      </w:pPr>
      <w:r>
        <w:rPr>
          <w:sz w:val="20"/>
        </w:rPr>
      </w:r>
    </w:p>
    <w:p>
      <w:pPr>
        <w:pStyle w:val="1"/>
        <w:jc w:val="both"/>
      </w:pPr>
      <w:r>
        <w:rPr>
          <w:sz w:val="20"/>
        </w:rPr>
        <w:t xml:space="preserve">    Руководитель заявителя</w:t>
      </w:r>
    </w:p>
    <w:p>
      <w:pPr>
        <w:pStyle w:val="1"/>
        <w:jc w:val="both"/>
      </w:pPr>
      <w:r>
        <w:rPr>
          <w:sz w:val="20"/>
        </w:rPr>
        <w:t xml:space="preserve">    (Уполномоченное лицо)        ____________     ________________________</w:t>
      </w:r>
    </w:p>
    <w:p>
      <w:pPr>
        <w:pStyle w:val="1"/>
        <w:jc w:val="both"/>
      </w:pPr>
      <w:r>
        <w:rPr>
          <w:sz w:val="20"/>
        </w:rPr>
        <w:t xml:space="preserve">                                  (подпись)         (расшифровка подписи)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2"/>
        <w:jc w:val="right"/>
      </w:pPr>
      <w:r>
        <w:rPr>
          <w:sz w:val="20"/>
        </w:rPr>
        <w:t xml:space="preserve">Приложение</w:t>
      </w:r>
    </w:p>
    <w:p>
      <w:pPr>
        <w:pStyle w:val="0"/>
        <w:jc w:val="right"/>
      </w:pPr>
      <w:r>
        <w:rPr>
          <w:sz w:val="20"/>
        </w:rPr>
        <w:t xml:space="preserve">к заявлению</w:t>
      </w:r>
    </w:p>
    <w:p>
      <w:pPr>
        <w:pStyle w:val="0"/>
        <w:jc w:val="right"/>
      </w:pPr>
      <w:r>
        <w:rPr>
          <w:sz w:val="20"/>
        </w:rPr>
        <w:t xml:space="preserve">о предоставлении субсидии</w:t>
      </w:r>
    </w:p>
    <w:p>
      <w:pPr>
        <w:pStyle w:val="0"/>
      </w:pPr>
      <w:r>
        <w:rPr>
          <w:sz w:val="20"/>
        </w:rPr>
      </w:r>
    </w:p>
    <w:p>
      <w:pPr>
        <w:pStyle w:val="0"/>
        <w:jc w:val="right"/>
      </w:pPr>
      <w:r>
        <w:rPr>
          <w:sz w:val="20"/>
        </w:rPr>
        <w:t xml:space="preserve">Форма</w:t>
      </w:r>
    </w:p>
    <w:p>
      <w:pPr>
        <w:pStyle w:val="0"/>
      </w:pPr>
      <w:r>
        <w:rPr>
          <w:sz w:val="20"/>
        </w:rPr>
      </w:r>
    </w:p>
    <w:bookmarkStart w:id="169" w:name="P169"/>
    <w:bookmarkEnd w:id="169"/>
    <w:p>
      <w:pPr>
        <w:pStyle w:val="1"/>
        <w:jc w:val="both"/>
      </w:pPr>
      <w:r>
        <w:rPr>
          <w:sz w:val="20"/>
        </w:rPr>
        <w:t xml:space="preserve">                                 СОГЛАСИЕ</w:t>
      </w:r>
    </w:p>
    <w:p>
      <w:pPr>
        <w:pStyle w:val="1"/>
        <w:jc w:val="both"/>
      </w:pPr>
      <w:r>
        <w:rPr>
          <w:sz w:val="20"/>
        </w:rPr>
        <w:t xml:space="preserve">   получателя субсидии на осуществление Министерством по делам молодежи</w:t>
      </w:r>
    </w:p>
    <w:p>
      <w:pPr>
        <w:pStyle w:val="1"/>
        <w:jc w:val="both"/>
      </w:pPr>
      <w:r>
        <w:rPr>
          <w:sz w:val="20"/>
        </w:rPr>
        <w:t xml:space="preserve">    Кабардино-Балкарской Республики государственного контроля проверок</w:t>
      </w:r>
    </w:p>
    <w:p>
      <w:pPr>
        <w:pStyle w:val="1"/>
        <w:jc w:val="both"/>
      </w:pPr>
      <w:r>
        <w:rPr>
          <w:sz w:val="20"/>
        </w:rPr>
        <w:t xml:space="preserve">        соблюдения условий, целей и порядка предоставления субсидии</w:t>
      </w:r>
    </w:p>
    <w:p>
      <w:pPr>
        <w:pStyle w:val="1"/>
        <w:jc w:val="both"/>
      </w:pPr>
      <w:r>
        <w:rPr>
          <w:sz w:val="20"/>
        </w:rPr>
      </w:r>
    </w:p>
    <w:p>
      <w:pPr>
        <w:pStyle w:val="1"/>
        <w:jc w:val="both"/>
      </w:pPr>
      <w:r>
        <w:rPr>
          <w:sz w:val="20"/>
        </w:rPr>
        <w:t xml:space="preserve">    Автономная   некоммерческая   организация   "Ресурсный  центр  развития</w:t>
      </w:r>
    </w:p>
    <w:p>
      <w:pPr>
        <w:pStyle w:val="1"/>
        <w:jc w:val="both"/>
      </w:pPr>
      <w:r>
        <w:rPr>
          <w:sz w:val="20"/>
        </w:rPr>
        <w:t xml:space="preserve">волонтерства  (добровольчества)  Кабардино-Балкарской  Республики"  в  лице</w:t>
      </w:r>
    </w:p>
    <w:p>
      <w:pPr>
        <w:pStyle w:val="1"/>
        <w:jc w:val="both"/>
      </w:pPr>
      <w:r>
        <w:rPr>
          <w:sz w:val="20"/>
        </w:rPr>
        <w:t xml:space="preserve">руководителя (уполномоченного лица) _______________________________________</w:t>
      </w:r>
    </w:p>
    <w:p>
      <w:pPr>
        <w:pStyle w:val="1"/>
        <w:jc w:val="both"/>
      </w:pPr>
      <w:r>
        <w:rPr>
          <w:sz w:val="20"/>
        </w:rPr>
        <w:t xml:space="preserve">                                      (должность. Фамилия, имя, отчество)</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                                      (наименование документа, дата)</w:t>
      </w:r>
    </w:p>
    <w:p>
      <w:pPr>
        <w:pStyle w:val="1"/>
        <w:jc w:val="both"/>
      </w:pPr>
      <w:r>
        <w:rPr>
          <w:sz w:val="20"/>
        </w:rPr>
        <w:t xml:space="preserve">дает   согласие   на   осуществление   Министерством   по   делам  молодежи</w:t>
      </w:r>
    </w:p>
    <w:p>
      <w:pPr>
        <w:pStyle w:val="1"/>
        <w:jc w:val="both"/>
      </w:pPr>
      <w:r>
        <w:rPr>
          <w:sz w:val="20"/>
        </w:rPr>
        <w:t xml:space="preserve">Кабардино-Балкарской  Республики  и  органами  государственного финансового</w:t>
      </w:r>
    </w:p>
    <w:p>
      <w:pPr>
        <w:pStyle w:val="1"/>
        <w:jc w:val="both"/>
      </w:pPr>
      <w:r>
        <w:rPr>
          <w:sz w:val="20"/>
        </w:rPr>
        <w:t xml:space="preserve">контроля  проверок  соблюдения  условий,  целей  и  порядка  предоставления</w:t>
      </w:r>
    </w:p>
    <w:p>
      <w:pPr>
        <w:pStyle w:val="1"/>
        <w:jc w:val="both"/>
      </w:pPr>
      <w:r>
        <w:rPr>
          <w:sz w:val="20"/>
        </w:rPr>
        <w:t xml:space="preserve">субсидии.</w:t>
      </w:r>
    </w:p>
    <w:p>
      <w:pPr>
        <w:pStyle w:val="1"/>
        <w:jc w:val="both"/>
      </w:pPr>
      <w:r>
        <w:rPr>
          <w:sz w:val="20"/>
        </w:rPr>
      </w:r>
    </w:p>
    <w:p>
      <w:pPr>
        <w:pStyle w:val="1"/>
        <w:jc w:val="both"/>
      </w:pPr>
      <w:r>
        <w:rPr>
          <w:sz w:val="20"/>
        </w:rPr>
        <w:t xml:space="preserve">    Руководитель заявителя</w:t>
      </w:r>
    </w:p>
    <w:p>
      <w:pPr>
        <w:pStyle w:val="1"/>
        <w:jc w:val="both"/>
      </w:pPr>
      <w:r>
        <w:rPr>
          <w:sz w:val="20"/>
        </w:rPr>
        <w:t xml:space="preserve">    (Уполномоченное лицо)        ____________     ________________________</w:t>
      </w:r>
    </w:p>
    <w:p>
      <w:pPr>
        <w:pStyle w:val="1"/>
        <w:jc w:val="both"/>
      </w:pPr>
      <w:r>
        <w:rPr>
          <w:sz w:val="20"/>
        </w:rPr>
        <w:t xml:space="preserve">                                  (подпись)         (расшифровка подписи)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Минмолодежи КБР от 14.02.2025 N 23</w:t>
            <w:br/>
            <w:t>"Об утверждении порядка определения объема и предоставления субсидии автономно...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3620&amp;dst=7460" TargetMode = "External"/>
	<Relationship Id="rId8" Type="http://schemas.openxmlformats.org/officeDocument/2006/relationships/hyperlink" Target="https://login.consultant.ru/link/?req=doc&amp;base=LAW&amp;n=493282&amp;dst=100080" TargetMode = "External"/>
	<Relationship Id="rId9" Type="http://schemas.openxmlformats.org/officeDocument/2006/relationships/hyperlink" Target="https://login.consultant.ru/link/?req=doc&amp;base=LAW&amp;n=504334&amp;dst=100067" TargetMode = "External"/>
	<Relationship Id="rId10" Type="http://schemas.openxmlformats.org/officeDocument/2006/relationships/hyperlink" Target="https://login.consultant.ru/link/?req=doc&amp;base=RLAW304&amp;n=108384" TargetMode = "External"/>
	<Relationship Id="rId11" Type="http://schemas.openxmlformats.org/officeDocument/2006/relationships/hyperlink" Target="https://login.consultant.ru/link/?req=doc&amp;base=RLAW304&amp;n=118989&amp;dst=101567" TargetMode = "External"/>
	<Relationship Id="rId12" Type="http://schemas.openxmlformats.org/officeDocument/2006/relationships/hyperlink" Target="https://login.consultant.ru/link/?req=doc&amp;base=LAW&amp;n=504334&amp;dst=100131" TargetMode = "External"/>
	<Relationship Id="rId13" Type="http://schemas.openxmlformats.org/officeDocument/2006/relationships/hyperlink" Target="https://login.consultant.ru/link/?req=doc&amp;base=LAW&amp;n=491830&amp;dst=100021" TargetMode = "External"/>
	<Relationship Id="rId14" Type="http://schemas.openxmlformats.org/officeDocument/2006/relationships/hyperlink" Target="https://login.consultant.ru/link/?req=doc&amp;base=LAW&amp;n=503620&amp;dst=7156" TargetMode = "External"/>
	<Relationship Id="rId15" Type="http://schemas.openxmlformats.org/officeDocument/2006/relationships/hyperlink" Target="https://login.consultant.ru/link/?req=doc&amp;base=LAW&amp;n=504334&amp;dst=100382" TargetMode = "External"/>
	<Relationship Id="rId16" Type="http://schemas.openxmlformats.org/officeDocument/2006/relationships/hyperlink" Target="https://login.consultant.ru/link/?req=doc&amp;base=LAW&amp;n=504334&amp;dst=100123" TargetMode = "External"/>
	<Relationship Id="rId17" Type="http://schemas.openxmlformats.org/officeDocument/2006/relationships/hyperlink" Target="https://login.consultant.ru/link/?req=doc&amp;base=LAW&amp;n=503623" TargetMode = "External"/>
	<Relationship Id="rId18" Type="http://schemas.openxmlformats.org/officeDocument/2006/relationships/hyperlink" Target="https://login.consultant.ru/link/?req=doc&amp;base=LAW&amp;n=121087&amp;dst=100142" TargetMode = "External"/>
	<Relationship Id="rId19" Type="http://schemas.openxmlformats.org/officeDocument/2006/relationships/hyperlink" Target="https://login.consultant.ru/link/?req=doc&amp;base=LAW&amp;n=483130&amp;dst=5769" TargetMode = "External"/>
	<Relationship Id="rId20" Type="http://schemas.openxmlformats.org/officeDocument/2006/relationships/hyperlink" Target="https://login.consultant.ru/link/?req=doc&amp;base=LAW&amp;n=504334&amp;dst=100150" TargetMode = "External"/>
	<Relationship Id="rId21" Type="http://schemas.openxmlformats.org/officeDocument/2006/relationships/hyperlink" Target="https://login.consultant.ru/link/?req=doc&amp;base=LAW&amp;n=504334&amp;dst=100176" TargetMode = "External"/>
	<Relationship Id="rId22" Type="http://schemas.openxmlformats.org/officeDocument/2006/relationships/hyperlink" Target="https://login.consultant.ru/link/?req=doc&amp;base=LAW&amp;n=504334&amp;dst=100112" TargetMode = "External"/>
	<Relationship Id="rId23" Type="http://schemas.openxmlformats.org/officeDocument/2006/relationships/hyperlink" Target="https://login.consultant.ru/link/?req=doc&amp;base=LAW&amp;n=504334&amp;dst=100153" TargetMode = "External"/>
	<Relationship Id="rId24" Type="http://schemas.openxmlformats.org/officeDocument/2006/relationships/hyperlink" Target="https://login.consultant.ru/link/?req=doc&amp;base=LAW&amp;n=504334&amp;dst=100159" TargetMode = "External"/>
	<Relationship Id="rId25" Type="http://schemas.openxmlformats.org/officeDocument/2006/relationships/hyperlink" Target="https://login.consultant.ru/link/?req=doc&amp;base=LAW&amp;n=121087&amp;dst=10014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Минмолодежи КБР от 14.02.2025 N 23
"Об утверждении порядка определения объема и предоставления субсидии автономной некоммерческой организации "Ресурсный центр развития волонтерства (добровольчества) Кабардино-Балкарской Республики"</dc:title>
  <dcterms:created xsi:type="dcterms:W3CDTF">2025-05-31T07:57:42Z</dcterms:created>
</cp:coreProperties>
</file>