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Миннаца КБР от 11.07.2024 N 74</w:t>
              <w:br/>
              <w:t xml:space="preserve">"О порядке предоставления субсидий из республиканского бюджета Кабардино-Балкарской Республики некоммерческим организациям по направлению "Профилактика терроризма и экстремизма в Кабардино-Балкарской Республике"</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12.01.2025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МИНИСТЕРСТВО ПО ДЕЛАМ НАЦИОНАЛЬНОСТЕЙ</w:t>
      </w:r>
    </w:p>
    <w:p>
      <w:pPr>
        <w:pStyle w:val="2"/>
        <w:jc w:val="center"/>
      </w:pPr>
      <w:r>
        <w:rPr>
          <w:sz w:val="20"/>
        </w:rPr>
        <w:t xml:space="preserve">И ОБЩЕСТВЕННЫМ ПРОЕКТАМ</w:t>
      </w:r>
    </w:p>
    <w:p>
      <w:pPr>
        <w:pStyle w:val="2"/>
        <w:jc w:val="center"/>
      </w:pPr>
      <w:r>
        <w:rPr>
          <w:sz w:val="20"/>
        </w:rPr>
        <w:t xml:space="preserve">КАБАРДИНО-БАЛКАРСКОЙ РЕСПУБЛИКИ</w:t>
      </w:r>
    </w:p>
    <w:p>
      <w:pPr>
        <w:pStyle w:val="2"/>
        <w:jc w:val="center"/>
      </w:pPr>
      <w:r>
        <w:rPr>
          <w:sz w:val="20"/>
        </w:rPr>
      </w:r>
    </w:p>
    <w:p>
      <w:pPr>
        <w:pStyle w:val="2"/>
        <w:jc w:val="center"/>
      </w:pPr>
      <w:r>
        <w:rPr>
          <w:sz w:val="20"/>
        </w:rPr>
        <w:t xml:space="preserve">ПРИКАЗ</w:t>
      </w:r>
    </w:p>
    <w:p>
      <w:pPr>
        <w:pStyle w:val="2"/>
        <w:jc w:val="center"/>
      </w:pPr>
      <w:r>
        <w:rPr>
          <w:sz w:val="20"/>
        </w:rPr>
        <w:t xml:space="preserve">от 11 июля 2024 г. N 74</w:t>
      </w:r>
    </w:p>
    <w:p>
      <w:pPr>
        <w:pStyle w:val="2"/>
        <w:jc w:val="center"/>
      </w:pPr>
      <w:r>
        <w:rPr>
          <w:sz w:val="20"/>
        </w:rPr>
      </w:r>
    </w:p>
    <w:p>
      <w:pPr>
        <w:pStyle w:val="2"/>
        <w:jc w:val="center"/>
      </w:pPr>
      <w:r>
        <w:rPr>
          <w:sz w:val="20"/>
        </w:rPr>
        <w:t xml:space="preserve">О ПОРЯДКЕ ПРЕДОСТАВЛЕНИЯ СУБСИДИЙ ИЗ РЕСПУБЛИКАНСКОГО</w:t>
      </w:r>
    </w:p>
    <w:p>
      <w:pPr>
        <w:pStyle w:val="2"/>
        <w:jc w:val="center"/>
      </w:pPr>
      <w:r>
        <w:rPr>
          <w:sz w:val="20"/>
        </w:rPr>
        <w:t xml:space="preserve">БЮДЖЕТА КАБАРДИНО-БАЛКАРСКОЙ РЕСПУБЛИКИ НЕКОММЕРЧЕСКИМ</w:t>
      </w:r>
    </w:p>
    <w:p>
      <w:pPr>
        <w:pStyle w:val="2"/>
        <w:jc w:val="center"/>
      </w:pPr>
      <w:r>
        <w:rPr>
          <w:sz w:val="20"/>
        </w:rPr>
        <w:t xml:space="preserve">ОРГАНИЗАЦИЯМ ПО НАПРАВЛЕНИЮ "ПРОФИЛАКТИКА ТЕРРОРИЗМА</w:t>
      </w:r>
    </w:p>
    <w:p>
      <w:pPr>
        <w:pStyle w:val="2"/>
        <w:jc w:val="center"/>
      </w:pPr>
      <w:r>
        <w:rPr>
          <w:sz w:val="20"/>
        </w:rPr>
        <w:t xml:space="preserve">И ЭКСТРЕМИЗМА В КАБАРДИНО-БАЛКАРСКОЙ РЕСПУБЛИКЕ"</w:t>
      </w:r>
    </w:p>
    <w:p>
      <w:pPr>
        <w:pStyle w:val="0"/>
        <w:jc w:val="both"/>
      </w:pPr>
      <w:r>
        <w:rPr>
          <w:sz w:val="20"/>
        </w:rPr>
      </w:r>
    </w:p>
    <w:p>
      <w:pPr>
        <w:pStyle w:val="0"/>
        <w:ind w:firstLine="540"/>
        <w:jc w:val="both"/>
      </w:pPr>
      <w:r>
        <w:rPr>
          <w:sz w:val="20"/>
        </w:rPr>
        <w:t xml:space="preserve">В соответствии с </w:t>
      </w:r>
      <w:hyperlink w:history="0" r:id="rId7" w:tooltip="Закон Кабардино-Балкарской Республики от 07.02.2011 N 11-РЗ (ред. от 28.12.2024) &quot;О бюджетном устройстве и бюджетном процессе в Кабардино-Балкарской Республике&quot; (принят Парламентом КБР 16.12.2010) {КонсультантПлюс}">
        <w:r>
          <w:rPr>
            <w:sz w:val="20"/>
            <w:color w:val="0000ff"/>
          </w:rPr>
          <w:t xml:space="preserve">частью 3 статьи 47-2</w:t>
        </w:r>
      </w:hyperlink>
      <w:r>
        <w:rPr>
          <w:sz w:val="20"/>
        </w:rPr>
        <w:t xml:space="preserve"> Закона Кабардино-Балкарской Республики от 7 февраля 2011 г. N 11-РЗ "О бюджетном устройстве и бюджетном процессе в Кабардино-Балкарской Республики", </w:t>
      </w:r>
      <w:hyperlink w:history="0" r:id="rId8" w:tooltip="Постановление Правительства РФ от 25.10.2023 N 1780 (ред. от 25.11.2024) &quot;Об утверждении Правил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постановлением</w:t>
        </w:r>
      </w:hyperlink>
      <w:r>
        <w:rPr>
          <w:sz w:val="20"/>
        </w:rPr>
        <w:t xml:space="preserve"> Правительства Российской Федерации от 25 октября 2023 г. N 1780 "Об утверждении Правил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w:t>
      </w:r>
      <w:hyperlink w:history="0" r:id="rId9" w:tooltip="Постановление Правительства РФ от 25.10.2023 N 1781 (ред. от 25.11.2024) &quot;Об утверждении Правил отбора получателей субсидий, в том числе грантов в форме субсидий, предоставляемых из бюджетов бюджетной системы Российской Федерации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постановлением</w:t>
        </w:r>
      </w:hyperlink>
      <w:r>
        <w:rPr>
          <w:sz w:val="20"/>
        </w:rPr>
        <w:t xml:space="preserve"> Правительства Российской Федерации от 25 октября 2023 г. N 1781 "Об утверждении Правил отбора получателей субсидий, в том числе грантов в форме субсидий, предоставляемых из бюджетов бюджетной системы Российской Федерации юридическим лицам, индивидуальным предпринимателям, а также физическим лицам - производителям товаров, работ, услуг" приказываю:</w:t>
      </w:r>
    </w:p>
    <w:p>
      <w:pPr>
        <w:pStyle w:val="0"/>
        <w:spacing w:before="200" w:line-rule="auto"/>
        <w:ind w:firstLine="540"/>
        <w:jc w:val="both"/>
      </w:pPr>
      <w:r>
        <w:rPr>
          <w:sz w:val="20"/>
        </w:rPr>
        <w:t xml:space="preserve">Утвердить прилагаемый </w:t>
      </w:r>
      <w:hyperlink w:history="0" w:anchor="P31" w:tooltip="ПОРЯДОК">
        <w:r>
          <w:rPr>
            <w:sz w:val="20"/>
            <w:color w:val="0000ff"/>
          </w:rPr>
          <w:t xml:space="preserve">Порядок</w:t>
        </w:r>
      </w:hyperlink>
      <w:r>
        <w:rPr>
          <w:sz w:val="20"/>
        </w:rPr>
        <w:t xml:space="preserve"> предоставления субсидий из республиканского бюджета Кабардино-Балкарской Республики некоммерческим организациям по направлению "Профилактика терроризма и экстремизма в Кабардино-Балкарской Республике".</w:t>
      </w:r>
    </w:p>
    <w:p>
      <w:pPr>
        <w:pStyle w:val="0"/>
        <w:jc w:val="both"/>
      </w:pPr>
      <w:r>
        <w:rPr>
          <w:sz w:val="20"/>
        </w:rPr>
      </w:r>
    </w:p>
    <w:p>
      <w:pPr>
        <w:pStyle w:val="0"/>
        <w:jc w:val="right"/>
      </w:pPr>
      <w:r>
        <w:rPr>
          <w:sz w:val="20"/>
        </w:rPr>
        <w:t xml:space="preserve">Министр</w:t>
      </w:r>
    </w:p>
    <w:p>
      <w:pPr>
        <w:pStyle w:val="0"/>
        <w:jc w:val="right"/>
      </w:pPr>
      <w:r>
        <w:rPr>
          <w:sz w:val="20"/>
        </w:rPr>
        <w:t xml:space="preserve">А.КУРАШИНОВ</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w:t>
      </w:r>
    </w:p>
    <w:p>
      <w:pPr>
        <w:pStyle w:val="0"/>
        <w:jc w:val="right"/>
      </w:pPr>
      <w:r>
        <w:rPr>
          <w:sz w:val="20"/>
        </w:rPr>
        <w:t xml:space="preserve">приказом</w:t>
      </w:r>
    </w:p>
    <w:p>
      <w:pPr>
        <w:pStyle w:val="0"/>
        <w:jc w:val="right"/>
      </w:pPr>
      <w:r>
        <w:rPr>
          <w:sz w:val="20"/>
        </w:rPr>
        <w:t xml:space="preserve">Министерства</w:t>
      </w:r>
    </w:p>
    <w:p>
      <w:pPr>
        <w:pStyle w:val="0"/>
        <w:jc w:val="right"/>
      </w:pPr>
      <w:r>
        <w:rPr>
          <w:sz w:val="20"/>
        </w:rPr>
        <w:t xml:space="preserve">по делам национальностей</w:t>
      </w:r>
    </w:p>
    <w:p>
      <w:pPr>
        <w:pStyle w:val="0"/>
        <w:jc w:val="right"/>
      </w:pPr>
      <w:r>
        <w:rPr>
          <w:sz w:val="20"/>
        </w:rPr>
        <w:t xml:space="preserve">и общественным проектам</w:t>
      </w:r>
    </w:p>
    <w:p>
      <w:pPr>
        <w:pStyle w:val="0"/>
        <w:jc w:val="right"/>
      </w:pPr>
      <w:r>
        <w:rPr>
          <w:sz w:val="20"/>
        </w:rPr>
        <w:t xml:space="preserve">Кабардино-Балкарской Республики</w:t>
      </w:r>
    </w:p>
    <w:p>
      <w:pPr>
        <w:pStyle w:val="0"/>
        <w:jc w:val="right"/>
      </w:pPr>
      <w:r>
        <w:rPr>
          <w:sz w:val="20"/>
        </w:rPr>
        <w:t xml:space="preserve">от 11 июля 2024 г. N 74</w:t>
      </w:r>
    </w:p>
    <w:p>
      <w:pPr>
        <w:pStyle w:val="0"/>
        <w:jc w:val="both"/>
      </w:pPr>
      <w:r>
        <w:rPr>
          <w:sz w:val="20"/>
        </w:rPr>
      </w:r>
    </w:p>
    <w:bookmarkStart w:id="31" w:name="P31"/>
    <w:bookmarkEnd w:id="31"/>
    <w:p>
      <w:pPr>
        <w:pStyle w:val="2"/>
        <w:jc w:val="center"/>
      </w:pPr>
      <w:r>
        <w:rPr>
          <w:sz w:val="20"/>
        </w:rPr>
        <w:t xml:space="preserve">ПОРЯДОК</w:t>
      </w:r>
    </w:p>
    <w:p>
      <w:pPr>
        <w:pStyle w:val="2"/>
        <w:jc w:val="center"/>
      </w:pPr>
      <w:r>
        <w:rPr>
          <w:sz w:val="20"/>
        </w:rPr>
        <w:t xml:space="preserve">ПРЕДОСТАВЛЕНИЯ СУБСИДИЙ ИЗ РЕСПУБЛИКАНСКОГО БЮДЖЕТА</w:t>
      </w:r>
    </w:p>
    <w:p>
      <w:pPr>
        <w:pStyle w:val="2"/>
        <w:jc w:val="center"/>
      </w:pPr>
      <w:r>
        <w:rPr>
          <w:sz w:val="20"/>
        </w:rPr>
        <w:t xml:space="preserve">КАБАРДИНО-БАЛКАРСКОЙ РЕСПУБЛИКИ НЕКОММЕРЧЕСКИМ ОРГАНИЗАЦИЯМ</w:t>
      </w:r>
    </w:p>
    <w:p>
      <w:pPr>
        <w:pStyle w:val="2"/>
        <w:jc w:val="center"/>
      </w:pPr>
      <w:r>
        <w:rPr>
          <w:sz w:val="20"/>
        </w:rPr>
        <w:t xml:space="preserve">ПО НАПРАВЛЕНИЮ "ПРОФИЛАКТИКА ТЕРРОРИЗМА И ЭКСТРЕМИЗМА</w:t>
      </w:r>
    </w:p>
    <w:p>
      <w:pPr>
        <w:pStyle w:val="2"/>
        <w:jc w:val="center"/>
      </w:pPr>
      <w:r>
        <w:rPr>
          <w:sz w:val="20"/>
        </w:rPr>
        <w:t xml:space="preserve">В КАБАРДИНО-БАЛКАРСКОЙ РЕСПУБЛИКЕ"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35"/>
        <w:gridCol w:w="340"/>
        <w:gridCol w:w="4195"/>
      </w:tblGrid>
      <w:tr>
        <w:tc>
          <w:tcPr>
            <w:tcW w:w="4535" w:type="dxa"/>
          </w:tcPr>
          <w:p>
            <w:pPr>
              <w:pStyle w:val="0"/>
            </w:pPr>
            <w:r>
              <w:rPr>
                <w:sz w:val="20"/>
              </w:rPr>
              <w:t xml:space="preserve">Наименование главного распорядителя бюджетных средств</w:t>
            </w:r>
          </w:p>
        </w:tc>
        <w:tc>
          <w:tcPr>
            <w:tcW w:w="340" w:type="dxa"/>
          </w:tcPr>
          <w:p>
            <w:pPr>
              <w:pStyle w:val="0"/>
            </w:pPr>
            <w:r>
              <w:rPr>
                <w:sz w:val="20"/>
              </w:rPr>
            </w:r>
          </w:p>
        </w:tc>
        <w:tc>
          <w:tcPr>
            <w:tcW w:w="4195" w:type="dxa"/>
          </w:tcPr>
          <w:p>
            <w:pPr>
              <w:pStyle w:val="0"/>
            </w:pPr>
            <w:r>
              <w:rPr>
                <w:sz w:val="20"/>
              </w:rPr>
              <w:t xml:space="preserve">Министерство по делам национальностей и общественным проектам Кабардино-Балкарской Республики (далее - Министерство)</w:t>
            </w:r>
          </w:p>
        </w:tc>
      </w:tr>
      <w:tr>
        <w:tc>
          <w:tcPr>
            <w:tcW w:w="4535" w:type="dxa"/>
          </w:tcPr>
          <w:p>
            <w:pPr>
              <w:pStyle w:val="0"/>
            </w:pPr>
            <w:r>
              <w:rPr>
                <w:sz w:val="20"/>
              </w:rPr>
              <w:t xml:space="preserve">Размещение информации о субсидии в сети "Интернет"</w:t>
            </w:r>
          </w:p>
        </w:tc>
        <w:tc>
          <w:tcPr>
            <w:tcW w:w="340" w:type="dxa"/>
          </w:tcPr>
          <w:p>
            <w:pPr>
              <w:pStyle w:val="0"/>
            </w:pPr>
            <w:r>
              <w:rPr>
                <w:sz w:val="20"/>
              </w:rPr>
            </w:r>
          </w:p>
        </w:tc>
        <w:tc>
          <w:tcPr>
            <w:tcW w:w="4195" w:type="dxa"/>
          </w:tcPr>
          <w:p>
            <w:pPr>
              <w:pStyle w:val="0"/>
            </w:pPr>
            <w:r>
              <w:rPr>
                <w:sz w:val="20"/>
              </w:rPr>
              <w:t xml:space="preserve">Информация о субсидии размещается на едином портале бюджетной системы Российской Федерации в информационно-телекоммуникационной сети "Интернет"</w:t>
            </w:r>
          </w:p>
        </w:tc>
      </w:tr>
      <w:tr>
        <w:tc>
          <w:tcPr>
            <w:tcW w:w="4535" w:type="dxa"/>
          </w:tcPr>
          <w:p>
            <w:pPr>
              <w:pStyle w:val="0"/>
            </w:pPr>
            <w:r>
              <w:rPr>
                <w:sz w:val="20"/>
              </w:rPr>
              <w:t xml:space="preserve">Наименование бюджета бюджетной системы Российской Федерации, из которого предоставляется субсидия</w:t>
            </w:r>
          </w:p>
        </w:tc>
        <w:tc>
          <w:tcPr>
            <w:tcW w:w="340" w:type="dxa"/>
          </w:tcPr>
          <w:p>
            <w:pPr>
              <w:pStyle w:val="0"/>
            </w:pPr>
            <w:r>
              <w:rPr>
                <w:sz w:val="20"/>
              </w:rPr>
            </w:r>
          </w:p>
        </w:tc>
        <w:tc>
          <w:tcPr>
            <w:tcW w:w="4195" w:type="dxa"/>
          </w:tcPr>
          <w:p>
            <w:pPr>
              <w:pStyle w:val="0"/>
            </w:pPr>
            <w:r>
              <w:rPr>
                <w:sz w:val="20"/>
              </w:rPr>
              <w:t xml:space="preserve">Республиканский бюджет Кабардино-Балкарской Республики</w:t>
            </w:r>
          </w:p>
        </w:tc>
      </w:tr>
      <w:tr>
        <w:tc>
          <w:tcPr>
            <w:tcW w:w="4535" w:type="dxa"/>
          </w:tcPr>
          <w:p>
            <w:pPr>
              <w:pStyle w:val="0"/>
            </w:pPr>
            <w:r>
              <w:rPr>
                <w:sz w:val="20"/>
              </w:rPr>
              <w:t xml:space="preserve">Наименование национального проекта (программы), государственной программы Российской Федерации (государственной программы субъекта Российской Федерации, муниципальной программы), структурного элемента государственной (муниципальной) программы, в случае если субсидия предоставляется в целях реализации соответствующего национального проекта (программы), государственной (муниципальной) программы</w:t>
            </w:r>
          </w:p>
        </w:tc>
        <w:tc>
          <w:tcPr>
            <w:tcW w:w="340" w:type="dxa"/>
          </w:tcPr>
          <w:p>
            <w:pPr>
              <w:pStyle w:val="0"/>
            </w:pPr>
            <w:r>
              <w:rPr>
                <w:sz w:val="20"/>
              </w:rPr>
            </w:r>
          </w:p>
        </w:tc>
        <w:tc>
          <w:tcPr>
            <w:tcW w:w="4195" w:type="dxa"/>
          </w:tcPr>
          <w:p>
            <w:pPr>
              <w:pStyle w:val="0"/>
            </w:pPr>
            <w:r>
              <w:rPr>
                <w:sz w:val="20"/>
              </w:rPr>
              <w:t xml:space="preserve">Ведомственный проект "Предупреждение терроризма" государственной программы Кабардино-Балкарской Республики "Профилактика терроризма и экстремизма в Кабардино-Балкарской Республике"</w:t>
            </w:r>
          </w:p>
        </w:tc>
      </w:tr>
      <w:tr>
        <w:tc>
          <w:tcPr>
            <w:tcW w:w="4535" w:type="dxa"/>
          </w:tcPr>
          <w:p>
            <w:pPr>
              <w:pStyle w:val="0"/>
            </w:pPr>
            <w:r>
              <w:rPr>
                <w:sz w:val="20"/>
              </w:rPr>
              <w:t xml:space="preserve">Наименование субсидии</w:t>
            </w:r>
          </w:p>
        </w:tc>
        <w:tc>
          <w:tcPr>
            <w:tcW w:w="340" w:type="dxa"/>
          </w:tcPr>
          <w:p>
            <w:pPr>
              <w:pStyle w:val="0"/>
            </w:pPr>
            <w:r>
              <w:rPr>
                <w:sz w:val="20"/>
              </w:rPr>
            </w:r>
          </w:p>
        </w:tc>
        <w:tc>
          <w:tcPr>
            <w:tcW w:w="4195" w:type="dxa"/>
          </w:tcPr>
          <w:p>
            <w:pPr>
              <w:pStyle w:val="0"/>
            </w:pPr>
            <w:r>
              <w:rPr>
                <w:sz w:val="20"/>
              </w:rPr>
              <w:t xml:space="preserve">Конкурсный отбор проектов некоммерческих организаций для предоставления субсидий по направлению "Профилактика терроризма и экстремизма в Кабардино-Балкарской Республике"</w:t>
            </w:r>
          </w:p>
        </w:tc>
      </w:tr>
      <w:tr>
        <w:tc>
          <w:tcPr>
            <w:tcW w:w="4535" w:type="dxa"/>
          </w:tcPr>
          <w:p>
            <w:pPr>
              <w:pStyle w:val="0"/>
            </w:pPr>
            <w:r>
              <w:rPr>
                <w:sz w:val="20"/>
              </w:rPr>
              <w:t xml:space="preserve">Цель предоставления субсидии</w:t>
            </w:r>
          </w:p>
        </w:tc>
        <w:tc>
          <w:tcPr>
            <w:tcW w:w="340" w:type="dxa"/>
          </w:tcPr>
          <w:p>
            <w:pPr>
              <w:pStyle w:val="0"/>
            </w:pPr>
            <w:r>
              <w:rPr>
                <w:sz w:val="20"/>
              </w:rPr>
            </w:r>
          </w:p>
        </w:tc>
        <w:tc>
          <w:tcPr>
            <w:tcW w:w="4195" w:type="dxa"/>
          </w:tcPr>
          <w:p>
            <w:pPr>
              <w:pStyle w:val="0"/>
            </w:pPr>
            <w:r>
              <w:rPr>
                <w:sz w:val="20"/>
              </w:rPr>
              <w:t xml:space="preserve">Выявление и поддержка лучших общественных проектов некоммерческих организаций, направленных на профилактику терроризма и экстремизма в Кабардино-Балкарской Республике</w:t>
            </w:r>
          </w:p>
        </w:tc>
      </w:tr>
      <w:tr>
        <w:tc>
          <w:tcPr>
            <w:tcW w:w="4535" w:type="dxa"/>
          </w:tcPr>
          <w:p>
            <w:pPr>
              <w:pStyle w:val="0"/>
            </w:pPr>
            <w:r>
              <w:rPr>
                <w:sz w:val="20"/>
              </w:rPr>
              <w:t xml:space="preserve">Код классификации расходов соответствующего бюджета бюджетной системы Российской Федерации, по которому предусмотрены бюджетные ассигнования на предоставление субсидии (доведены лимиты бюджетных обязательств на предоставление субсидии) (с детализацией элемента вида расхода)</w:t>
            </w:r>
          </w:p>
        </w:tc>
        <w:tc>
          <w:tcPr>
            <w:tcW w:w="340" w:type="dxa"/>
          </w:tcPr>
          <w:p>
            <w:pPr>
              <w:pStyle w:val="0"/>
            </w:pPr>
            <w:r>
              <w:rPr>
                <w:sz w:val="20"/>
              </w:rPr>
            </w:r>
          </w:p>
        </w:tc>
        <w:tc>
          <w:tcPr>
            <w:tcW w:w="4195" w:type="dxa"/>
          </w:tcPr>
          <w:p>
            <w:pPr>
              <w:pStyle w:val="0"/>
              <w:jc w:val="center"/>
            </w:pPr>
            <w:r>
              <w:rPr>
                <w:sz w:val="20"/>
              </w:rPr>
              <w:t xml:space="preserve">937 01 13 5639960210 632</w:t>
            </w:r>
          </w:p>
        </w:tc>
      </w:tr>
      <w:tr>
        <w:tc>
          <w:tcPr>
            <w:tcW w:w="4535" w:type="dxa"/>
          </w:tcPr>
          <w:p>
            <w:pPr>
              <w:pStyle w:val="0"/>
            </w:pPr>
            <w:r>
              <w:rPr>
                <w:sz w:val="20"/>
              </w:rPr>
              <w:t xml:space="preserve">Тип субсидии, определенный в соответствии с установленным Министерством финансов Российской Федерации порядком проведения мониторинга достижения результата предоставления субсидии (далее - порядок проведения мониторинга достижения результата)</w:t>
            </w:r>
          </w:p>
        </w:tc>
        <w:tc>
          <w:tcPr>
            <w:tcW w:w="340" w:type="dxa"/>
          </w:tcPr>
          <w:p>
            <w:pPr>
              <w:pStyle w:val="0"/>
            </w:pPr>
            <w:r>
              <w:rPr>
                <w:sz w:val="20"/>
              </w:rPr>
            </w:r>
          </w:p>
        </w:tc>
        <w:tc>
          <w:tcPr>
            <w:tcW w:w="4195" w:type="dxa"/>
          </w:tcPr>
          <w:p>
            <w:pPr>
              <w:pStyle w:val="0"/>
            </w:pPr>
            <w:r>
              <w:rPr>
                <w:sz w:val="20"/>
              </w:rPr>
              <w:t xml:space="preserve">Субсидии на оказание услуг (выполнение работ)</w:t>
            </w:r>
          </w:p>
        </w:tc>
      </w:tr>
      <w:tr>
        <w:tc>
          <w:tcPr>
            <w:tcW w:w="4535" w:type="dxa"/>
          </w:tcPr>
          <w:p>
            <w:pPr>
              <w:pStyle w:val="0"/>
            </w:pPr>
            <w:r>
              <w:rPr>
                <w:sz w:val="20"/>
              </w:rPr>
              <w:t xml:space="preserve">Тип результата предоставления субсидии, определенный в соответствии с порядком проведения мониторинга достижения результата</w:t>
            </w:r>
          </w:p>
        </w:tc>
        <w:tc>
          <w:tcPr>
            <w:tcW w:w="340" w:type="dxa"/>
          </w:tcPr>
          <w:p>
            <w:pPr>
              <w:pStyle w:val="0"/>
            </w:pPr>
            <w:r>
              <w:rPr>
                <w:sz w:val="20"/>
              </w:rPr>
            </w:r>
          </w:p>
        </w:tc>
        <w:tc>
          <w:tcPr>
            <w:tcW w:w="4195" w:type="dxa"/>
          </w:tcPr>
          <w:p>
            <w:pPr>
              <w:pStyle w:val="0"/>
            </w:pPr>
            <w:r>
              <w:rPr>
                <w:sz w:val="20"/>
              </w:rPr>
              <w:t xml:space="preserve">Оказание услуг (выполнение работ)</w:t>
            </w:r>
          </w:p>
        </w:tc>
      </w:tr>
      <w:tr>
        <w:tc>
          <w:tcPr>
            <w:tcW w:w="4535" w:type="dxa"/>
          </w:tcPr>
          <w:p>
            <w:pPr>
              <w:pStyle w:val="0"/>
            </w:pPr>
            <w:r>
              <w:rPr>
                <w:sz w:val="20"/>
              </w:rPr>
              <w:t xml:space="preserve">Код результата предоставления субсидии, определенного в соответствии с порядком, установленным Министерством финансов Российской Федерации, наименование результата предоставления субсидии, а также при необходимости характеристика (характеристики) результата предоставления субсидии</w:t>
            </w:r>
          </w:p>
        </w:tc>
        <w:tc>
          <w:tcPr>
            <w:tcW w:w="340" w:type="dxa"/>
          </w:tcPr>
          <w:p>
            <w:pPr>
              <w:pStyle w:val="0"/>
            </w:pPr>
            <w:r>
              <w:rPr>
                <w:sz w:val="20"/>
              </w:rPr>
            </w:r>
          </w:p>
        </w:tc>
        <w:tc>
          <w:tcPr>
            <w:tcW w:w="4195" w:type="dxa"/>
          </w:tcPr>
          <w:p>
            <w:pPr>
              <w:pStyle w:val="0"/>
            </w:pPr>
            <w:r>
              <w:rPr>
                <w:sz w:val="20"/>
              </w:rPr>
              <w:t xml:space="preserve">Проведен конкурсный отбор проектов некоммерческих организаций для предоставления субсидий по направлению "Профилактика терроризма и экстремизма в Кабардино-Балкарской Республике"</w:t>
            </w:r>
          </w:p>
        </w:tc>
      </w:tr>
      <w:tr>
        <w:tc>
          <w:tcPr>
            <w:tcW w:w="4535" w:type="dxa"/>
          </w:tcPr>
          <w:p>
            <w:pPr>
              <w:pStyle w:val="0"/>
            </w:pPr>
            <w:r>
              <w:rPr>
                <w:sz w:val="20"/>
              </w:rPr>
              <w:t xml:space="preserve">Способ предоставления субсидии (финансовое обеспечение затрат; возмещение недополученных доходов и (или) возмещение затрат)</w:t>
            </w:r>
          </w:p>
        </w:tc>
        <w:tc>
          <w:tcPr>
            <w:tcW w:w="340" w:type="dxa"/>
          </w:tcPr>
          <w:p>
            <w:pPr>
              <w:pStyle w:val="0"/>
            </w:pPr>
            <w:r>
              <w:rPr>
                <w:sz w:val="20"/>
              </w:rPr>
            </w:r>
          </w:p>
        </w:tc>
        <w:tc>
          <w:tcPr>
            <w:tcW w:w="4195" w:type="dxa"/>
          </w:tcPr>
          <w:p>
            <w:pPr>
              <w:pStyle w:val="0"/>
            </w:pPr>
            <w:r>
              <w:rPr>
                <w:sz w:val="20"/>
              </w:rPr>
              <w:t xml:space="preserve">Финансовое обеспечение затрат</w:t>
            </w:r>
          </w:p>
        </w:tc>
      </w:tr>
      <w:tr>
        <w:tc>
          <w:tcPr>
            <w:tcW w:w="4535" w:type="dxa"/>
          </w:tcPr>
          <w:p>
            <w:pPr>
              <w:pStyle w:val="0"/>
            </w:pPr>
            <w:r>
              <w:rPr>
                <w:sz w:val="20"/>
              </w:rPr>
              <w:t xml:space="preserve">Способ осуществления отбора получателей субсидии (запрос предложений или конкурс)</w:t>
            </w:r>
          </w:p>
        </w:tc>
        <w:tc>
          <w:tcPr>
            <w:tcW w:w="340" w:type="dxa"/>
          </w:tcPr>
          <w:p>
            <w:pPr>
              <w:pStyle w:val="0"/>
            </w:pPr>
            <w:r>
              <w:rPr>
                <w:sz w:val="20"/>
              </w:rPr>
            </w:r>
          </w:p>
        </w:tc>
        <w:tc>
          <w:tcPr>
            <w:tcW w:w="4195" w:type="dxa"/>
          </w:tcPr>
          <w:p>
            <w:pPr>
              <w:pStyle w:val="0"/>
            </w:pPr>
            <w:r>
              <w:rPr>
                <w:sz w:val="20"/>
              </w:rPr>
              <w:t xml:space="preserve">Конкурс</w:t>
            </w:r>
          </w:p>
        </w:tc>
      </w:tr>
      <w:tr>
        <w:tc>
          <w:tcPr>
            <w:tcW w:w="4535" w:type="dxa"/>
          </w:tcPr>
          <w:p>
            <w:pPr>
              <w:pStyle w:val="0"/>
            </w:pPr>
            <w:r>
              <w:rPr>
                <w:sz w:val="20"/>
              </w:rPr>
              <w:t xml:space="preserve">Требования, определенные в соответствии с </w:t>
            </w:r>
            <w:hyperlink w:history="0" r:id="rId10" w:tooltip="Постановление Правительства РФ от 25.10.2023 N 1780 (ред. от 25.11.2024) &quot;Об утверждении Правил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пунктом 19</w:t>
              </w:r>
            </w:hyperlink>
            <w:r>
              <w:rPr>
                <w:sz w:val="20"/>
              </w:rPr>
              <w:t xml:space="preserve"> Правил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утвержденных постановлением Правительства Российской Федерации от 25 октября 2023 г. N 1780 (далее - Правила N 1780), которым должны соответствовать юридические лица, индивидуальные предприниматели, а также физические лица - производители товаров, работ, услуг, участвующие в отборе на получение субсидии в соответствии с </w:t>
            </w:r>
            <w:hyperlink w:history="0" r:id="rId11" w:tooltip="Постановление Правительства РФ от 25.10.2023 N 1781 (ред. от 25.11.2024) &quot;Об утверждении Правил отбора получателей субсидий, в том числе грантов в форме субсидий, предоставляемых из бюджетов бюджетной системы Российской Федерации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Правилами</w:t>
              </w:r>
            </w:hyperlink>
            <w:r>
              <w:rPr>
                <w:sz w:val="20"/>
              </w:rPr>
              <w:t xml:space="preserve"> отбора получателей субсидий, в том числе грантов в форме субсидий, предоставляемых из бюджетов бюджетной системы Российской Федерации юридическим лицам, индивидуальным предпринимателям, а также физическим лицам - производителям товаров, работ, услуг, утвержденных постановлением Правительства Российской Федерации от 25 октября 2023 г. N 1781, и в соответствии с </w:t>
            </w:r>
            <w:hyperlink w:history="0" r:id="rId12" w:tooltip="&quot;Бюджетный кодекс Российской Федерации&quot; от 31.07.1998 N 145-ФЗ (ред. от 26.12.2024) (с изм. и доп., вступ. в силу с 01.01.2025) {КонсультантПлюс}">
              <w:r>
                <w:rPr>
                  <w:sz w:val="20"/>
                  <w:color w:val="0000ff"/>
                </w:rPr>
                <w:t xml:space="preserve">пунктом 4 статьи 78.5</w:t>
              </w:r>
            </w:hyperlink>
            <w:r>
              <w:rPr>
                <w:sz w:val="20"/>
              </w:rPr>
              <w:t xml:space="preserve"> Бюджетного кодекса Российской Федерации, а также получатели субсидии, определенные в соответствии с </w:t>
            </w:r>
            <w:hyperlink w:history="0" r:id="rId13" w:tooltip="Постановление Правительства РФ от 25.10.2023 N 1780 (ред. от 25.11.2024) &quot;Об утверждении Правил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пунктом 20</w:t>
              </w:r>
            </w:hyperlink>
            <w:r>
              <w:rPr>
                <w:sz w:val="20"/>
              </w:rPr>
              <w:t xml:space="preserve"> Правил N 1780, а также при необходимости информация, предусмотренная </w:t>
            </w:r>
            <w:hyperlink w:history="0" r:id="rId14" w:tooltip="Постановление Правительства РФ от 25.10.2023 N 1780 (ред. от 25.11.2024) &quot;Об утверждении Правил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абзацем третьим подпункта "а" пункта 18</w:t>
              </w:r>
            </w:hyperlink>
            <w:r>
              <w:rPr>
                <w:sz w:val="20"/>
              </w:rPr>
              <w:t xml:space="preserve"> Правил N 1780</w:t>
            </w:r>
          </w:p>
        </w:tc>
        <w:tc>
          <w:tcPr>
            <w:tcW w:w="340" w:type="dxa"/>
          </w:tcPr>
          <w:p>
            <w:pPr>
              <w:pStyle w:val="0"/>
            </w:pPr>
            <w:r>
              <w:rPr>
                <w:sz w:val="20"/>
              </w:rPr>
            </w:r>
          </w:p>
        </w:tc>
        <w:tc>
          <w:tcPr>
            <w:tcW w:w="4195" w:type="dxa"/>
          </w:tcPr>
          <w:p>
            <w:pPr>
              <w:pStyle w:val="0"/>
            </w:pPr>
            <w:r>
              <w:rPr>
                <w:sz w:val="20"/>
              </w:rPr>
              <w:t xml:space="preserve">Участник отбора получателей субсидий на даты рассмотрения заявки и заключения договора (соглашения) о предоставлении субсидии (далее - соглашение) должен соответствовать следующим требованиям:</w:t>
            </w:r>
          </w:p>
          <w:p>
            <w:pPr>
              <w:pStyle w:val="0"/>
            </w:pPr>
            <w:r>
              <w:rPr>
                <w:sz w:val="20"/>
              </w:rPr>
              <w:t xml:space="preserve">1. Участник отбора получателей субсидий не должен являться иностранным юридическим лицом, в том числе местом регистрации которого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w:t>
            </w:r>
          </w:p>
          <w:p>
            <w:pPr>
              <w:pStyle w:val="0"/>
            </w:pPr>
            <w:r>
              <w:rPr>
                <w:sz w:val="20"/>
              </w:rPr>
              <w:t xml:space="preserve">(офшорного)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установлено законодательством Российской Федерации). При расчете доли участия офшорных компаний в уставном (складочном) капитале российских юридических лиц не учитываются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pPr>
              <w:pStyle w:val="0"/>
            </w:pPr>
            <w:r>
              <w:rPr>
                <w:sz w:val="20"/>
              </w:rPr>
              <w:t xml:space="preserve">2. Участник отбора получателей субсидий не должен находиться в перечне организаций и физических лиц, в отношении которых имеются сведения об их причастности к экстремистской деятельности или терроризму.</w:t>
            </w:r>
          </w:p>
          <w:p>
            <w:pPr>
              <w:pStyle w:val="0"/>
            </w:pPr>
            <w:r>
              <w:rPr>
                <w:sz w:val="20"/>
              </w:rPr>
              <w:t xml:space="preserve">3. Участник отбора получателей субсидий не должен получать средства из федерального бюджета (бюджета субъекта Российской Федерации, местного бюджета), из которого планируется предоставление субсидии, на основании иных нормативных правовых актов Российской Федерации (нормативных правовых актов субъекта Российской Федерации, муниципальных правовых актов), решений о порядке предоставления субсидии на цели, установленные решением о порядке предоставления субсидии, в целях определения получателей которой проводится отбор получателей субсидий.</w:t>
            </w:r>
          </w:p>
          <w:p>
            <w:pPr>
              <w:pStyle w:val="0"/>
            </w:pPr>
            <w:r>
              <w:rPr>
                <w:sz w:val="20"/>
              </w:rPr>
              <w:t xml:space="preserve">4. Участник отбора получателей субсидий не должен являться иностранным агентом в соответствии с Федеральным законом "О контроле за деятельностью лиц, находящихся под иностранным влиянием".</w:t>
            </w:r>
          </w:p>
          <w:p>
            <w:pPr>
              <w:pStyle w:val="0"/>
            </w:pPr>
            <w:r>
              <w:rPr>
                <w:sz w:val="20"/>
              </w:rPr>
              <w:t xml:space="preserve">5. Участник отбора не находится в составляемых в рамках реализации полномочий, предусмотренных </w:t>
            </w:r>
            <w:hyperlink w:history="0" r:id="rId15" w:tooltip="&quot;Раздел I. Понятие международного права, его сущность и роль в международных отношениях, политике и дипломатии. 1. Устав Организации Объединенных Наций&quot; (Принят в г. Сан-Франциско 26.06.1945) (с изм. и доп. от 20.12.1971) {КонсультантПлюс}">
              <w:r>
                <w:rPr>
                  <w:sz w:val="20"/>
                  <w:color w:val="0000ff"/>
                </w:rPr>
                <w:t xml:space="preserve">главой VII</w:t>
              </w:r>
            </w:hyperlink>
            <w:r>
              <w:rPr>
                <w:sz w:val="20"/>
              </w:rP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pPr>
              <w:pStyle w:val="0"/>
            </w:pPr>
            <w:r>
              <w:rPr>
                <w:sz w:val="20"/>
              </w:rPr>
              <w:t xml:space="preserve">6. У участника отбора получателей субсидий должны отсутствовать просроченная задолженность по возврату в бюджет бюджетной системы Российской Федерации, из которого планируется предоставление субсидии, иных субсидий, бюджетных инвестиций, а также иная просроченная (неурегулированная) задолженность по денежным обязательствам перед публично-правовым образованием, из бюджета которого планируется предоставление субсидии (за исключением случаев, установленных соответственно Правительством Российской Федерации, высшим исполнительным органом субъекта Российской Федерации, местной администрацией муниципального образования).</w:t>
            </w:r>
          </w:p>
          <w:p>
            <w:pPr>
              <w:pStyle w:val="0"/>
            </w:pPr>
            <w:r>
              <w:rPr>
                <w:sz w:val="20"/>
              </w:rPr>
              <w:t xml:space="preserve">7. У участника отбора получателей субсидий на едином налоговом счете должна отсутствовать или не превышать размер, определенный </w:t>
            </w:r>
            <w:hyperlink w:history="0" r:id="rId16" w:tooltip="&quot;Налоговый кодекс Российской Федерации (часть первая)&quot; от 31.07.1998 N 146-ФЗ (ред. от 29.11.2024) {КонсультантПлюс}">
              <w:r>
                <w:rPr>
                  <w:sz w:val="20"/>
                  <w:color w:val="0000ff"/>
                </w:rPr>
                <w:t xml:space="preserve">пунктом 3 статьи 47</w:t>
              </w:r>
            </w:hyperlink>
            <w:r>
              <w:rPr>
                <w:sz w:val="20"/>
              </w:rP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pPr>
              <w:pStyle w:val="0"/>
            </w:pPr>
            <w:r>
              <w:rPr>
                <w:sz w:val="20"/>
              </w:rPr>
              <w:t xml:space="preserve">8. Участник отбора получателей субсидий, являющийся юридическим лицом, не должен находиться в процессе реорганизации (за исключением реорганизации в форме присоединения к юридическому лицу, являющемуся участником отбора получателей субсидий, другого юридического лица), ликвидации, в отношении него не введена процедура банкротства, деятельность получателя субсидии не должна быть приостановлена в порядке, предусмотренном законодательством Российской Федерации, а получатель субсидии, являющийся индивидуальным предпринимателем, не должен прекратить деятельность в качестве индивидуального предпринимателя.</w:t>
            </w:r>
          </w:p>
          <w:p>
            <w:pPr>
              <w:pStyle w:val="0"/>
            </w:pPr>
            <w:r>
              <w:rPr>
                <w:sz w:val="20"/>
              </w:rPr>
              <w:t xml:space="preserve">9. В реестре дисквалифицированных лиц должны отсутствовать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получателя субсидии, являющегося юридическим лицом, об индивидуальном предпринимателе и о физическом лице - производителе товаров, работ, услуг, являющихся участниками отбора получателей субсидий.</w:t>
            </w:r>
          </w:p>
          <w:p>
            <w:pPr>
              <w:pStyle w:val="0"/>
            </w:pPr>
            <w:r>
              <w:rPr>
                <w:sz w:val="20"/>
              </w:rPr>
              <w:t xml:space="preserve">10. Одна организация может подать только одну заявку для участия в одном конкурсе.</w:t>
            </w:r>
          </w:p>
          <w:p>
            <w:pPr>
              <w:pStyle w:val="0"/>
            </w:pPr>
            <w:r>
              <w:rPr>
                <w:sz w:val="20"/>
              </w:rPr>
              <w:t xml:space="preserve">11. Субсидии предоставляются на реализацию проектов социально ориентированных некоммерческих организаций, созданных в соответствии с </w:t>
            </w:r>
            <w:hyperlink w:history="0" r:id="rId17" w:tooltip="Федеральный закон от 12.01.1996 N 7-ФЗ (ред. от 30.09.2024) &quot;О некоммерческих организациях&quot; {КонсультантПлюс}">
              <w:r>
                <w:rPr>
                  <w:sz w:val="20"/>
                  <w:color w:val="0000ff"/>
                </w:rPr>
                <w:t xml:space="preserve">пунктом 2.1 статьи 2</w:t>
              </w:r>
            </w:hyperlink>
            <w:r>
              <w:rPr>
                <w:sz w:val="20"/>
              </w:rPr>
              <w:t xml:space="preserve"> Федерального закона от 12 января 1996 года N 7-ФЗ "О некоммерческих организациях" (далее - Федеральный закон), в рамках осуществления ими уставной деятельности, соответствующей положениям </w:t>
            </w:r>
            <w:hyperlink w:history="0" r:id="rId18" w:tooltip="Федеральный закон от 12.01.1996 N 7-ФЗ (ред. от 30.09.2024) &quot;О некоммерческих организациях&quot; {КонсультантПлюс}">
              <w:r>
                <w:rPr>
                  <w:sz w:val="20"/>
                  <w:color w:val="0000ff"/>
                </w:rPr>
                <w:t xml:space="preserve">статьи 31.1</w:t>
              </w:r>
            </w:hyperlink>
            <w:r>
              <w:rPr>
                <w:sz w:val="20"/>
              </w:rPr>
              <w:t xml:space="preserve"> Федерального закона.</w:t>
            </w:r>
          </w:p>
          <w:p>
            <w:pPr>
              <w:pStyle w:val="0"/>
            </w:pPr>
            <w:r>
              <w:rPr>
                <w:sz w:val="20"/>
              </w:rPr>
              <w:t xml:space="preserve">12. Организация осуществляет деятельность в Кабардино-Балкарской Республике.</w:t>
            </w:r>
          </w:p>
          <w:p>
            <w:pPr>
              <w:pStyle w:val="0"/>
            </w:pPr>
            <w:r>
              <w:rPr>
                <w:sz w:val="20"/>
              </w:rPr>
              <w:t xml:space="preserve">13. Предоставляемая субсидия подлежит казначейскому сопровождению и перечисляется на казначейский счет для осуществления и отражения операций с денежными средствами участников казначейского сопровождения, открытый в территориальном органе Федерального казначейства не позднее 2-го рабочего дня со дня представления в Министерство финансов Кабардино-Балкарской Республике распоряжения о совершении казначейских платежей для оплаты денежного обязательства получателя субсидии.</w:t>
            </w:r>
          </w:p>
          <w:p>
            <w:pPr>
              <w:pStyle w:val="0"/>
            </w:pPr>
            <w:r>
              <w:rPr>
                <w:sz w:val="20"/>
              </w:rPr>
              <w:t xml:space="preserve">14. Участниками конкурса могут быть социально ориентированные некоммерческие организации, зарегистрированные в качестве юридического лица, за исключением:</w:t>
            </w:r>
          </w:p>
          <w:p>
            <w:pPr>
              <w:pStyle w:val="0"/>
            </w:pPr>
            <w:r>
              <w:rPr>
                <w:sz w:val="20"/>
              </w:rPr>
              <w:t xml:space="preserve">государственных корпораций; государственных компаний; политических партий; государственных учреждений; муниципальных учреждений;</w:t>
            </w:r>
          </w:p>
          <w:p>
            <w:pPr>
              <w:pStyle w:val="0"/>
            </w:pPr>
            <w:r>
              <w:rPr>
                <w:sz w:val="20"/>
              </w:rPr>
              <w:t xml:space="preserve">общественных объединений, не являющиеся юридическими лицами; потребительских кооперативов, к которым относятся в том числе жилищные, жилищно-строительные и гаражные кооперативы, садоводческие, огороднические и дачные потребительские кооперативы, общества взаимного страхования, кредитные кооперативы, фонды проката, сельскохозяйственные потребительские кооперативы; саморегулируемых организаций;</w:t>
            </w:r>
          </w:p>
          <w:p>
            <w:pPr>
              <w:pStyle w:val="0"/>
            </w:pPr>
            <w:r>
              <w:rPr>
                <w:sz w:val="20"/>
              </w:rPr>
              <w:t xml:space="preserve">объединений работодателей; объединений кооперативов; торгово-промышленных палат;</w:t>
            </w:r>
          </w:p>
          <w:p>
            <w:pPr>
              <w:pStyle w:val="0"/>
            </w:pPr>
            <w:r>
              <w:rPr>
                <w:sz w:val="20"/>
              </w:rPr>
              <w:t xml:space="preserve">товариществ собственников недвижимости, к которым относятся в том числе товарищества собственников жилья; адвокатских палат; адвокатских образований; нотариальных палат;</w:t>
            </w:r>
          </w:p>
          <w:p>
            <w:pPr>
              <w:pStyle w:val="0"/>
            </w:pPr>
            <w:r>
              <w:rPr>
                <w:sz w:val="20"/>
              </w:rPr>
              <w:t xml:space="preserve">государственно-общественных и общественно-государственных организаций (объединений), их территориальных (структурных) подразделений (отделений), в том числе являющиеся отдельными юридическими лицами; микрофинансовых организаций; личных фондов</w:t>
            </w:r>
          </w:p>
        </w:tc>
      </w:tr>
      <w:tr>
        <w:tc>
          <w:tcPr>
            <w:tcW w:w="4535" w:type="dxa"/>
          </w:tcPr>
          <w:p>
            <w:pPr>
              <w:pStyle w:val="0"/>
            </w:pPr>
            <w:r>
              <w:rPr>
                <w:sz w:val="20"/>
              </w:rPr>
              <w:t xml:space="preserve">Порядок расчета размера субсидии с учетом положений </w:t>
            </w:r>
            <w:hyperlink w:history="0" r:id="rId19" w:tooltip="Постановление Правительства РФ от 25.10.2023 N 1780 (ред. от 25.11.2024) &quot;Об утверждении Правил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пунктов 14</w:t>
              </w:r>
            </w:hyperlink>
            <w:r>
              <w:rPr>
                <w:sz w:val="20"/>
              </w:rPr>
              <w:t xml:space="preserve">, </w:t>
            </w:r>
            <w:hyperlink w:history="0" r:id="rId20" w:tooltip="Постановление Правительства РФ от 25.10.2023 N 1780 (ред. от 25.11.2024) &quot;Об утверждении Правил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15</w:t>
              </w:r>
            </w:hyperlink>
            <w:r>
              <w:rPr>
                <w:sz w:val="20"/>
              </w:rPr>
              <w:t xml:space="preserve"> Правил N 1780</w:t>
            </w:r>
          </w:p>
        </w:tc>
        <w:tc>
          <w:tcPr>
            <w:tcW w:w="340" w:type="dxa"/>
          </w:tcPr>
          <w:p>
            <w:pPr>
              <w:pStyle w:val="0"/>
            </w:pPr>
            <w:r>
              <w:rPr>
                <w:sz w:val="20"/>
              </w:rPr>
            </w:r>
          </w:p>
        </w:tc>
        <w:tc>
          <w:tcPr>
            <w:tcW w:w="4195" w:type="dxa"/>
          </w:tcPr>
          <w:p>
            <w:pPr>
              <w:pStyle w:val="0"/>
            </w:pPr>
            <w:r>
              <w:rPr>
                <w:sz w:val="20"/>
              </w:rPr>
              <w:t xml:space="preserve">Проводится независимая экспертиза проектов, представленных участниками конкурса, допущенными к участию в конкурсе.</w:t>
            </w:r>
          </w:p>
          <w:p>
            <w:pPr>
              <w:pStyle w:val="0"/>
            </w:pPr>
            <w:r>
              <w:rPr>
                <w:sz w:val="20"/>
              </w:rPr>
              <w:t xml:space="preserve">В ходе независимой экспертизы экспертами осуществляется оценка заявок участников конкурса по критериям.</w:t>
            </w:r>
          </w:p>
          <w:p>
            <w:pPr>
              <w:pStyle w:val="0"/>
            </w:pPr>
            <w:r>
              <w:rPr>
                <w:sz w:val="20"/>
              </w:rPr>
              <w:t xml:space="preserve">Конкурсная комиссия рассматривает заявки с учетом их предварительного рейтинга, определяемого по результатам проведенной экспертной оценки заявок.</w:t>
            </w:r>
          </w:p>
          <w:p>
            <w:pPr>
              <w:pStyle w:val="0"/>
            </w:pPr>
            <w:r>
              <w:rPr>
                <w:sz w:val="20"/>
              </w:rPr>
              <w:t xml:space="preserve">Конкурсная комиссия определяет рейтинг каждой заявки с присвоением порядковых номеров заявкам участников конкурса.</w:t>
            </w:r>
          </w:p>
          <w:p>
            <w:pPr>
              <w:pStyle w:val="0"/>
            </w:pPr>
            <w:r>
              <w:rPr>
                <w:sz w:val="20"/>
              </w:rPr>
              <w:t xml:space="preserve">По результатам рассмотрения заявок на участие в конкурсе Конкурсная комиссия принимает решение о признании участников конкурса, набравших наибольшее количество баллов, победителями конкурса, и включении их в рейтинговый список победителей конкурса, включающий предложения по размерам субсидий, предоставляемых на реализацию каждого проекта.</w:t>
            </w:r>
          </w:p>
          <w:p>
            <w:pPr>
              <w:pStyle w:val="0"/>
            </w:pPr>
            <w:r>
              <w:rPr>
                <w:sz w:val="20"/>
              </w:rPr>
              <w:t xml:space="preserve">При равном количестве баллов по результатам конкурса у двух и более участников в конце рейтингового списка, победителем конкурса признается участник, подавший заявку в более ранние сроки.</w:t>
            </w:r>
          </w:p>
          <w:p>
            <w:pPr>
              <w:pStyle w:val="0"/>
            </w:pPr>
            <w:r>
              <w:rPr>
                <w:sz w:val="20"/>
              </w:rPr>
              <w:t xml:space="preserve">Конкурсная комиссия с учетом рекомендаций экспертов конкурса вправе предложить предоставить на реализацию проекта субсидию в меньшем размере, чем запрашиваемая сумма субсидии, но не менее 60% от запрашиваемой суммы субсидии</w:t>
            </w:r>
          </w:p>
        </w:tc>
      </w:tr>
      <w:tr>
        <w:tc>
          <w:tcPr>
            <w:tcW w:w="4535" w:type="dxa"/>
          </w:tcPr>
          <w:p>
            <w:pPr>
              <w:pStyle w:val="0"/>
            </w:pPr>
            <w:r>
              <w:rPr>
                <w:sz w:val="20"/>
              </w:rPr>
              <w:t xml:space="preserve">Понятия, используемые для целей решения о порядке предоставления субсидии (при необходимости)</w:t>
            </w:r>
          </w:p>
        </w:tc>
        <w:tc>
          <w:tcPr>
            <w:tcW w:w="340" w:type="dxa"/>
          </w:tcPr>
          <w:p>
            <w:pPr>
              <w:pStyle w:val="0"/>
            </w:pPr>
            <w:r>
              <w:rPr>
                <w:sz w:val="20"/>
              </w:rPr>
            </w:r>
          </w:p>
        </w:tc>
        <w:tc>
          <w:tcPr>
            <w:tcW w:w="4195" w:type="dxa"/>
          </w:tcPr>
          <w:p>
            <w:pPr>
              <w:pStyle w:val="0"/>
            </w:pPr>
            <w:r>
              <w:rPr>
                <w:sz w:val="20"/>
              </w:rPr>
              <w:t xml:space="preserve">Общественный проект (социальный проект) - это комплекс взаимосвязанных мероприятий, направленных на решение конкретных задач, соответствующих учредительным документам социально ориентированной некоммерческой организации и видам деятельности, предусмотренным </w:t>
            </w:r>
            <w:hyperlink w:history="0" r:id="rId21" w:tooltip="Федеральный закон от 12.01.1996 N 7-ФЗ (ред. от 30.09.2024) &quot;О некоммерческих организациях&quot; {КонсультантПлюс}">
              <w:r>
                <w:rPr>
                  <w:sz w:val="20"/>
                  <w:color w:val="0000ff"/>
                </w:rPr>
                <w:t xml:space="preserve">статьей 31.1</w:t>
              </w:r>
            </w:hyperlink>
            <w:r>
              <w:rPr>
                <w:sz w:val="20"/>
              </w:rPr>
              <w:t xml:space="preserve"> Федерального закона.</w:t>
            </w:r>
          </w:p>
          <w:p>
            <w:pPr>
              <w:pStyle w:val="0"/>
            </w:pPr>
            <w:r>
              <w:rPr>
                <w:sz w:val="20"/>
              </w:rPr>
              <w:t xml:space="preserve">Экстремизм - приверженность отдельных лиц, групп, организаций к крайним, радикальным взглядам, позициям и мерам в общественной деятельности.</w:t>
            </w:r>
          </w:p>
          <w:p>
            <w:pPr>
              <w:pStyle w:val="0"/>
            </w:pPr>
            <w:r>
              <w:rPr>
                <w:sz w:val="20"/>
              </w:rPr>
              <w:t xml:space="preserve">Терроризм представляет собой многоплановую угрозу для жизненно важных интересов личности, общества и государства, одну из наиболее опасных разновидностей политического экстремизма в глобальном и региональном масштабах.</w:t>
            </w:r>
          </w:p>
          <w:p>
            <w:pPr>
              <w:pStyle w:val="0"/>
            </w:pPr>
            <w:r>
              <w:rPr>
                <w:sz w:val="20"/>
              </w:rPr>
              <w:t xml:space="preserve">Организация деятельности по профилактике терроризма требует обеспечения скоординированной работы органов государственной власти с общественными организациями и объединениями, религиозными структурами, другими институтами гражданского общества</w:t>
            </w:r>
          </w:p>
        </w:tc>
      </w:tr>
      <w:tr>
        <w:tc>
          <w:tcPr>
            <w:tcW w:w="4535" w:type="dxa"/>
          </w:tcPr>
          <w:p>
            <w:pPr>
              <w:pStyle w:val="0"/>
            </w:pPr>
            <w:r>
              <w:rPr>
                <w:sz w:val="20"/>
              </w:rPr>
              <w:t xml:space="preserve">Наименование отчетности, представляемой получателем субсидии, предусмотренной </w:t>
            </w:r>
            <w:hyperlink w:history="0" r:id="rId22" w:tooltip="Постановление Правительства РФ от 25.10.2023 N 1780 (ред. от 25.11.2024) &quot;Об утверждении Правил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пунктом 32</w:t>
              </w:r>
            </w:hyperlink>
            <w:r>
              <w:rPr>
                <w:sz w:val="20"/>
              </w:rPr>
              <w:t xml:space="preserve"> Правил N 1780 (при необходимости)</w:t>
            </w:r>
          </w:p>
        </w:tc>
        <w:tc>
          <w:tcPr>
            <w:tcW w:w="340" w:type="dxa"/>
          </w:tcPr>
          <w:p>
            <w:pPr>
              <w:pStyle w:val="0"/>
            </w:pPr>
            <w:r>
              <w:rPr>
                <w:sz w:val="20"/>
              </w:rPr>
            </w:r>
          </w:p>
        </w:tc>
        <w:tc>
          <w:tcPr>
            <w:tcW w:w="4195" w:type="dxa"/>
          </w:tcPr>
          <w:p>
            <w:pPr>
              <w:pStyle w:val="0"/>
            </w:pPr>
            <w:r>
              <w:rPr>
                <w:sz w:val="20"/>
              </w:rPr>
              <w:t xml:space="preserve">Форма финансовой отчетности о расходах на реализацию проекта, источником финансового обеспечения которых является субсидия.</w:t>
            </w:r>
          </w:p>
          <w:p>
            <w:pPr>
              <w:pStyle w:val="0"/>
            </w:pPr>
            <w:r>
              <w:rPr>
                <w:sz w:val="20"/>
              </w:rPr>
              <w:t xml:space="preserve">Форма отчетности о реализации проекта, источником финансового обеспечения которых является субсидия</w:t>
            </w:r>
          </w:p>
        </w:tc>
      </w:tr>
      <w:tr>
        <w:tc>
          <w:tcPr>
            <w:tcW w:w="4535" w:type="dxa"/>
          </w:tcPr>
          <w:p>
            <w:pPr>
              <w:pStyle w:val="0"/>
            </w:pPr>
            <w:r>
              <w:rPr>
                <w:sz w:val="20"/>
              </w:rPr>
              <w:t xml:space="preserve">Информация о возможности заключения соглашения о предоставлении субсидии с иным юридическим лицом в соответствии с </w:t>
            </w:r>
            <w:hyperlink w:history="0" r:id="rId23" w:tooltip="Постановление Правительства РФ от 25.10.2023 N 1780 (ред. от 25.11.2024) &quot;Об утверждении Правил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пунктом 12</w:t>
              </w:r>
            </w:hyperlink>
            <w:r>
              <w:rPr>
                <w:sz w:val="20"/>
              </w:rPr>
              <w:t xml:space="preserve"> Правил N 1780</w:t>
            </w:r>
          </w:p>
        </w:tc>
        <w:tc>
          <w:tcPr>
            <w:tcW w:w="340" w:type="dxa"/>
          </w:tcPr>
          <w:p>
            <w:pPr>
              <w:pStyle w:val="0"/>
            </w:pPr>
            <w:r>
              <w:rPr>
                <w:sz w:val="20"/>
              </w:rPr>
            </w:r>
          </w:p>
        </w:tc>
        <w:tc>
          <w:tcPr>
            <w:tcW w:w="4195" w:type="dxa"/>
          </w:tcPr>
          <w:p>
            <w:pPr>
              <w:pStyle w:val="0"/>
            </w:pPr>
            <w:r>
              <w:rPr>
                <w:sz w:val="20"/>
              </w:rPr>
              <w:t xml:space="preserve">Не предусмотрена</w:t>
            </w:r>
          </w:p>
        </w:tc>
      </w:tr>
      <w:tr>
        <w:tc>
          <w:tcPr>
            <w:tcW w:w="4535" w:type="dxa"/>
          </w:tcPr>
          <w:p>
            <w:pPr>
              <w:pStyle w:val="0"/>
            </w:pPr>
            <w:r>
              <w:rPr>
                <w:sz w:val="20"/>
              </w:rPr>
              <w:t xml:space="preserve">Направления расходов, определенные в соответствии с </w:t>
            </w:r>
            <w:hyperlink w:history="0" r:id="rId24" w:tooltip="Постановление Правительства РФ от 25.10.2023 N 1780 (ред. от 25.11.2024) &quot;Об утверждении Правил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подпунктом "а" пункта 25</w:t>
              </w:r>
            </w:hyperlink>
            <w:r>
              <w:rPr>
                <w:sz w:val="20"/>
              </w:rPr>
              <w:t xml:space="preserve"> Правил N 1780</w:t>
            </w:r>
          </w:p>
        </w:tc>
        <w:tc>
          <w:tcPr>
            <w:tcW w:w="340" w:type="dxa"/>
          </w:tcPr>
          <w:p>
            <w:pPr>
              <w:pStyle w:val="0"/>
            </w:pPr>
            <w:r>
              <w:rPr>
                <w:sz w:val="20"/>
              </w:rPr>
            </w:r>
          </w:p>
        </w:tc>
        <w:tc>
          <w:tcPr>
            <w:tcW w:w="4195" w:type="dxa"/>
          </w:tcPr>
          <w:p>
            <w:pPr>
              <w:pStyle w:val="0"/>
            </w:pPr>
            <w:r>
              <w:rPr>
                <w:sz w:val="20"/>
              </w:rPr>
              <w:t xml:space="preserve">Осуществление закупки товаров и услуг в рамках реализации проекта с учетом того, что средства субсидии не могут быть использованы на: оказание материальной помощи, а также платных услуг населению; реализацию мероприятий, предполагающих извлечение прибыли; расходы, связанные с осуществлением предпринимательской деятельности и оказанием помощи коммерческим организациям; расходы, связанные с осуществлением деятельности, напрямую не связанной с проектами, представленными на конкурс; расходы на поддержку политических партий и кампаний;</w:t>
            </w:r>
          </w:p>
          <w:p>
            <w:pPr>
              <w:pStyle w:val="0"/>
            </w:pPr>
            <w:r>
              <w:rPr>
                <w:sz w:val="20"/>
              </w:rPr>
              <w:t xml:space="preserve">расходы на проведение митингов, демонстраций, пикетирований; расходы на фундаментальные научные исследования; расходы на приобретение алкогольных напитков и табачной продукции; уплата штрафов;</w:t>
            </w:r>
          </w:p>
          <w:p>
            <w:pPr>
              <w:pStyle w:val="0"/>
            </w:pPr>
            <w:r>
              <w:rPr>
                <w:sz w:val="20"/>
              </w:rPr>
              <w:t xml:space="preserve">расходы на приобретение недвижимого имущества (включая земельные участки), капитальное строительство новых зданий; расходы на текущий и капитальный ремонт;</w:t>
            </w:r>
          </w:p>
          <w:p>
            <w:pPr>
              <w:pStyle w:val="0"/>
            </w:pPr>
            <w:r>
              <w:rPr>
                <w:sz w:val="20"/>
              </w:rPr>
              <w:t xml:space="preserve">расходы на приобретение транспорта, за исключением случая решения конкурсной комиссии</w:t>
            </w:r>
          </w:p>
        </w:tc>
      </w:tr>
      <w:tr>
        <w:tc>
          <w:tcPr>
            <w:tcW w:w="4535" w:type="dxa"/>
          </w:tcPr>
          <w:p>
            <w:pPr>
              <w:pStyle w:val="0"/>
            </w:pPr>
            <w:r>
              <w:rPr>
                <w:sz w:val="20"/>
              </w:rPr>
              <w:t xml:space="preserve">Наименование операций, для осуществления которых получатель субсидии приобретает за счет средств субсидии иностранную валюту (при необходимости)</w:t>
            </w:r>
          </w:p>
        </w:tc>
        <w:tc>
          <w:tcPr>
            <w:tcW w:w="340" w:type="dxa"/>
          </w:tcPr>
          <w:p>
            <w:pPr>
              <w:pStyle w:val="0"/>
            </w:pPr>
            <w:r>
              <w:rPr>
                <w:sz w:val="20"/>
              </w:rPr>
            </w:r>
          </w:p>
        </w:tc>
        <w:tc>
          <w:tcPr>
            <w:tcW w:w="4195" w:type="dxa"/>
          </w:tcPr>
          <w:p>
            <w:pPr>
              <w:pStyle w:val="0"/>
            </w:pPr>
            <w:r>
              <w:rPr>
                <w:sz w:val="20"/>
              </w:rPr>
              <w:t xml:space="preserve">Не предусмотрены</w:t>
            </w:r>
          </w:p>
        </w:tc>
      </w:tr>
      <w:tr>
        <w:tc>
          <w:tcPr>
            <w:tcW w:w="4535" w:type="dxa"/>
          </w:tcPr>
          <w:p>
            <w:pPr>
              <w:pStyle w:val="0"/>
            </w:pPr>
            <w:r>
              <w:rPr>
                <w:sz w:val="20"/>
              </w:rPr>
              <w:t xml:space="preserve">Направления недополученных доходов (затрат), на возмещение которых предоставляется субсидия, и перечень документов, подтверждающих фактически недополученные доходы (затраты), определенные в соответствии с </w:t>
            </w:r>
            <w:hyperlink w:history="0" r:id="rId25" w:tooltip="Постановление Правительства РФ от 25.10.2023 N 1780 (ред. от 25.11.2024) &quot;Об утверждении Правил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пунктом 26</w:t>
              </w:r>
            </w:hyperlink>
            <w:r>
              <w:rPr>
                <w:sz w:val="20"/>
              </w:rPr>
              <w:t xml:space="preserve"> Правил N 1780</w:t>
            </w:r>
          </w:p>
        </w:tc>
        <w:tc>
          <w:tcPr>
            <w:tcW w:w="340" w:type="dxa"/>
          </w:tcPr>
          <w:p>
            <w:pPr>
              <w:pStyle w:val="0"/>
            </w:pPr>
            <w:r>
              <w:rPr>
                <w:sz w:val="20"/>
              </w:rPr>
            </w:r>
          </w:p>
        </w:tc>
        <w:tc>
          <w:tcPr>
            <w:tcW w:w="4195" w:type="dxa"/>
          </w:tcPr>
          <w:p>
            <w:pPr>
              <w:pStyle w:val="0"/>
            </w:pPr>
            <w:r>
              <w:rPr>
                <w:sz w:val="20"/>
              </w:rPr>
              <w:t xml:space="preserve">Не предусмотрены</w:t>
            </w:r>
          </w:p>
        </w:tc>
      </w:tr>
      <w:tr>
        <w:tc>
          <w:tcPr>
            <w:tcW w:w="4535" w:type="dxa"/>
          </w:tcPr>
          <w:p>
            <w:pPr>
              <w:pStyle w:val="0"/>
            </w:pPr>
            <w:r>
              <w:rPr>
                <w:sz w:val="20"/>
              </w:rPr>
              <w:t xml:space="preserve">Порядок расчета размера средств субсидии, подлежащих возврату в бюджет, из которого предоставлена субсидия, в случае недостижения значений результата предоставления субсидии, отличный от порядка, установленного </w:t>
            </w:r>
            <w:hyperlink w:history="0" r:id="rId26" w:tooltip="Постановление Правительства РФ от 25.10.2023 N 1780 (ред. от 25.11.2024) &quot;Об утверждении Правил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пунктами 37</w:t>
              </w:r>
            </w:hyperlink>
            <w:r>
              <w:rPr>
                <w:sz w:val="20"/>
              </w:rPr>
              <w:t xml:space="preserve"> - </w:t>
            </w:r>
            <w:hyperlink w:history="0" r:id="rId27" w:tooltip="Постановление Правительства РФ от 25.10.2023 N 1780 (ред. от 25.11.2024) &quot;Об утверждении Правил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39</w:t>
              </w:r>
            </w:hyperlink>
            <w:r>
              <w:rPr>
                <w:sz w:val="20"/>
              </w:rPr>
              <w:t xml:space="preserve"> Правил N 1780 (при необходимости)</w:t>
            </w:r>
          </w:p>
        </w:tc>
        <w:tc>
          <w:tcPr>
            <w:tcW w:w="340" w:type="dxa"/>
          </w:tcPr>
          <w:p>
            <w:pPr>
              <w:pStyle w:val="0"/>
            </w:pPr>
            <w:r>
              <w:rPr>
                <w:sz w:val="20"/>
              </w:rPr>
            </w:r>
          </w:p>
        </w:tc>
        <w:tc>
          <w:tcPr>
            <w:tcW w:w="4195" w:type="dxa"/>
          </w:tcPr>
          <w:p>
            <w:pPr>
              <w:pStyle w:val="0"/>
            </w:pPr>
            <w:r>
              <w:rPr>
                <w:sz w:val="20"/>
              </w:rPr>
              <w:t xml:space="preserve">Не предусмотрен</w:t>
            </w:r>
          </w:p>
        </w:tc>
      </w:tr>
      <w:tr>
        <w:tc>
          <w:tcPr>
            <w:tcW w:w="4535" w:type="dxa"/>
          </w:tcPr>
          <w:p>
            <w:pPr>
              <w:pStyle w:val="0"/>
            </w:pPr>
            <w:r>
              <w:rPr>
                <w:sz w:val="20"/>
              </w:rPr>
              <w:t xml:space="preserve">Штрафные санкции, определенные в соответствии с </w:t>
            </w:r>
            <w:hyperlink w:history="0" r:id="rId28" w:tooltip="Постановление Правительства РФ от 25.10.2023 N 1780 (ред. от 25.11.2024) &quot;Об утверждении Правил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пунктом 40</w:t>
              </w:r>
            </w:hyperlink>
            <w:r>
              <w:rPr>
                <w:sz w:val="20"/>
              </w:rPr>
              <w:t xml:space="preserve"> Правил N 1780 (при необходимости)</w:t>
            </w:r>
          </w:p>
        </w:tc>
        <w:tc>
          <w:tcPr>
            <w:tcW w:w="340" w:type="dxa"/>
          </w:tcPr>
          <w:p>
            <w:pPr>
              <w:pStyle w:val="0"/>
            </w:pPr>
            <w:r>
              <w:rPr>
                <w:sz w:val="20"/>
              </w:rPr>
            </w:r>
          </w:p>
        </w:tc>
        <w:tc>
          <w:tcPr>
            <w:tcW w:w="4195" w:type="dxa"/>
          </w:tcPr>
          <w:p>
            <w:pPr>
              <w:pStyle w:val="0"/>
            </w:pPr>
            <w:r>
              <w:rPr>
                <w:sz w:val="20"/>
              </w:rPr>
              <w:t xml:space="preserve">Не предусмотрены</w:t>
            </w:r>
          </w:p>
        </w:tc>
      </w:tr>
      <w:tr>
        <w:tc>
          <w:tcPr>
            <w:tcW w:w="4535" w:type="dxa"/>
          </w:tcPr>
          <w:p>
            <w:pPr>
              <w:pStyle w:val="0"/>
            </w:pPr>
            <w:r>
              <w:rPr>
                <w:sz w:val="20"/>
              </w:rPr>
              <w:t xml:space="preserve">Необходимость внедрения современных технологий, включая решения на базе искусственного интеллекта (в отношении субсидий, предусмотренных </w:t>
            </w:r>
            <w:hyperlink w:history="0" r:id="rId29" w:tooltip="Постановление Правительства РФ от 25.10.2023 N 1780 (ред. от 25.11.2024) &quot;Об утверждении Правил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пунктом 69</w:t>
              </w:r>
            </w:hyperlink>
            <w:r>
              <w:rPr>
                <w:sz w:val="20"/>
              </w:rPr>
              <w:t xml:space="preserve"> Правил N 1780)</w:t>
            </w:r>
          </w:p>
        </w:tc>
        <w:tc>
          <w:tcPr>
            <w:tcW w:w="340" w:type="dxa"/>
          </w:tcPr>
          <w:p>
            <w:pPr>
              <w:pStyle w:val="0"/>
            </w:pPr>
            <w:r>
              <w:rPr>
                <w:sz w:val="20"/>
              </w:rPr>
            </w:r>
          </w:p>
        </w:tc>
        <w:tc>
          <w:tcPr>
            <w:tcW w:w="4195" w:type="dxa"/>
          </w:tcPr>
          <w:p>
            <w:pPr>
              <w:pStyle w:val="0"/>
            </w:pPr>
            <w:r>
              <w:rPr>
                <w:sz w:val="20"/>
              </w:rPr>
              <w:t xml:space="preserve">Не предусмотрена</w:t>
            </w:r>
          </w:p>
        </w:tc>
      </w:tr>
      <w:tr>
        <w:tc>
          <w:tcPr>
            <w:tcW w:w="4535" w:type="dxa"/>
          </w:tcPr>
          <w:p>
            <w:pPr>
              <w:pStyle w:val="0"/>
            </w:pPr>
            <w:r>
              <w:rPr>
                <w:sz w:val="20"/>
              </w:rPr>
              <w:t xml:space="preserve">Иные условия, устанавливаемые в случае необходимости</w:t>
            </w:r>
          </w:p>
        </w:tc>
        <w:tc>
          <w:tcPr>
            <w:tcW w:w="340" w:type="dxa"/>
          </w:tcPr>
          <w:p>
            <w:pPr>
              <w:pStyle w:val="0"/>
            </w:pPr>
            <w:r>
              <w:rPr>
                <w:sz w:val="20"/>
              </w:rPr>
            </w:r>
          </w:p>
        </w:tc>
        <w:tc>
          <w:tcPr>
            <w:tcW w:w="4195" w:type="dxa"/>
          </w:tcPr>
          <w:p>
            <w:pPr>
              <w:pStyle w:val="0"/>
            </w:pPr>
            <w:r>
              <w:rPr>
                <w:sz w:val="20"/>
              </w:rPr>
              <w:t xml:space="preserve">Не установлены</w:t>
            </w:r>
          </w:p>
        </w:tc>
      </w:tr>
    </w:tbl>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Миннаца КБР от 11.07.2024 N 74</w:t>
            <w:br/>
            <w:t>"О порядке предоставления субсидий из республиканского бюджета Кабардино-Балкарско...</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12.01.2025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RLAW304&amp;n=117199&amp;dst=102380" TargetMode = "External"/>
	<Relationship Id="rId8" Type="http://schemas.openxmlformats.org/officeDocument/2006/relationships/hyperlink" Target="https://login.consultant.ru/link/?req=doc&amp;base=LAW&amp;n=491815&amp;dst=100022" TargetMode = "External"/>
	<Relationship Id="rId9" Type="http://schemas.openxmlformats.org/officeDocument/2006/relationships/hyperlink" Target="https://login.consultant.ru/link/?req=doc&amp;base=LAW&amp;n=491830&amp;dst=100036" TargetMode = "External"/>
	<Relationship Id="rId10" Type="http://schemas.openxmlformats.org/officeDocument/2006/relationships/hyperlink" Target="https://login.consultant.ru/link/?req=doc&amp;base=LAW&amp;n=491815&amp;dst=100131" TargetMode = "External"/>
	<Relationship Id="rId11" Type="http://schemas.openxmlformats.org/officeDocument/2006/relationships/hyperlink" Target="https://login.consultant.ru/link/?req=doc&amp;base=LAW&amp;n=491830&amp;dst=100021" TargetMode = "External"/>
	<Relationship Id="rId12" Type="http://schemas.openxmlformats.org/officeDocument/2006/relationships/hyperlink" Target="https://login.consultant.ru/link/?req=doc&amp;base=LAW&amp;n=466790&amp;dst=7156" TargetMode = "External"/>
	<Relationship Id="rId13" Type="http://schemas.openxmlformats.org/officeDocument/2006/relationships/hyperlink" Target="https://login.consultant.ru/link/?req=doc&amp;base=LAW&amp;n=491815&amp;dst=100137" TargetMode = "External"/>
	<Relationship Id="rId14" Type="http://schemas.openxmlformats.org/officeDocument/2006/relationships/hyperlink" Target="https://login.consultant.ru/link/?req=doc&amp;base=LAW&amp;n=491815&amp;dst=100125" TargetMode = "External"/>
	<Relationship Id="rId15" Type="http://schemas.openxmlformats.org/officeDocument/2006/relationships/hyperlink" Target="https://login.consultant.ru/link/?req=doc&amp;base=LAW&amp;n=121087&amp;dst=100142" TargetMode = "External"/>
	<Relationship Id="rId16" Type="http://schemas.openxmlformats.org/officeDocument/2006/relationships/hyperlink" Target="https://login.consultant.ru/link/?req=doc&amp;base=LAW&amp;n=466838&amp;dst=5769" TargetMode = "External"/>
	<Relationship Id="rId17" Type="http://schemas.openxmlformats.org/officeDocument/2006/relationships/hyperlink" Target="https://login.consultant.ru/link/?req=doc&amp;base=LAW&amp;n=487023&amp;dst=666" TargetMode = "External"/>
	<Relationship Id="rId18" Type="http://schemas.openxmlformats.org/officeDocument/2006/relationships/hyperlink" Target="https://login.consultant.ru/link/?req=doc&amp;base=LAW&amp;n=487023&amp;dst=134" TargetMode = "External"/>
	<Relationship Id="rId19" Type="http://schemas.openxmlformats.org/officeDocument/2006/relationships/hyperlink" Target="https://login.consultant.ru/link/?req=doc&amp;base=LAW&amp;n=491815&amp;dst=100114" TargetMode = "External"/>
	<Relationship Id="rId20" Type="http://schemas.openxmlformats.org/officeDocument/2006/relationships/hyperlink" Target="https://login.consultant.ru/link/?req=doc&amp;base=LAW&amp;n=491815&amp;dst=100117" TargetMode = "External"/>
	<Relationship Id="rId21" Type="http://schemas.openxmlformats.org/officeDocument/2006/relationships/hyperlink" Target="https://login.consultant.ru/link/?req=doc&amp;base=LAW&amp;n=487023&amp;dst=134" TargetMode = "External"/>
	<Relationship Id="rId22" Type="http://schemas.openxmlformats.org/officeDocument/2006/relationships/hyperlink" Target="https://login.consultant.ru/link/?req=doc&amp;base=LAW&amp;n=491815&amp;dst=100176" TargetMode = "External"/>
	<Relationship Id="rId23" Type="http://schemas.openxmlformats.org/officeDocument/2006/relationships/hyperlink" Target="https://login.consultant.ru/link/?req=doc&amp;base=LAW&amp;n=491815&amp;dst=100112" TargetMode = "External"/>
	<Relationship Id="rId24" Type="http://schemas.openxmlformats.org/officeDocument/2006/relationships/hyperlink" Target="https://login.consultant.ru/link/?req=doc&amp;base=LAW&amp;n=491815&amp;dst=100153" TargetMode = "External"/>
	<Relationship Id="rId25" Type="http://schemas.openxmlformats.org/officeDocument/2006/relationships/hyperlink" Target="https://login.consultant.ru/link/?req=doc&amp;base=LAW&amp;n=491815&amp;dst=100161" TargetMode = "External"/>
	<Relationship Id="rId26" Type="http://schemas.openxmlformats.org/officeDocument/2006/relationships/hyperlink" Target="https://login.consultant.ru/link/?req=doc&amp;base=LAW&amp;n=491815&amp;dst=100186" TargetMode = "External"/>
	<Relationship Id="rId27" Type="http://schemas.openxmlformats.org/officeDocument/2006/relationships/hyperlink" Target="https://login.consultant.ru/link/?req=doc&amp;base=LAW&amp;n=491815&amp;dst=100196" TargetMode = "External"/>
	<Relationship Id="rId28" Type="http://schemas.openxmlformats.org/officeDocument/2006/relationships/hyperlink" Target="https://login.consultant.ru/link/?req=doc&amp;base=LAW&amp;n=491815&amp;dst=100201" TargetMode = "External"/>
	<Relationship Id="rId29" Type="http://schemas.openxmlformats.org/officeDocument/2006/relationships/hyperlink" Target="https://login.consultant.ru/link/?req=doc&amp;base=LAW&amp;n=491815&amp;dst=100330"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4024.00.51</Application>
  <Company>КонсультантПлюс Версия 4024.00.51</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Миннаца КБР от 11.07.2024 N 74
"О порядке предоставления субсидий из республиканского бюджета Кабардино-Балкарской Республики некоммерческим организациям по направлению "Профилактика терроризма и экстремизма в Кабардино-Балкарской Республике"</dc:title>
  <dcterms:created xsi:type="dcterms:W3CDTF">2025-01-12T12:18:25Z</dcterms:created>
</cp:coreProperties>
</file>