
<file path=[Content_Types].xml><?xml version="1.0" encoding="utf-8"?>
<Types xmlns="http://schemas.openxmlformats.org/package/2006/content-types">
  <Default Extension="png" ContentType="image/png"/>
  <Default Extension="jpeg" ContentType="image/jpeg"/>
  <Default Extension="bmp" ContentType="image/bmp"/>
  <Default Extension="rels" ContentType="application/vnd.openxmlformats-package.relationships+xml"/>
  <Default Extension="xml" ContentType="application/xml"/>
  <Default Extension="emf" ContentType="image/x-emf"/>
  <Default Extension="wmf" ContentType="image/x-wmf"/>
  <Override PartName="/word/document.xml" ContentType="application/vnd.openxmlformats-officedocument.wordprocessingml.document.main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</Types>
</file>

<file path=_rels/.rels>&#65279;<?xml version="1.0" encoding="UTF-8" standalone="yes"?>
<Relationships xmlns="http://schemas.openxmlformats.org/package/2006/relationships">
	<Relationship Id="rId1" Type="http://schemas.openxmlformats.org/officeDocument/2006/relationships/officeDocument" Target="word/document.xml"/>
	<Relationship Id="rId2" Type="http://schemas.openxmlformats.org/package/2006/relationships/metadata/core-properties" Target="docProps/core.xml"/>
	<Relationship Id="rId3" Type="http://schemas.openxmlformats.org/officeDocument/2006/relationships/extended-properties" Target="docProps/app.xml"/>
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Ind w:w="0" w:type="dxa"/>
        <w:tblW w:w="5000" w:type="pct"/>
        <w:tblBorders>
          <w:top w:val="nil"/>
          <w:left w:val="nil"/>
          <w:bottom w:val="nil"/>
          <w:right w:val="nil"/>
          <w:insideV w:val="nil"/>
          <w:insideH w:val="nil"/>
        </w:tblBorders>
      </w:tblPr>
      <w:tblGrid>
        <w:gridCol w:w="10716"/>
      </w:tblGrid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</w:pPr>
            <w:r>
              <w:rPr>
                <w:position w:val="-61"/>
              </w:rPr>
              <w:drawing>
                <wp:inline distT="0" distB="0" distL="0" distR="0">
                  <wp:extent cx="3810000" cy="904875"/>
                  <wp:effectExtent l="0" t="0" r="0" b="0"/>
                  <wp:docPr id="1" name="Консультант Плюс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 preferRelativeResize="0"/>
                        </pic:nvPicPr>
                        <pic:blipFill>
                          <a:blip r:embed="rId2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10000" cy="904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rPr>
          <w:trHeight w:val="8335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48"/>
              </w:rPr>
              <w:t xml:space="preserve">Распоряжение Правительства КБР от 28.12.2024 N 850-рп</w:t>
              <w:br/>
              <w:t xml:space="preserve">&lt;Об утверждении региональной программы "Активное долголетие в Кабардино-Балкарской Республике" на 2025 - 2030 годы&gt;</w:t>
            </w:r>
          </w:p>
        </w:tc>
      </w:tr>
      <w:tr>
        <w:trPr>
          <w:trHeight w:val="3031" w:hRule="exact"/>
        </w:trPr>
        <w:tblPrEx>
          <w:tblBorders>
            <w:top w:val="nil"/>
            <w:left w:val="nil"/>
            <w:bottom w:val="nil"/>
            <w:right w:val="nil"/>
            <w:insideV w:val="nil"/>
            <w:insideH w:val="nil"/>
          </w:tblBorders>
        </w:tblPrEx>
        <w:tc>
          <w:tcPr>
            <w:tcW w:w="10716" w:type="dxa"/>
            <w:vAlign w:val="center"/>
            <w:tcMar>
              <w:top w:w="60" w:type="dxa"/>
              <w:left w:w="80" w:type="dxa"/>
              <w:bottom w:w="60" w:type="dxa"/>
              <w:right w:w="80" w:type="dxa"/>
            </w:tcMar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5"/>
              <w:jc w:val="center"/>
            </w:pPr>
            <w:r>
              <w:rPr>
                <w:sz w:val="28"/>
              </w:rPr>
              <w:t xml:space="preserve">Документ предоставлен </w:t>
            </w:r>
            <w:hyperlink w:history="0" r:id="rId3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КонсультантПлюс</w:t>
                <w:br/>
                <w:br/>
              </w:r>
            </w:hyperlink>
            <w:hyperlink w:history="0" r:id="rId4" w:tooltip="Ссылка на КонсультантПлюс">
              <w:r>
                <w:rPr>
                  <w:sz w:val="28"/>
                  <w:color w:val="0000ff"/>
                  <w:b w:val="on"/>
                </w:rPr>
                <w:t xml:space="preserve">www.consultant.ru</w:t>
              </w:r>
            </w:hyperlink>
            <w:r>
              <w:rPr>
                <w:sz w:val="28"/>
              </w:rPr>
              <w:br/>
              <w:br/>
              <w:t xml:space="preserve">Дата сохранения: 31.05.2025</w:t>
            </w:r>
            <w:r>
              <w:rPr>
                <w:sz w:val="28"/>
              </w:rPr>
              <w:br/>
              <w:t xml:space="preserve"> </w:t>
            </w:r>
          </w:p>
        </w:tc>
      </w:tr>
    </w:tbl>
    <w:p>
      <w:pPr>
        <w:sectPr>
          <w:pgSz w:w="11906" w:h="16838"/>
          <w:pgMar w:top="841" w:right="595" w:bottom="841" w:left="595" w:header="0" w:footer="0" w:gutter="0"/>
          <w:titlePg/>
        </w:sectPr>
      </w:pPr>
    </w:p>
    <w:p>
      <w:pPr>
        <w:pStyle w:val="0"/>
        <w:outlineLvl w:val="0"/>
      </w:pPr>
      <w:r>
        <w:rPr>
          <w:sz w:val="20"/>
        </w:rPr>
      </w:r>
    </w:p>
    <w:p>
      <w:pPr>
        <w:pStyle w:val="2"/>
        <w:outlineLvl w:val="0"/>
        <w:jc w:val="center"/>
      </w:pPr>
      <w:r>
        <w:rPr>
          <w:sz w:val="20"/>
        </w:rPr>
        <w:t xml:space="preserve">ПРАВИТЕЛЬСТВО КАБАРДИНО-БАЛКАРСКОЙ РЕСПУБЛИКИ</w:t>
      </w:r>
    </w:p>
    <w:p>
      <w:pPr>
        <w:pStyle w:val="2"/>
        <w:jc w:val="center"/>
      </w:pPr>
      <w:r>
        <w:rPr>
          <w:sz w:val="20"/>
        </w:rPr>
      </w:r>
    </w:p>
    <w:p>
      <w:pPr>
        <w:pStyle w:val="2"/>
        <w:jc w:val="center"/>
      </w:pPr>
      <w:r>
        <w:rPr>
          <w:sz w:val="20"/>
        </w:rPr>
        <w:t xml:space="preserve">РАСПОРЯЖЕНИЕ</w:t>
      </w:r>
    </w:p>
    <w:p>
      <w:pPr>
        <w:pStyle w:val="2"/>
        <w:jc w:val="center"/>
      </w:pPr>
      <w:r>
        <w:rPr>
          <w:sz w:val="20"/>
        </w:rPr>
        <w:t xml:space="preserve">от 28 декабря 2024 г. N 850-рп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целях реализации федерального проекта "Старшее поколение" национального проекта "Семья":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1. Утвердить прилагаемую региональную </w:t>
      </w:r>
      <w:hyperlink w:history="0" w:anchor="P27" w:tooltip="РЕГИОНАЛЬНАЯ ПРОГРАММА">
        <w:r>
          <w:rPr>
            <w:sz w:val="20"/>
            <w:color w:val="0000ff"/>
          </w:rPr>
          <w:t xml:space="preserve">программу</w:t>
        </w:r>
      </w:hyperlink>
      <w:r>
        <w:rPr>
          <w:sz w:val="20"/>
        </w:rPr>
        <w:t xml:space="preserve"> "Активное долголетие в Кабардино-Балкарской Республике" на 2025 - 2030 годы (далее - региональная программа).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2. Определить Министерство труда и социальной защиты Кабардино-Балкарской Республики уполномоченным органом, ответственным за координацию и мониторинг мероприятий, осуществляемых в рамках региональной </w:t>
      </w:r>
      <w:hyperlink w:history="0" w:anchor="P27" w:tooltip="РЕГИОНАЛЬНАЯ ПРОГРАММА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3. Органам государственной власти Кабардино-Балкарской Республики, участвующим в реализации региональной </w:t>
      </w:r>
      <w:hyperlink w:history="0" w:anchor="P27" w:tooltip="РЕГИОНАЛЬНАЯ ПРОГРАММА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, ежегодно, до 25 января года, следующего за отчетным периодом, представлять в Министерство труда и социальной защиты Кабардино-Балкарской Республики информацию о ходе реализации региональной </w:t>
      </w:r>
      <w:hyperlink w:history="0" w:anchor="P27" w:tooltip="РЕГИОНАЛЬНАЯ ПРОГРАММА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4. Рекомендовать органам местного самоуправления при осуществлении деятельности, направленной на улучшение качества жизни граждан старшего поколения, учитывать мероприятия региональной </w:t>
      </w:r>
      <w:hyperlink w:history="0" w:anchor="P27" w:tooltip="РЕГИОНАЛЬНАЯ ПРОГРАММА">
        <w:r>
          <w:rPr>
            <w:sz w:val="20"/>
            <w:color w:val="0000ff"/>
          </w:rPr>
          <w:t xml:space="preserve">программы</w:t>
        </w:r>
      </w:hyperlink>
      <w:r>
        <w:rPr>
          <w:sz w:val="20"/>
        </w:rPr>
        <w:t xml:space="preserve">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5. Контроль за исполнением настоящего распоряжения возложить на заместителя Председателя Правительства Кабардино-Балкарской Республики Хубиева М.Б.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right"/>
      </w:pPr>
      <w:r>
        <w:rPr>
          <w:sz w:val="20"/>
        </w:rPr>
        <w:t xml:space="preserve">Председатель Правительства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right"/>
      </w:pPr>
      <w:r>
        <w:rPr>
          <w:sz w:val="20"/>
        </w:rPr>
        <w:t xml:space="preserve">А.МУСУКОВ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0"/>
        <w:jc w:val="right"/>
      </w:pPr>
      <w:r>
        <w:rPr>
          <w:sz w:val="20"/>
        </w:rPr>
        <w:t xml:space="preserve">Утверждена</w:t>
      </w:r>
    </w:p>
    <w:p>
      <w:pPr>
        <w:pStyle w:val="0"/>
        <w:jc w:val="right"/>
      </w:pPr>
      <w:r>
        <w:rPr>
          <w:sz w:val="20"/>
        </w:rPr>
        <w:t xml:space="preserve">распоряжением</w:t>
      </w:r>
    </w:p>
    <w:p>
      <w:pPr>
        <w:pStyle w:val="0"/>
        <w:jc w:val="right"/>
      </w:pPr>
      <w:r>
        <w:rPr>
          <w:sz w:val="20"/>
        </w:rPr>
        <w:t xml:space="preserve">Правительства</w:t>
      </w:r>
    </w:p>
    <w:p>
      <w:pPr>
        <w:pStyle w:val="0"/>
        <w:jc w:val="right"/>
      </w:pPr>
      <w:r>
        <w:rPr>
          <w:sz w:val="20"/>
        </w:rPr>
        <w:t xml:space="preserve">Кабардино-Балкарской Республики</w:t>
      </w:r>
    </w:p>
    <w:p>
      <w:pPr>
        <w:pStyle w:val="0"/>
        <w:jc w:val="right"/>
      </w:pPr>
      <w:r>
        <w:rPr>
          <w:sz w:val="20"/>
        </w:rPr>
        <w:t xml:space="preserve">от 28 декабря 2024 г. N 850-рп</w:t>
      </w:r>
    </w:p>
    <w:p>
      <w:pPr>
        <w:pStyle w:val="0"/>
        <w:jc w:val="both"/>
      </w:pPr>
      <w:r>
        <w:rPr>
          <w:sz w:val="20"/>
        </w:rPr>
      </w:r>
    </w:p>
    <w:bookmarkStart w:id="27" w:name="P27"/>
    <w:bookmarkEnd w:id="27"/>
    <w:p>
      <w:pPr>
        <w:pStyle w:val="2"/>
        <w:jc w:val="center"/>
      </w:pPr>
      <w:r>
        <w:rPr>
          <w:sz w:val="20"/>
        </w:rPr>
        <w:t xml:space="preserve">РЕГИОНАЛЬНАЯ ПРОГРАММА</w:t>
      </w:r>
    </w:p>
    <w:p>
      <w:pPr>
        <w:pStyle w:val="2"/>
        <w:jc w:val="center"/>
      </w:pPr>
      <w:r>
        <w:rPr>
          <w:sz w:val="20"/>
        </w:rPr>
        <w:t xml:space="preserve">"АКТИВНОЕ ДОЛГОЛЕТИЕ В КАБАРДИНО-БАЛКАРСКОЙ РЕСПУБЛИКЕ"</w:t>
      </w:r>
    </w:p>
    <w:p>
      <w:pPr>
        <w:pStyle w:val="2"/>
        <w:jc w:val="center"/>
      </w:pPr>
      <w:r>
        <w:rPr>
          <w:sz w:val="20"/>
        </w:rPr>
        <w:t xml:space="preserve">НА 2025 - 2030 ГОДЫ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2701"/>
        <w:gridCol w:w="6350"/>
      </w:tblGrid>
      <w:t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Наименование региональной программы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"Активное долголетие в Кабардино-Балкарской Республике" на 2025 - 2030 годы (далее - региональная программа)</w:t>
            </w:r>
          </w:p>
        </w:tc>
      </w:tr>
      <w:t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Ответственный исполнитель региональной программы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Министерство труда и социальной защиты Кабардино-Балкарской Республики (далее - Минтрудсоцзащиты КБР)</w:t>
            </w:r>
          </w:p>
        </w:tc>
      </w:tr>
      <w:t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Соисполнители региональной программы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Министерство здравоохранения Кабардино-Балкарской Республики;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спорта Кабардино-Балкарской Республики;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культуры Республики Кабардино-Балкарской Республики;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просвещения и науки Кабардино-Балкарской Республики;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по делам молодежи Кабардино-Балкарской Республики;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по делам национальностей и общественным проектам Кабардино-Балкарской Республики;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курортов Кабардино-Балкарской Республики;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цифрового развития, связи и массовых коммуникаций Кабардино-Балкарской Республики;</w:t>
            </w:r>
          </w:p>
          <w:p>
            <w:pPr>
              <w:pStyle w:val="0"/>
            </w:pPr>
            <w:r>
              <w:rPr>
                <w:sz w:val="20"/>
              </w:rPr>
              <w:t xml:space="preserve">Министерство транспорта и дорожного хозяйства Кабардино-Балкарской Республики;</w:t>
            </w:r>
          </w:p>
          <w:p>
            <w:pPr>
              <w:pStyle w:val="0"/>
            </w:pPr>
            <w:r>
              <w:rPr>
                <w:sz w:val="20"/>
              </w:rPr>
              <w:t xml:space="preserve">органы местного самоуправления муниципальных образований</w:t>
            </w:r>
          </w:p>
        </w:tc>
      </w:tr>
      <w:tr>
        <w:tc>
          <w:tcPr>
            <w:gridSpan w:val="2"/>
            <w:tcW w:w="9051" w:type="dxa"/>
            <w:tcBorders>
              <w:top w:val="nil"/>
              <w:left w:val="nil"/>
              <w:bottom w:val="nil"/>
              <w:right w:val="nil"/>
            </w:tcBorders>
          </w:tcPr>
          <w:tbl>
            <w:tblPr>
              <w:tblInd w:w="0" w:type="dxa"/>
              <w:tblW w:w="5000" w:type="pct"/>
              <w:tblBorders>
                <w:top w:val="nil"/>
                <w:left w:val="nil"/>
                <w:bottom w:val="nil"/>
                <w:right w:val="nil"/>
                <w:insideV w:val="nil"/>
                <w:insideH w:val="nil"/>
              </w:tblBorders>
            </w:tblPr>
            <w:tblGrid>
              <w:gridCol w:w="60"/>
              <w:gridCol w:w="113"/>
              <w:gridCol w:w="9921"/>
              <w:gridCol w:w="113"/>
            </w:tblGrid>
            <w:tr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fill="ced3f1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/>
              </w:tc>
              <w:tc>
                <w:tcPr>
                  <w:tcW w:w="11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fill="f4f3f8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/>
              </w:tc>
              <w:tc>
                <w:tcPr>
                  <w:tcW w:w="0" w:type="auto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  <w:shd w:val="clear" w:fill="f4f3f8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0"/>
                    <w:jc w:val="both"/>
                  </w:pPr>
                  <w:r>
                    <w:rPr>
                      <w:sz w:val="20"/>
                      <w:color w:val="392c69"/>
                    </w:rPr>
                    <w:t xml:space="preserve">КонсультантПлюс: примечание.</w:t>
                  </w:r>
                </w:p>
                <w:p>
                  <w:pPr>
                    <w:pStyle w:val="0"/>
                    <w:jc w:val="both"/>
                  </w:pPr>
                  <w:r>
                    <w:rPr>
                      <w:sz w:val="20"/>
                      <w:color w:val="392c69"/>
                    </w:rPr>
                    <w:t xml:space="preserve">В официальном тексте документа, видимо, допущена опечатка: государственная программа, утвержденная постановлением Правительства Кабардино-Балкарской Республики от 18 ноября 2019 г. N 202-ПП, имеет наименование "Социальная поддержка населения Кабардино-Балкарской Республики".</w:t>
                  </w:r>
                </w:p>
              </w:tc>
              <w:tc>
                <w:tcPr>
                  <w:tcW w:w="11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fill="f4f3f8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/>
              </w:tc>
            </w:tr>
          </w:tbl>
          <w:p/>
        </w:tc>
      </w:tr>
      <w:t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Связь с государственными программами Кабардино-Балкарской Республики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государственная </w:t>
            </w:r>
            <w:hyperlink w:history="0" r:id="rId7" w:tooltip="Постановление Правительства КБР от 18.11.2019 N 202-ПП (ред. от 08.02.2024) &quot;О государственной программе Кабардино-Балкарской Республики &quot;Социальная поддержка населения Кабардино-Балкарской Республики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Кабардино-Балкарской Республики "Социальная поддержка граждан Кабардино-Балкарской Республики", утвержденная постановлением Правительства Кабардино-Балкарской Республики от 18 ноября 2019 г. N 202-ПП;</w:t>
            </w:r>
          </w:p>
          <w:p>
            <w:pPr>
              <w:pStyle w:val="0"/>
            </w:pPr>
            <w:r>
              <w:rPr>
                <w:sz w:val="20"/>
              </w:rPr>
              <w:t xml:space="preserve">государственная </w:t>
            </w:r>
            <w:hyperlink w:history="0" r:id="rId8" w:tooltip="Постановление Правительства КБР от 23.10.2019 N 184-ПП (ред. от 27.12.2023) &quot;О государственной программе Кабардино-Балкарской Республики &quot;Развитие здравоохранения в Кабардино-Балкарской Республике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Кабардино-Балкарской Республики "Развитие здравоохранения в Кабардино-Балкарской Республике", утвержденная постановлением Правительства Кабардино-Балкарской Республики от 23 октября 2019 г. N 184-ПП;</w:t>
            </w:r>
          </w:p>
          <w:p>
            <w:pPr>
              <w:pStyle w:val="0"/>
            </w:pPr>
            <w:r>
              <w:rPr>
                <w:sz w:val="20"/>
              </w:rPr>
              <w:t xml:space="preserve">государственная </w:t>
            </w:r>
            <w:hyperlink w:history="0" r:id="rId9" w:tooltip="Постановление Правительства КБР от 30.09.2019 N 176-ПП (ред. от 22.01.2024) &quot;О государственной программе Кабардино-Балкарской Республики &quot;Содействие занятости населения Кабардино-Балкарской Республики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Кабардино-Балкарской Республики "Содействие занятости населения Кабардино-Балкарской Республики", утвержденная постановлением Правительства Кабардино-Балкарской Республики от 30 сентября 2019 г. N 176-ПП;</w:t>
            </w:r>
          </w:p>
          <w:p>
            <w:pPr>
              <w:pStyle w:val="0"/>
            </w:pPr>
            <w:r>
              <w:rPr>
                <w:sz w:val="20"/>
              </w:rPr>
              <w:t xml:space="preserve">государственная </w:t>
            </w:r>
            <w:hyperlink w:history="0" r:id="rId10" w:tooltip="Постановление Правительства КБР от 17.09.2013 N 256-ПП (ред. от 28.12.2020) &quot;О Государственной программе Кабардино-Балкарской Республики &quot;Культура Кабардино-Балкарии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Кабардино-Балкарской Республики "Культура Кабардино-Балкарии", утвержденная постановлением Правительства Кабардино-Балкарской Республики от 17 сентября 2013 г. N 256-ПП;</w:t>
            </w:r>
          </w:p>
          <w:p>
            <w:pPr>
              <w:pStyle w:val="0"/>
            </w:pPr>
            <w:r>
              <w:rPr>
                <w:sz w:val="20"/>
              </w:rPr>
              <w:t xml:space="preserve">государственная </w:t>
            </w:r>
            <w:hyperlink w:history="0" r:id="rId11" w:tooltip="Постановление Правительства КБР от 02.12.2019 N 213-ПП (ред. от 22.12.2023) &quot;О государственной программе Кабардино-Балкарской Республики &quot;Развитие физической культуры и спорта в Кабардино-Балкарской Республике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Кабардино-Балкарской Республики "Развитие физической культуры и спорта в Кабардино-Балкарской Республике", утвержденная постановлением Правительства Кабардино-Балкарской Республики от 2 декабря 2019 г. N 213-ПП;</w:t>
            </w:r>
          </w:p>
          <w:p>
            <w:pPr>
              <w:pStyle w:val="0"/>
            </w:pPr>
            <w:r>
              <w:rPr>
                <w:sz w:val="20"/>
              </w:rPr>
              <w:t xml:space="preserve">государственная </w:t>
            </w:r>
            <w:hyperlink w:history="0" r:id="rId12" w:tooltip="Постановление Правительства КБР от 06.12.2022 N 262-ПП (ред. от 03.03.2025) &quot;О государственной программе Кабардино-Балкарской Республики &quot;Развитие молодежной политики в Кабардино-Балкарской Республике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Кабардино-Балкарской Республики Кабардино-Балкарской Республики "Развитие молодежной политики в Кабардино-Балкарской Республике", утвержденная постановлением Правительства Кабардино-Балкарской Республики от 6 декабря 2022 г. N 262-ПП;</w:t>
            </w:r>
          </w:p>
          <w:p>
            <w:pPr>
              <w:pStyle w:val="0"/>
            </w:pPr>
            <w:r>
              <w:rPr>
                <w:sz w:val="20"/>
              </w:rPr>
              <w:t xml:space="preserve">государственная </w:t>
            </w:r>
            <w:hyperlink w:history="0" r:id="rId13" w:tooltip="Постановление Правительства КБР от 30.03.2016 N 46-ПП (ред. от 21.12.2020) &quot;О государственной программе Кабардино-Балкарской Республики &quot;Взаимодействие с общественными организациями и институтами гражданского общества в Кабардино-Балкарской Республике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Кабардино-Балкарской Республики "Взаимодействие с общественными организациями и институтами гражданского общества в Кабардино-Балкарской Республике", утвержденная постановлением Правительства Кабардино-Балкарской Республики от 30 марта 2016 г. N 46-ПП;</w:t>
            </w:r>
          </w:p>
          <w:p>
            <w:pPr>
              <w:pStyle w:val="0"/>
            </w:pPr>
            <w:r>
              <w:rPr>
                <w:sz w:val="20"/>
              </w:rPr>
              <w:t xml:space="preserve">государственная </w:t>
            </w:r>
            <w:hyperlink w:history="0" r:id="rId14" w:tooltip="Постановление Правительства КБР от 28.06.2013 N 183-ПП (ред. от 29.12.2020) &quot;О государственной программе Кабардино-Балкарской Республики &quot;Развитие туристско-рекреационного комплекса Кабардино-Балкарской Республики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Кабардино-Балкарской Республики "Развитие туристско-рекреационного комплекса Кабардино-Балкарской Республики", утвержденная постановлением Правительства Кабардино-Балкарской Республики от 28 июня 2013 г. N 183-ПП;</w:t>
            </w:r>
          </w:p>
          <w:p>
            <w:pPr>
              <w:pStyle w:val="0"/>
            </w:pPr>
            <w:r>
              <w:rPr>
                <w:sz w:val="20"/>
              </w:rPr>
              <w:t xml:space="preserve">государственная </w:t>
            </w:r>
            <w:hyperlink w:history="0" r:id="rId15" w:tooltip="Постановление Правительства КБР от 31.08.2017 N 156-ПП (ред. от 19.12.2024) &quot;Об утверждении государственной программы Кабардино-Балкарской Республики &quot;Формирование современной городской среды&quot; {КонсультантПлюс}">
              <w:r>
                <w:rPr>
                  <w:sz w:val="20"/>
                  <w:color w:val="0000ff"/>
                </w:rPr>
                <w:t xml:space="preserve">программа</w:t>
              </w:r>
            </w:hyperlink>
            <w:r>
              <w:rPr>
                <w:sz w:val="20"/>
              </w:rPr>
              <w:t xml:space="preserve"> Кабардино-Балкарской Республики "Формирование современной городской среды", утвержденная постановлением Правительства Кабардино-Балкарской Республики от 31 августа 2017 г. N 156-ПП</w:t>
            </w:r>
          </w:p>
        </w:tc>
      </w:tr>
      <w:t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Цель региональной программы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увеличение периода активного долголетия и продолжительности здоровой жизни граждан старшего поколения, повышение качества жизни граждан старшего поколения</w:t>
            </w:r>
          </w:p>
        </w:tc>
      </w:tr>
      <w:t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Задачи региональной программы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создание условий для увеличения периода активного долголетия граждан старшего поколения и реализации их личностного потенциала;</w:t>
            </w:r>
          </w:p>
          <w:p>
            <w:pPr>
              <w:pStyle w:val="0"/>
            </w:pPr>
            <w:r>
              <w:rPr>
                <w:sz w:val="20"/>
              </w:rPr>
              <w:t xml:space="preserve">совершенствование системы охраны здоровья граждан старшего поколения, развитие медицинской помощи, в том числе по профилю "гериатрия";</w:t>
            </w:r>
          </w:p>
          <w:p>
            <w:pPr>
              <w:pStyle w:val="0"/>
            </w:pPr>
            <w:r>
              <w:rPr>
                <w:sz w:val="20"/>
              </w:rPr>
              <w:t xml:space="preserve">развитие социальных услуг для граждан старшего поколения, продлевающих их здоровую жизнь и обеспечивающих качественный уход;</w:t>
            </w:r>
          </w:p>
          <w:p>
            <w:pPr>
              <w:pStyle w:val="0"/>
              <w:ind w:left="14"/>
            </w:pPr>
            <w:r>
              <w:rPr>
                <w:sz w:val="20"/>
              </w:rPr>
              <w:t xml:space="preserve">повышение финансовой обеспеченности граждан старшего поколения, создание условий для их занятости и доступности образовательных и просветительских программ;</w:t>
            </w:r>
          </w:p>
          <w:p>
            <w:pPr>
              <w:pStyle w:val="0"/>
            </w:pPr>
            <w:r>
              <w:rPr>
                <w:sz w:val="20"/>
              </w:rPr>
              <w:t xml:space="preserve">создание условий для систематических занятий граждан старшего поколения физической культурой и спортом;</w:t>
            </w:r>
          </w:p>
          <w:p>
            <w:pPr>
              <w:pStyle w:val="0"/>
            </w:pPr>
            <w:r>
              <w:rPr>
                <w:sz w:val="20"/>
              </w:rPr>
              <w:t xml:space="preserve">вовлечение граждан старшего поколения в культурную жизнь общества, создание условий для реализации их творческого потенциала;</w:t>
            </w:r>
          </w:p>
          <w:p>
            <w:pPr>
              <w:pStyle w:val="0"/>
            </w:pPr>
            <w:r>
              <w:rPr>
                <w:sz w:val="20"/>
              </w:rPr>
              <w:t xml:space="preserve">развитие добровольческой (волонтерской) деятельности граждан старшего поколения;</w:t>
            </w:r>
          </w:p>
          <w:p>
            <w:pPr>
              <w:pStyle w:val="0"/>
              <w:ind w:left="14"/>
            </w:pPr>
            <w:r>
              <w:rPr>
                <w:sz w:val="20"/>
              </w:rPr>
              <w:t xml:space="preserve">развитие инфраструктуры для качественной и безопасной жизни граждан старшего поколения;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создание условий для обеспечения гражданам старшего поколения доступа к информации</w:t>
            </w:r>
          </w:p>
        </w:tc>
      </w:tr>
      <w:t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Целевые показатели (индикаторы) региональной программы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ожидаемая продолжительность жизни при рождении;</w:t>
            </w:r>
          </w:p>
          <w:p>
            <w:pPr>
              <w:pStyle w:val="0"/>
            </w:pPr>
            <w:r>
              <w:rPr>
                <w:sz w:val="20"/>
              </w:rPr>
              <w:t xml:space="preserve">доля граждан старшего поколения, вовлеченных в региональную программу в общей численности граждан старшего поколения;</w:t>
            </w:r>
          </w:p>
          <w:p>
            <w:pPr>
              <w:pStyle w:val="0"/>
            </w:pPr>
            <w:r>
              <w:rPr>
                <w:sz w:val="20"/>
              </w:rPr>
              <w:t xml:space="preserve">доля граждан старшего поколения, получивших социальное обслуживание, в общей численности граждан старшего поколения, признанных нуждающимися в социальном обслуживании;</w:t>
            </w:r>
          </w:p>
          <w:p>
            <w:pPr>
              <w:pStyle w:val="0"/>
            </w:pPr>
            <w:r>
              <w:rPr>
                <w:sz w:val="20"/>
              </w:rPr>
              <w:t xml:space="preserve">доля пожилых граждан и инвалидов, получающих долговременный уход, от общего числа нуждающихся;</w:t>
            </w:r>
          </w:p>
          <w:p>
            <w:pPr>
              <w:pStyle w:val="0"/>
            </w:pPr>
            <w:r>
              <w:rPr>
                <w:sz w:val="20"/>
              </w:rPr>
              <w:t xml:space="preserve">доля граждан в возрасте от 55 лет (женщины) и от 60 лет (мужчины), систематически занимающихся физической культурой и спортом, в общей численности граждан указанной возрастной категории;</w:t>
            </w:r>
          </w:p>
          <w:p>
            <w:pPr>
              <w:pStyle w:val="0"/>
            </w:pPr>
            <w:r>
              <w:rPr>
                <w:sz w:val="20"/>
              </w:rPr>
              <w:t xml:space="preserve">обеспеченность геронтологическими койками на 10000 населения в возрасте 60 лет и старше</w:t>
            </w:r>
          </w:p>
        </w:tc>
      </w:tr>
      <w:t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Сроки реализации региональной программы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2025 - 2030 годы</w:t>
            </w:r>
          </w:p>
        </w:tc>
      </w:tr>
      <w:t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Ресурсное обеспечение региональной программы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реализация мероприятий региональной программы осуществляется в пределах средств, предусмотренных в рамках:</w:t>
            </w:r>
          </w:p>
          <w:p>
            <w:pPr>
              <w:pStyle w:val="0"/>
            </w:pPr>
            <w:r>
              <w:rPr>
                <w:sz w:val="20"/>
              </w:rPr>
              <w:t xml:space="preserve">государственной </w:t>
            </w:r>
            <w:hyperlink w:history="0" r:id="rId16" w:tooltip="Постановление Правительства КБР от 18.11.2019 N 202-ПП (ред. от 08.02.2024) &quot;О государственной программе Кабардино-Балкарской Республики &quot;Социальная поддержка населения Кабардино-Балкарской Республики&quot; {КонсультантПлюс}">
              <w:r>
                <w:rPr>
                  <w:sz w:val="20"/>
                  <w:color w:val="0000ff"/>
                </w:rPr>
                <w:t xml:space="preserve">программы</w:t>
              </w:r>
            </w:hyperlink>
            <w:r>
              <w:rPr>
                <w:sz w:val="20"/>
              </w:rPr>
              <w:t xml:space="preserve"> Кабардино-Балкарской Республики "Социальная поддержка граждан";</w:t>
            </w:r>
          </w:p>
          <w:p>
            <w:pPr>
              <w:pStyle w:val="0"/>
            </w:pPr>
            <w:r>
              <w:rPr>
                <w:sz w:val="20"/>
              </w:rPr>
              <w:t xml:space="preserve">государственной </w:t>
            </w:r>
            <w:hyperlink w:history="0" r:id="rId17" w:tooltip="Постановление Правительства КБР от 23.10.2019 N 184-ПП (ред. от 27.12.2023) &quot;О государственной программе Кабардино-Балкарской Республики &quot;Развитие здравоохранения в Кабардино-Балкарской Республике&quot; {КонсультантПлюс}">
              <w:r>
                <w:rPr>
                  <w:sz w:val="20"/>
                  <w:color w:val="0000ff"/>
                </w:rPr>
                <w:t xml:space="preserve">программы</w:t>
              </w:r>
            </w:hyperlink>
            <w:r>
              <w:rPr>
                <w:sz w:val="20"/>
              </w:rPr>
              <w:t xml:space="preserve"> Кабардино-Балкарской Республики "Развитие здравоохранения";</w:t>
            </w:r>
          </w:p>
          <w:p>
            <w:pPr>
              <w:pStyle w:val="0"/>
            </w:pPr>
            <w:r>
              <w:rPr>
                <w:sz w:val="20"/>
              </w:rPr>
              <w:t xml:space="preserve">государственной </w:t>
            </w:r>
            <w:hyperlink w:history="0" r:id="rId18" w:tooltip="Постановление Правительства КБР от 30.09.2019 N 176-ПП (ред. от 22.01.2024) &quot;О государственной программе Кабардино-Балкарской Республики &quot;Содействие занятости населения Кабардино-Балкарской Республики&quot; {КонсультантПлюс}">
              <w:r>
                <w:rPr>
                  <w:sz w:val="20"/>
                  <w:color w:val="0000ff"/>
                </w:rPr>
                <w:t xml:space="preserve">программы</w:t>
              </w:r>
            </w:hyperlink>
            <w:r>
              <w:rPr>
                <w:sz w:val="20"/>
              </w:rPr>
              <w:t xml:space="preserve"> Кабардино-Балкарской Республики "Содействие занятости населения";</w:t>
            </w:r>
          </w:p>
          <w:p>
            <w:pPr>
              <w:pStyle w:val="0"/>
            </w:pPr>
            <w:r>
              <w:rPr>
                <w:sz w:val="20"/>
              </w:rPr>
              <w:t xml:space="preserve">государственной </w:t>
            </w:r>
            <w:hyperlink w:history="0" r:id="rId19" w:tooltip="Постановление Правительства КБР от 17.09.2013 N 256-ПП (ред. от 28.12.2020) &quot;О Государственной программе Кабардино-Балкарской Республики &quot;Культура Кабардино-Балкарии&quot; {КонсультантПлюс}">
              <w:r>
                <w:rPr>
                  <w:sz w:val="20"/>
                  <w:color w:val="0000ff"/>
                </w:rPr>
                <w:t xml:space="preserve">программы</w:t>
              </w:r>
            </w:hyperlink>
            <w:r>
              <w:rPr>
                <w:sz w:val="20"/>
              </w:rPr>
              <w:t xml:space="preserve"> Кабардино-Балкарской Республики "Развитие культуры";</w:t>
            </w:r>
          </w:p>
          <w:p>
            <w:pPr>
              <w:pStyle w:val="0"/>
            </w:pPr>
            <w:r>
              <w:rPr>
                <w:sz w:val="20"/>
              </w:rPr>
              <w:t xml:space="preserve">государственной </w:t>
            </w:r>
            <w:hyperlink w:history="0" r:id="rId20" w:tooltip="Постановление Правительства КБР от 02.12.2019 N 213-ПП (ред. от 22.12.2023) &quot;О государственной программе Кабардино-Балкарской Республики &quot;Развитие физической культуры и спорта в Кабардино-Балкарской Республике&quot; {КонсультантПлюс}">
              <w:r>
                <w:rPr>
                  <w:sz w:val="20"/>
                  <w:color w:val="0000ff"/>
                </w:rPr>
                <w:t xml:space="preserve">программы</w:t>
              </w:r>
            </w:hyperlink>
            <w:r>
              <w:rPr>
                <w:sz w:val="20"/>
              </w:rPr>
              <w:t xml:space="preserve"> Кабардино-Балкарской Республики "Развитие физической культуры и спорта"</w:t>
            </w:r>
          </w:p>
          <w:p>
            <w:pPr>
              <w:pStyle w:val="0"/>
            </w:pPr>
            <w:r>
              <w:rPr>
                <w:sz w:val="20"/>
              </w:rPr>
              <w:t xml:space="preserve">государственной </w:t>
            </w:r>
            <w:hyperlink w:history="0" r:id="rId21" w:tooltip="Постановление Правительства КБР от 17.09.2013 N 249-ПП (ред. от 20.04.2020) &quot;О Государственной программе Кабардино-Балкарской Республики &quot;Развитие образования в Кабардино-Балкарской Республике&quot; (вместе с &quot;Перечнем основных мероприятий Государственной программы Кабардино-Балкарской Республики&quot;) {КонсультантПлюс}">
              <w:r>
                <w:rPr>
                  <w:sz w:val="20"/>
                  <w:color w:val="0000ff"/>
                </w:rPr>
                <w:t xml:space="preserve">программы</w:t>
              </w:r>
            </w:hyperlink>
            <w:r>
              <w:rPr>
                <w:sz w:val="20"/>
              </w:rPr>
              <w:t xml:space="preserve"> Кабардино-Балкарской Республики "Развитие образования"</w:t>
            </w:r>
          </w:p>
        </w:tc>
      </w:tr>
      <w:tr>
        <w:tc>
          <w:tcPr>
            <w:tcW w:w="2701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Ожидаемые результаты реализации региональной программы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pStyle w:val="0"/>
            </w:pPr>
            <w:r>
              <w:rPr>
                <w:sz w:val="20"/>
              </w:rPr>
              <w:t xml:space="preserve">увеличение доли граждан старшего поколения, вовлеченных в региональную программу, в общей численности граждан старшего поколения, до 35,9% к 2030 году;</w:t>
            </w:r>
          </w:p>
          <w:p>
            <w:pPr>
              <w:pStyle w:val="0"/>
            </w:pPr>
            <w:r>
              <w:rPr>
                <w:sz w:val="20"/>
              </w:rPr>
              <w:t xml:space="preserve">повышение уровня доступности системы долговременного ухода для граждан, нуждающихся в такой помощи, и обеспечению 100% охвата нуждающихся граждан к 2030 году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I. Общая характеристика сферы реализации и актуальность</w:t>
      </w:r>
    </w:p>
    <w:p>
      <w:pPr>
        <w:pStyle w:val="2"/>
        <w:jc w:val="center"/>
      </w:pPr>
      <w:r>
        <w:rPr>
          <w:sz w:val="20"/>
        </w:rPr>
        <w:t xml:space="preserve">проблемы региональной программы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Региональная программа разработана во исполнение пункта 10 перечня поручений Председателя Правительства Российской Федерации Мишустина М.В. от 6 августа 2024 г. N ММ-П45-25475 по итогам стратегической сессии Правительства Российской Федерации по национальному проекту "Семья", состоявшейся 15 июля 2024 г., а также в целях реализации федерального проекта "Старшее поколение" национального проекта "Семья".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Одной из ключевых задач государственной политики является создание условий для увеличения ожидаемой продолжительности здоровой жизни граждан пожилого возраста путем поддержания их активного долголетия и повышения уровня социальной защищенности, которая обусловлена складывающимися демографическими тенденциями старения населения.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 2020 года реализуется региональная </w:t>
      </w:r>
      <w:hyperlink w:history="0" r:id="rId22" w:tooltip="Распоряжение Правительства КБР от 26.12.2019 N 663-рп &lt;Об утверждении региональной программы &quot;Укрепление здоровья, увеличение периода активного долголетия и продолжительности здоровой жизни граждан старшего поколения в Кабардино-Балкарской Республике (2020 - 2024 годы)&gt; {КонсультантПлюс}">
        <w:r>
          <w:rPr>
            <w:sz w:val="20"/>
            <w:color w:val="0000ff"/>
          </w:rPr>
          <w:t xml:space="preserve">программа</w:t>
        </w:r>
      </w:hyperlink>
      <w:r>
        <w:rPr>
          <w:sz w:val="20"/>
        </w:rPr>
        <w:t xml:space="preserve"> "Укрепление здоровья, увеличение периода активного долголетия и продолжительности здоровой жизни граждан старшего поколения в Кабардино-Балкарской Республике (2020 - 2024 годы)", утвержденная распоряжением Правительства Кабардино-Балкарской Республики от 26 декабря 2019 г. N 663-рп, направленная на поддержку граждан старшего поколения, обеспечение достойного уровня их жизни, доступности социальных услуг, медицинской помощи по профилю "гериатрия", лекарственного обеспечения, информационных и коммуникационных технологий, равного доступа к основным и дополнительным образовательным программам, посильной трудовой занятости, создание условий для культурно-досуговой деятельности, занятий физической культурой и спортом.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 Послании Президента Российской Федерации Федеральному Собранию Российской Федерации от 29 февраля 2024 г. поставлена цель: к 2030 году ожидаемая продолжительность жизни в России должна составить не менее 78 лет.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Продолжительность жизни, поддержка граждан пожилого возраста и инвалидов и активное долголетие являются приоритетными направлениями федерального проекта "Старшее поколение" в рамках национального проекта "Семья".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Особенностью сложившейся демографической ситуации в Кабардино-Балкарской Республике, как и в целом в Российской Федерации, является динамичное увеличение численности лиц старше трудоспособного возраста и доли граждан старшего поколения в общей структуре населения республики.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 данным Территориального органа Федеральной службы государственной статистики по Кабардино-Балкарской Республике, на 1 января 2024 г. в республике проживало 905464 человека, из них 429476 мужчин (47,4%) и 475988 женщин (52,6%). Из общего числа жителей Кабардино-Балкарии 168793 человека в возрасте 60 лет и старше, 67015 человек в возрасте 70 лет и старше, 22345 человек в возрасте 80 лет и старше, 2119 долгожителей и 32 сверхдолгожителя.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Доля лиц в возрасте 60 лет и старше в общей структуре населения составляет, таким образом, 18,6%.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Основными факторами, влияющими на качество жизни граждан старшего поколения, являются материальное обеспечение, здоровье и социальное самочувствие.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Региональная программа предусматривает межведомственный комплексный подход и направлена на создание к 2030 году в Кабардино-Балкарской Республике условий для активного долголетия граждан старшего поколения.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Реализация основных мероприятий по увеличению периода активного долголетия и продолжительности здоровой жизни граждан пожилого возраста предусматривает повышение доступности медицинской помощи, развитие гериатрической помощи и рынка услуг в сфере социального обслуживания с учетом потребностей граждан старшего поколения, получение образования, содействие занятости, поддержку физической активности пожилых людей, "серебряного" волонтерства. Мероприятия будут способствовать созданию благоприятных условий для реализации интеллектуальных и культурных потребностей граждан старшего поколения, путем вовлечение их в конкурсы и образовательные, спортивные программы.</w:t>
      </w:r>
    </w:p>
    <w:p>
      <w:pPr>
        <w:pStyle w:val="0"/>
        <w:jc w:val="center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II. Цели, задачи и целевые показатели (индикаторы)</w:t>
      </w:r>
    </w:p>
    <w:p>
      <w:pPr>
        <w:pStyle w:val="2"/>
        <w:jc w:val="center"/>
      </w:pPr>
      <w:r>
        <w:rPr>
          <w:sz w:val="20"/>
        </w:rPr>
        <w:t xml:space="preserve">региональной программы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Целью региональной программы является увеличение периода активного долголетия и продолжительности здоровой жизни граждан старшего поколения, повышение качества жизни граждан старшего поколения.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Для достижения данной цели необходимо решение следующих задач: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создание условий для увеличения периода активного долголетия граждан старшего поколения и реализации их личностного потенциала;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совершенствование системы охраны здоровья граждан старшего поколения, развитие медицинской помощи, в том числе по профилю "гериатрия";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развитие социальных услуг для граждан старшего поколения, продлевающих их здоровую жизнь и обеспечивающих качественный уход;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повышение финансовой обеспеченности граждан старшего поколения, создание условий для их занятости и доступности образовательных и просветительских программ;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создание условий для систематических занятий граждан старшего поколения физической культурой и спортом;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вовлечение граждан старшего поколения в культурную жизнь общества, создание условий для реализации их творческого потенциала;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развитие добровольческой (волонтерской) деятельности граждан старшего поколения;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развитие инфраструктуры для качественной и безопасной жизни граждан старшего поколения;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создание условий для обеспечения гражданам старшего поколения доступа к информации.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Целевые показатели (индикаторы) региональной программы приведены в </w:t>
      </w:r>
      <w:hyperlink w:history="0" w:anchor="P155" w:tooltip="ЦЕЛЕВЫЕ ПОКАЗАТЕЛИ (ИНДИКАТОРЫ)">
        <w:r>
          <w:rPr>
            <w:sz w:val="20"/>
            <w:color w:val="0000ff"/>
          </w:rPr>
          <w:t xml:space="preserve">приложении N 1</w:t>
        </w:r>
      </w:hyperlink>
      <w:r>
        <w:rPr>
          <w:sz w:val="20"/>
        </w:rPr>
        <w:t xml:space="preserve"> к региональной программе.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III. Основные направления региональной программы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В рамках региональной программы планируется реализовать следующие основные мероприятия: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1) продление активного долголетия граждан старшего поколения, создание условий для реализации их личностного потенциала;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2) охрана здоровья граждан старшего поколения, развитие медицинской помощи, в том числе по профилю "гериатрия";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3) развитие социальных услуг для граждан старшего поколения, продлевающих их здоровую жизнь и обеспечивающих качественный уход;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4) повышение финансовой обеспеченности граждан старшего поколения, создание условий для их занятости;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5) развитие инфраструктуры для качественной и безопасной жизни граждан старшего поколения.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План мероприятий региональной программы приведен в </w:t>
      </w:r>
      <w:hyperlink w:history="0" w:anchor="P254" w:tooltip="ПЛАН МЕРОПРИЯТИЙ">
        <w:r>
          <w:rPr>
            <w:sz w:val="20"/>
            <w:color w:val="0000ff"/>
          </w:rPr>
          <w:t xml:space="preserve">приложении N 2</w:t>
        </w:r>
      </w:hyperlink>
      <w:r>
        <w:rPr>
          <w:sz w:val="20"/>
        </w:rPr>
        <w:t xml:space="preserve"> к региональной программе.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IV. Сроки реализации региональной программы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Сроки реализации региональной программы: 2025 - 2030 годы.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V. Финансовое обеспечение региональной программы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Реализация мероприятий региональной программы осуществляется в пределах бюджетных ассигнований, предусмотренных на реализацию государственных программ Кабардино-Балкарской Республики на очередной финансовый год и плановый период.</w:t>
      </w:r>
    </w:p>
    <w:p>
      <w:pPr>
        <w:pStyle w:val="0"/>
        <w:jc w:val="both"/>
      </w:pPr>
      <w:r>
        <w:rPr>
          <w:sz w:val="20"/>
        </w:rPr>
      </w:r>
    </w:p>
    <w:p>
      <w:pPr>
        <w:pStyle w:val="2"/>
        <w:outlineLvl w:val="1"/>
        <w:jc w:val="center"/>
      </w:pPr>
      <w:r>
        <w:rPr>
          <w:sz w:val="20"/>
        </w:rPr>
        <w:t xml:space="preserve">VI. Механизм реализации региональной программы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Управление реализацией региональной программы, включая мониторинг ее реализации, подготовка отчетов о реализации региональной программы, внесение предложений по корректировке региональной программы осуществляются Минтрудсоцзащиты КБР.</w:t>
      </w:r>
    </w:p>
    <w:p>
      <w:pPr>
        <w:pStyle w:val="0"/>
        <w:spacing w:before="200" w:line-rule="auto"/>
        <w:ind w:firstLine="540"/>
        <w:jc w:val="both"/>
      </w:pPr>
      <w:r>
        <w:rPr>
          <w:sz w:val="20"/>
        </w:rPr>
        <w:t xml:space="preserve">Соисполнители региональной программы организуют исполнение мероприятий региональной программы, представляют информацию об исполнении мероприятий региональной программы в Минтрудсоцзащиты КБР ежегодно до 25 января года, следующего за отчетным периодом, а также при необходимости выступают инициаторами корректировки мероприятий и (или) сроков их исполнения.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1</w:t>
      </w:r>
    </w:p>
    <w:p>
      <w:pPr>
        <w:pStyle w:val="0"/>
        <w:jc w:val="right"/>
      </w:pPr>
      <w:r>
        <w:rPr>
          <w:sz w:val="20"/>
        </w:rPr>
        <w:t xml:space="preserve">к региональной программе</w:t>
      </w:r>
    </w:p>
    <w:p>
      <w:pPr>
        <w:pStyle w:val="0"/>
        <w:jc w:val="right"/>
      </w:pPr>
      <w:r>
        <w:rPr>
          <w:sz w:val="20"/>
        </w:rPr>
        <w:t xml:space="preserve">"Активное долголетие</w:t>
      </w:r>
    </w:p>
    <w:p>
      <w:pPr>
        <w:pStyle w:val="0"/>
        <w:jc w:val="right"/>
      </w:pPr>
      <w:r>
        <w:rPr>
          <w:sz w:val="20"/>
        </w:rPr>
        <w:t xml:space="preserve">в Кабардино-Балкарской Республике"</w:t>
      </w:r>
    </w:p>
    <w:p>
      <w:pPr>
        <w:pStyle w:val="0"/>
        <w:jc w:val="right"/>
      </w:pPr>
      <w:r>
        <w:rPr>
          <w:sz w:val="20"/>
        </w:rPr>
        <w:t xml:space="preserve">на 2025 - 2030 годы</w:t>
      </w:r>
    </w:p>
    <w:p>
      <w:pPr>
        <w:pStyle w:val="0"/>
        <w:jc w:val="both"/>
      </w:pPr>
      <w:r>
        <w:rPr>
          <w:sz w:val="20"/>
        </w:rPr>
      </w:r>
    </w:p>
    <w:bookmarkStart w:id="155" w:name="P155"/>
    <w:bookmarkEnd w:id="155"/>
    <w:p>
      <w:pPr>
        <w:pStyle w:val="2"/>
        <w:jc w:val="center"/>
      </w:pPr>
      <w:r>
        <w:rPr>
          <w:sz w:val="20"/>
        </w:rPr>
        <w:t xml:space="preserve">ЦЕЛЕВЫЕ ПОКАЗАТЕЛИ (ИНДИКАТОРЫ)</w:t>
      </w:r>
    </w:p>
    <w:p>
      <w:pPr>
        <w:pStyle w:val="2"/>
        <w:jc w:val="center"/>
      </w:pPr>
      <w:r>
        <w:rPr>
          <w:sz w:val="20"/>
        </w:rPr>
        <w:t xml:space="preserve">РЕГИОНАЛЬНОЙ ПРОГРАММЫ "АКТИВНОЕ ДОЛГОЛЕТИЕ</w:t>
      </w:r>
    </w:p>
    <w:p>
      <w:pPr>
        <w:pStyle w:val="2"/>
        <w:jc w:val="center"/>
      </w:pPr>
      <w:r>
        <w:rPr>
          <w:sz w:val="20"/>
        </w:rPr>
        <w:t xml:space="preserve">В КАБАРДИНО-БАЛКАРСКОЙ РЕСПУБЛИКЕ"</w:t>
      </w:r>
    </w:p>
    <w:p>
      <w:pPr>
        <w:pStyle w:val="2"/>
        <w:jc w:val="center"/>
      </w:pPr>
      <w:r>
        <w:rPr>
          <w:sz w:val="20"/>
        </w:rPr>
        <w:t xml:space="preserve">НА 2025 - 2030 ГОДЫ</w:t>
      </w:r>
    </w:p>
    <w:p>
      <w:pPr>
        <w:pStyle w:val="0"/>
        <w:jc w:val="both"/>
      </w:pPr>
      <w:r>
        <w:rPr>
          <w:sz w:val="20"/>
        </w:rPr>
      </w:r>
    </w:p>
    <w:p>
      <w:pPr>
        <w:sectPr>
          <w:headerReference w:type="default" r:id="rId5"/>
          <w:headerReference w:type="first" r:id="rId5"/>
          <w:footerReference w:type="default" r:id="rId6"/>
          <w:footerReference w:type="first" r:id="rId6"/>
          <w:pgSz w:w="11906" w:h="16838"/>
          <w:pgMar w:top="1440" w:right="566" w:bottom="1440" w:left="1133" w:header="0" w:footer="0" w:gutter="0"/>
          <w:titlePg/>
        </w:sectPr>
      </w:pP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24"/>
        <w:gridCol w:w="3345"/>
        <w:gridCol w:w="1417"/>
        <w:gridCol w:w="1418"/>
        <w:gridCol w:w="1134"/>
        <w:gridCol w:w="1134"/>
        <w:gridCol w:w="1134"/>
        <w:gridCol w:w="1134"/>
        <w:gridCol w:w="1134"/>
        <w:gridCol w:w="1134"/>
      </w:tblGrid>
      <w:tr>
        <w:tc>
          <w:tcPr>
            <w:tcW w:w="624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п/п</w:t>
            </w:r>
          </w:p>
        </w:tc>
        <w:tc>
          <w:tcPr>
            <w:tcW w:w="3345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показателя (индикатора)</w:t>
            </w:r>
          </w:p>
        </w:tc>
        <w:tc>
          <w:tcPr>
            <w:tcW w:w="1417" w:type="dxa"/>
            <w:vMerge w:val="restart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Единица измерения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Данные для расчета значений показателя</w:t>
            </w:r>
          </w:p>
        </w:tc>
        <w:tc>
          <w:tcPr>
            <w:gridSpan w:val="6"/>
            <w:tcW w:w="68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Значение показателей по годам</w:t>
            </w:r>
          </w:p>
        </w:tc>
      </w:tr>
      <w:tr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vMerge w:val="continue"/>
          </w:tcPr>
          <w:p/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2024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2026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2027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2028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2029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2030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</w:t>
            </w:r>
          </w:p>
        </w:tc>
        <w:tc>
          <w:tcPr>
            <w:tcW w:w="3345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3345" w:type="dxa"/>
          </w:tcPr>
          <w:p>
            <w:pPr>
              <w:pStyle w:val="0"/>
            </w:pPr>
            <w:r>
              <w:rPr>
                <w:sz w:val="20"/>
              </w:rPr>
              <w:t xml:space="preserve">Ожидаемая продолжительность жизни при рождении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лет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77,0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77,2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77,4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77,6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77,8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78,2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79,3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3345" w:type="dxa"/>
          </w:tcPr>
          <w:p>
            <w:pPr>
              <w:pStyle w:val="0"/>
            </w:pPr>
            <w:r>
              <w:rPr>
                <w:sz w:val="20"/>
              </w:rPr>
              <w:t xml:space="preserve">Доля граждан старшего поколения, вовлеченных в региональную программу в общей численности граждан старшего поколения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25,2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26,5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27,8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29,2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30,6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3345" w:type="dxa"/>
          </w:tcPr>
          <w:p>
            <w:pPr>
              <w:pStyle w:val="0"/>
            </w:pPr>
            <w:r>
              <w:rPr>
                <w:sz w:val="20"/>
              </w:rPr>
              <w:t xml:space="preserve">Доля граждан старшего поколения, получивших социальное обслуживание, в общей численности граждан старшего поколения, признанных нуждающимися в социальном обслуживании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100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3345" w:type="dxa"/>
          </w:tcPr>
          <w:p>
            <w:pPr>
              <w:pStyle w:val="0"/>
            </w:pPr>
            <w:r>
              <w:rPr>
                <w:sz w:val="20"/>
              </w:rPr>
              <w:t xml:space="preserve">Доля пожилых граждан и инвалидов, получающих долговременный уход, от общего числа нуждающихся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2,8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2,9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3,3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3,3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-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3345" w:type="dxa"/>
          </w:tcPr>
          <w:p>
            <w:pPr>
              <w:pStyle w:val="0"/>
            </w:pPr>
            <w:r>
              <w:rPr>
                <w:sz w:val="20"/>
              </w:rPr>
              <w:t xml:space="preserve">Доля граждан в возрасте от 55 лет (женщины) и от 60 лет (мужчины), систематически занимающихся физической культурой и спортом, в общей численности граждан указанной возрастной категории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%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22,4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24,5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31,5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36,0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40,5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46,0</w:t>
            </w:r>
          </w:p>
        </w:tc>
      </w:tr>
      <w:tr>
        <w:tc>
          <w:tcPr>
            <w:tcW w:w="6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6.</w:t>
            </w:r>
          </w:p>
        </w:tc>
        <w:tc>
          <w:tcPr>
            <w:tcW w:w="3345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Обеспеченность геронтологическими койками на 10000 населения в возрасте 60 лет и старше</w:t>
            </w:r>
          </w:p>
        </w:tc>
        <w:tc>
          <w:tcPr>
            <w:tcW w:w="1417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ед.</w:t>
            </w:r>
          </w:p>
        </w:tc>
        <w:tc>
          <w:tcPr>
            <w:tcW w:w="1418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2,7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2,7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2,7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2,7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2,7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2,7</w:t>
            </w:r>
          </w:p>
        </w:tc>
        <w:tc>
          <w:tcPr>
            <w:tcW w:w="113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2,7</w:t>
            </w:r>
          </w:p>
        </w:tc>
      </w:tr>
    </w:tbl>
    <w:p>
      <w:pPr>
        <w:sectPr>
          <w:headerReference w:type="default" r:id="rId23"/>
          <w:headerReference w:type="first" r:id="rId23"/>
          <w:footerReference w:type="default" r:id="rId24"/>
          <w:footerReference w:type="first" r:id="rId24"/>
          <w:pgSz w:w="16838" w:h="11906" w:orient="landscape"/>
          <w:pgMar w:top="1133" w:right="1440" w:bottom="566" w:left="1440" w:header="0" w:footer="0" w:gutter="0"/>
          <w:titlePg/>
        </w:sectPr>
      </w:pP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outlineLvl w:val="1"/>
        <w:jc w:val="right"/>
      </w:pPr>
      <w:r>
        <w:rPr>
          <w:sz w:val="20"/>
        </w:rPr>
        <w:t xml:space="preserve">Приложение N 2</w:t>
      </w:r>
    </w:p>
    <w:p>
      <w:pPr>
        <w:pStyle w:val="0"/>
        <w:jc w:val="right"/>
      </w:pPr>
      <w:r>
        <w:rPr>
          <w:sz w:val="20"/>
        </w:rPr>
        <w:t xml:space="preserve">к региональной программе</w:t>
      </w:r>
    </w:p>
    <w:p>
      <w:pPr>
        <w:pStyle w:val="0"/>
        <w:jc w:val="right"/>
      </w:pPr>
      <w:r>
        <w:rPr>
          <w:sz w:val="20"/>
        </w:rPr>
        <w:t xml:space="preserve">"Активное долголетие</w:t>
      </w:r>
    </w:p>
    <w:p>
      <w:pPr>
        <w:pStyle w:val="0"/>
        <w:jc w:val="right"/>
      </w:pPr>
      <w:r>
        <w:rPr>
          <w:sz w:val="20"/>
        </w:rPr>
        <w:t xml:space="preserve">в Кабардино-Балкарской Республике"</w:t>
      </w:r>
    </w:p>
    <w:p>
      <w:pPr>
        <w:pStyle w:val="0"/>
        <w:jc w:val="right"/>
      </w:pPr>
      <w:r>
        <w:rPr>
          <w:sz w:val="20"/>
        </w:rPr>
        <w:t xml:space="preserve">на 2025 - 2030 годы</w:t>
      </w:r>
    </w:p>
    <w:p>
      <w:pPr>
        <w:pStyle w:val="0"/>
        <w:jc w:val="both"/>
      </w:pPr>
      <w:r>
        <w:rPr>
          <w:sz w:val="20"/>
        </w:rPr>
      </w:r>
    </w:p>
    <w:bookmarkStart w:id="254" w:name="P254"/>
    <w:bookmarkEnd w:id="254"/>
    <w:p>
      <w:pPr>
        <w:pStyle w:val="2"/>
        <w:jc w:val="center"/>
      </w:pPr>
      <w:r>
        <w:rPr>
          <w:sz w:val="20"/>
        </w:rPr>
        <w:t xml:space="preserve">ПЛАН МЕРОПРИЯТИЙ</w:t>
      </w:r>
    </w:p>
    <w:p>
      <w:pPr>
        <w:pStyle w:val="2"/>
        <w:jc w:val="center"/>
      </w:pPr>
      <w:r>
        <w:rPr>
          <w:sz w:val="20"/>
        </w:rPr>
        <w:t xml:space="preserve">РЕГИОНАЛЬНОЙ ПРОГРАММЫ "АКТИВНОЕ ДОЛГОЛЕТИЕ</w:t>
      </w:r>
    </w:p>
    <w:p>
      <w:pPr>
        <w:pStyle w:val="2"/>
        <w:jc w:val="center"/>
      </w:pPr>
      <w:r>
        <w:rPr>
          <w:sz w:val="20"/>
        </w:rPr>
        <w:t xml:space="preserve">В КАБАРДИНО-БАЛКАРСКОЙ РЕСПУБЛИКЕ"</w:t>
      </w:r>
    </w:p>
    <w:p>
      <w:pPr>
        <w:pStyle w:val="2"/>
        <w:jc w:val="center"/>
      </w:pPr>
      <w:r>
        <w:rPr>
          <w:sz w:val="20"/>
        </w:rPr>
        <w:t xml:space="preserve">НА 2025 - 2030 ГОДЫ</w:t>
      </w:r>
    </w:p>
    <w:p>
      <w:pPr>
        <w:pStyle w:val="0"/>
        <w:jc w:val="both"/>
      </w:pPr>
      <w:r>
        <w:rPr>
          <w:sz w:val="20"/>
        </w:rPr>
      </w:r>
    </w:p>
    <w:tbl>
      <w:tblPr>
        <w:tblInd w:w="0" w:type="dxa"/>
        <w:tblLayout w:type="fixed"/>
        <w:tblBorders>
          <w:top w:val="single" w:sz="4"/>
          <w:left w:val="single" w:sz="4"/>
          <w:bottom w:val="single" w:sz="4"/>
          <w:right w:val="single" w:sz="4"/>
          <w:insideV w:val="single" w:sz="4"/>
          <w:insideH w:val="single" w:sz="4"/>
        </w:tblBorders>
        <w:tblCellMar>
          <w:top w:w="102" w:type="dxa"/>
          <w:left w:w="62" w:type="dxa"/>
          <w:bottom w:w="102" w:type="dxa"/>
          <w:right w:w="62" w:type="dxa"/>
        </w:tblCellMar>
      </w:tblPr>
      <w:tblGrid>
        <w:gridCol w:w="680"/>
        <w:gridCol w:w="2551"/>
        <w:gridCol w:w="1304"/>
        <w:gridCol w:w="2211"/>
        <w:gridCol w:w="2324"/>
      </w:tblGrid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N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п/п</w:t>
            </w:r>
          </w:p>
        </w:tc>
        <w:tc>
          <w:tcPr>
            <w:tcW w:w="255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Наименование мероприятия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Сроки реализации мероприятия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Ответственные исполнители и органы, которым рекомендовано принять участие в реализации региональной программы</w:t>
            </w:r>
          </w:p>
        </w:tc>
        <w:tc>
          <w:tcPr>
            <w:tcW w:w="232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Ожидаемый результат реализации мероприятия</w:t>
            </w:r>
          </w:p>
        </w:tc>
      </w:tr>
      <w:tr>
        <w:tc>
          <w:tcPr>
            <w:gridSpan w:val="5"/>
            <w:tcW w:w="9070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I. Продление активного долголетия граждан старшего поколения, создание условий для реализации их личностного потенциала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Размещение на официальных сайтах органов государственной власти Кабардино-Балкарской Республики и местного самоуправления Кабардино-Балкарской Республики и страницах в социальных сетях информации для граждан старшего поколения о мероприятиях, проводимых на территории Кабардино-Балкарской Республики в рамках региональной программы "Активное долголетие в Кабардино-Балкарской Республике"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 декабря 2025 г.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цифрового развития, связи и массовых коммуникаций Кабардино-Балкарской Республики;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 и социальной защиты Кабардино-Балкарской Республики;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спорта Кабардино-Балкарской Республики;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здравоохранения Кабардино-Балкарской Республики;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культуры Кабардино-Балкарской Республики;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просвещения и науки Кабардино-Балкарской Республики;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молодежи Кабардино-Балкарской Республики;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курортов Кабардино-Балкарской Республики;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органы местного самоуправления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обеспечена информированность граждан старшего поколения о мероприятиях, проводимых на территории Кабардино-Балкарской Республики в рамках региональной программы "Активное долголетие в Кабардино-Балкарской Республике"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Привлечение средств массовой информации к реализации региональной программы "Активное долголетие в Кабардино-Балкарской Республике", широкому распространению позитивного опыта участия людей старшего поколения в жизни общества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цифрового развития, связи и массовых коммуникаций Кабардино-Балкарской Республики;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культуры Кабардино-Балкарской Республики;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 и социальной защиты Кабардино-Балкарской Республики;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спорта Кабардино-Балкарской Республики;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здравоохранения Кабардино-Балкарской Республики;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просвещения и науки Кабардино-Балкарской Республики;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молодежи Кабардино-Балкарской Республики;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органы местного самоуправления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публикации в средствах массовой информации, на сайтах ведомств и организаций, учреждений информации о реализации региональной программы "Активное долголетие в Кабардино-Балкарской Республике", об участии граждан старшего поколения в жизни общества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</w:t>
            </w:r>
          </w:p>
        </w:tc>
        <w:tc>
          <w:tcPr>
            <w:tcW w:w="2551" w:type="dxa"/>
          </w:tcPr>
          <w:p>
            <w:pPr>
              <w:pStyle w:val="0"/>
              <w:ind w:firstLine="34"/>
            </w:pPr>
            <w:r>
              <w:rPr>
                <w:sz w:val="20"/>
              </w:rPr>
              <w:t xml:space="preserve">Развитие инфраструктуры, обеспечивающей реализацию мероприятий региональной программы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 и социальной защиты Кабардино-Балкарской Республики;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спорта Кабардино-Балкарской Республики;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здравоохранения Кабардино-Балкарской Республики;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культуры Кабардино-Балкарской Республики;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органы местного самоуправления</w:t>
            </w:r>
          </w:p>
        </w:tc>
        <w:tc>
          <w:tcPr>
            <w:tcW w:w="2324" w:type="dxa"/>
          </w:tcPr>
          <w:p>
            <w:pPr>
              <w:pStyle w:val="0"/>
              <w:ind w:firstLine="34"/>
            </w:pPr>
            <w:r>
              <w:rPr>
                <w:sz w:val="20"/>
              </w:rPr>
              <w:t xml:space="preserve">доступны социальные объекты (физкультурно-оздоровительные комплексы, дома-культуры, музеи, библиотеки, спортивные и тренажерные залы, бассейны, фитнес-залы)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3.1.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Функционирование в каждом муниципальном районе, городском округе на базе организаций культуры кружков (клубов) по интересам для граждан старшего поколения (прикладное искусство, рукоделие, танцы, пение и др.)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культуры Кабардино-Балкарской Республики;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органы местного самоуправления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созданы условия для удовлетворения духовных и культурных потребностей, вовлечения в различные виды творчества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3.2.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Активизация библиотечного обслуживания граждан старшего поколения, в том числе организация доставки книг на дом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культуры Кабардино-Балкарской Республики;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органы местного самоуправления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 доступ маломобильных граждан старшего поколения к библиотечному фонду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3.3.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Развитие инфраструктуры физической культуры и спорта в Кабардино-Балкарской Республике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спорта Кабардино-Балкарской Республики;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органы местного самоуправления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 доступ граждан старшего поколения к спортивной инфраструктуре республики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3.4.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мероприятий по развитию туризма для граждан старшего поколения, создание условий для повышения доступности и привлекательности туристических услуг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курортов Кабардино-Балкарской Республики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увеличен охват экскурсионным обслуживанием граждан старшего поколения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конкурсов, фестивалей, выставок с участием граждан старшего поколения для демонстрации своих достижений, обмена полученными навыками и умениями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культуры Кабардино-Балкарской Республики;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органы местного самоуправления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созданы условия для реализации гражданами старшего поколения творческого потенциала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торжественных и праздничных мероприятий, посвященных Международному дню пожилых людей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культуры Кабардино-Балкарской Республики;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 и социальной защиты Кабардино-Балкарской Республики;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органы местного самоуправления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граждане старшего поколения вовлечены в культурно-досуговую деятельность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7.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республиканского субботника в поддержку старшего поколения (апрель)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 и социальной защиты Кабардино-Балкарской Республики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оказана материальная поддержка пожилым гражданам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8.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ежегодного месячника "Милосердие" (октябрь), в рамках Международного дня пожилых людей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 и социальной защиты Кабардино-Балкарской Республики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оказана всесторонняя помощь одиноким (одиноко проживающим) пожилым гражданам старшего поколения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9.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обучающих курсов "С компьютером на "Ты", "Умные гаджеты" на базе образовательных организаций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просвещения и науки Кабардино-Балкарской Республики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приобретены навыки пользования компьютерными ресурсами, Единым порталом государственных услуг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10.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Обучение основам компьютерной грамотности, навыкам работы с персональным компьютером и работе в информационно-телекоммуникационной сети "Интернет" граждан старшего поколения в учреждениях социальной защиты, социального обслуживания, культуры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 и социальной защиты Кабардино-Балкарской Республики;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культуры Кабардино-Балкарской Республики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приобретены навыки пользования компьютерными ресурсами, Единым порталом государственных услуг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11.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Обучение финансовой (правовой) грамотности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 и социальной защиты Кабардино-Балкарской Республики;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культуры Кабардино-Балкарской Республики</w:t>
            </w:r>
          </w:p>
        </w:tc>
        <w:tc>
          <w:tcPr>
            <w:tcW w:w="2324" w:type="dxa"/>
          </w:tcPr>
          <w:p>
            <w:pPr>
              <w:pStyle w:val="0"/>
              <w:ind w:firstLine="34"/>
            </w:pPr>
            <w:r>
              <w:rPr>
                <w:sz w:val="20"/>
              </w:rPr>
              <w:t xml:space="preserve">граждане старшего поколения приобрели навыки использования современных цифровых устройств при совершении финансовых операций, осуществлении покупок товаров и услуг через информационно-телекоммуникационную сеть "Интернет"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12.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физкультурно-оздоровительных и спортивно-массовых мероприятий с участием граждан старшего поколения (Кросс нации, Всероссийский олимпийский день, спортивные мероприятия, посвященные Дню физкультурника и др.)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спорта Кабардино-Балкарской Республики;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органы местного самоуправления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повышен уровень физической активности граждан старшего поколения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13.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городских и районных фестивалей Всероссийского физкультурно-оздоровительного комплекса "Готов к труду и обороне" (ГТО) с привлечением граждан старшего поколения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спорта Кабардино-Балкарской Республики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органы местного самоуправления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повышен уровень физической активности граждан старшего поколения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14.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занятий оздоровительной физкультурой граждан пожилого возраста на базе организаций социального обслуживания, направленных на сохранение посильной активности, улучшение качества жизни и продление ее продолжительности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 и социальной защиты Кабардино-Балкарской Республики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повышен уровень физической активности граждан старшего поколения, являющихся получателями социальных услуг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15.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физкультурных и спортивных мероприятий, в том числе межинтернатных спортивных чемпионатов, состязаний с участием получателей социальных услуг из числа граждан старшего поколения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 и социальной защиты Кабардино-Балкарской Республики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повышен уровень физической активности граждан старшего поколения, являющихся получателями социальных услуг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16.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Организация виртуальных путешествий для маломобильных граждан старшего поколения, являющихся получателями социальных услуг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 и социальной защиты Кабардино-Балкарской Республики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обеспечена возможность путешествовать виртуально для маломобильных получателей социальных услуг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17.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Привлечение добровольческих (волонтерских) движений к оказанию помощи гражданам старшего поколения, проживающим в организациях социального обслуживания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 и социальной защиты Кабардино-Балкарской Республики;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молодежи Кабардино-Балкарской Республики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к работе с получателями социальных услуг привлечены добровольческие (волонтерские) организации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18.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Развитие "серебряного" добровольчества в Кабардино-Балкарской Республике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молодежи Кабардино-Балкарской Республики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в добровольческое движение "серебряное волонтерство" вовлечены граждане старшего поколения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19.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Внедрение различных инструментов мотивации к занятиям добровольчеством для граждан старшего поколения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 и социальной защиты Кабардино-Балкарской Республики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проведены групповые тренинги с использованием видеоматериалов об историях успеха, рассмотрены проблемные социальные вопросы общества. Распространены информационные материалы о значимости добровольчества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Поддержка негосударственных организаций, объединений, работающих с гражданами старшего поколения, реализующих социально-значимые проекты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по делам национальностей и общественным проектам Кабардино-Балкарской Республики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предоставлена финансовая поддержка из республиканского бюджета Кабардино-Балкарской Республики негосударственным организациям, реализующим социально-значимых проекты, направленные на помощь и поддержку граждан старшего поколения</w:t>
            </w:r>
          </w:p>
        </w:tc>
      </w:tr>
      <w:tr>
        <w:tc>
          <w:tcPr>
            <w:gridSpan w:val="5"/>
            <w:tcW w:w="9070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II. Охрана здоровья граждан старшего поколения, развитие медицинской помощи, в том числе по профилю "гериатрия"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21.</w:t>
            </w:r>
          </w:p>
        </w:tc>
        <w:tc>
          <w:tcPr>
            <w:tcW w:w="2551" w:type="dxa"/>
          </w:tcPr>
          <w:p>
            <w:pPr>
              <w:pStyle w:val="0"/>
              <w:ind w:firstLine="32"/>
            </w:pPr>
            <w:r>
              <w:rPr>
                <w:sz w:val="20"/>
              </w:rPr>
              <w:t xml:space="preserve">Совершенствование организации оказания медицинской помощи гражданам пожилого возраста, в том числе по профилю "гериатрия"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здравоохранения Кабардино-Балкарской Республики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граждане старшего поколения обеспечены своевременной медицинской помощью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22.</w:t>
            </w:r>
          </w:p>
        </w:tc>
        <w:tc>
          <w:tcPr>
            <w:tcW w:w="2551" w:type="dxa"/>
          </w:tcPr>
          <w:p>
            <w:pPr>
              <w:pStyle w:val="0"/>
              <w:ind w:firstLine="32"/>
            </w:pPr>
            <w:r>
              <w:rPr>
                <w:sz w:val="20"/>
              </w:rPr>
              <w:t xml:space="preserve">Увеличение количества кабинетов врачей-гериатров и подготовка врачей-гериатров, увеличение уровня госпитализации граждан старшего поколения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здравоохранения Кабардино-Балкарской Республики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обеспечено выявление и корректировка факторов риска развития хронических неинфекционных заболеваний, увеличение продолжительности активной жизни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23.</w:t>
            </w:r>
          </w:p>
        </w:tc>
        <w:tc>
          <w:tcPr>
            <w:tcW w:w="2551" w:type="dxa"/>
          </w:tcPr>
          <w:p>
            <w:pPr>
              <w:pStyle w:val="0"/>
              <w:ind w:firstLine="32"/>
            </w:pPr>
            <w:r>
              <w:rPr>
                <w:sz w:val="20"/>
              </w:rPr>
              <w:t xml:space="preserve">Совершенствование профилактических мероприятий по предупреждению и раннему выявлению заболеваний, гериатрических синдромов и факторов риска их развития с оценкой биологического возраста в центрах здоровья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здравоохранения Кабардино-Балкарской Республики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граждане старшего поколения обеспечены своевременной медицинской помощью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24.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Увеличение охвата диспансерным наблюдением граждан старшего поколения (более 90% с впервые выявленными заболеваниями), обеспечение преемственности между медицинской помощью, оказываемой в амбулаторных и стационарных условиях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здравоохранения Кабардино-Балкарской Республики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обеспечено выявление и корректировка факторов риска развития хронических неинфекционных заболеваний, увеличение продолжительности активной жизни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25.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Повышение уровня медицинской грамотности граждан старшего поколения по вопросам здорового старения и активного долголетия, профилактики и лечения возраст-ассоциированных заболеваний и гериатрических синдромов, создание условий для ведения здорового образа жизни в пожилом возрасте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здравоохранения Кабардино-Балкарской Республики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своевременное выявление заболеваний и патологических состояний у граждан старшего поколения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26.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Внедрение комплекса мер, направленного на профилактику падений и переломов у лиц пожилого и старческого возраста и улучшение оказания медицинской помощи пациентам пожилого возраста с переломом проксимального отдела бедренной кости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здравоохранения Кабардино-Балкарской Республики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обеспечено создание условий для увеличения продолжительности активной жизни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27.</w:t>
            </w:r>
          </w:p>
        </w:tc>
        <w:tc>
          <w:tcPr>
            <w:tcW w:w="2551" w:type="dxa"/>
          </w:tcPr>
          <w:p>
            <w:pPr>
              <w:pStyle w:val="0"/>
              <w:ind w:firstLine="32"/>
            </w:pPr>
            <w:r>
              <w:rPr>
                <w:sz w:val="20"/>
              </w:rPr>
              <w:t xml:space="preserve">Совершенствование мер профилактики и лечения когнитивных расстройств у граждан старшего поколения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здравоохранения Кабардино-Балкарской Республики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граждане старшего поколения и инвалиды обеспечены своевременной медицинской помощью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28.</w:t>
            </w:r>
          </w:p>
        </w:tc>
        <w:tc>
          <w:tcPr>
            <w:tcW w:w="2551" w:type="dxa"/>
          </w:tcPr>
          <w:p>
            <w:pPr>
              <w:pStyle w:val="0"/>
              <w:ind w:firstLine="32"/>
            </w:pPr>
            <w:r>
              <w:rPr>
                <w:sz w:val="20"/>
              </w:rPr>
              <w:t xml:space="preserve">Увеличению доступности медицинской помощи в сельской местности, использование мобильных бригад (в том числе для диспансеризации)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здравоохранения Кабардино-Балкарской Республики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своевременное выявление заболеваний и патологических состояний у граждан старшего поколения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29.</w:t>
            </w:r>
          </w:p>
        </w:tc>
        <w:tc>
          <w:tcPr>
            <w:tcW w:w="2551" w:type="dxa"/>
          </w:tcPr>
          <w:p>
            <w:pPr>
              <w:pStyle w:val="0"/>
              <w:ind w:firstLine="32"/>
            </w:pPr>
            <w:r>
              <w:rPr>
                <w:sz w:val="20"/>
              </w:rPr>
              <w:t xml:space="preserve">Проведение вакцинации гражданам старшего поколения, в том числе проживающих в организациях социального обслуживания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здравоохранения Кабардино-Балкарской Республики;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 и социальной защиты Кабардино-Балкарской Республики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обеспечена профилактика инфекционных заболеваний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30.</w:t>
            </w:r>
          </w:p>
        </w:tc>
        <w:tc>
          <w:tcPr>
            <w:tcW w:w="2551" w:type="dxa"/>
          </w:tcPr>
          <w:p>
            <w:pPr>
              <w:pStyle w:val="0"/>
              <w:ind w:firstLine="32"/>
            </w:pPr>
            <w:r>
              <w:rPr>
                <w:sz w:val="20"/>
              </w:rPr>
              <w:t xml:space="preserve">Проведение информационных кампаний, направленных на формирование позитивного представления граждан старшего поколения о здоровом и активном образе жизни, транслирующих позитивный образ человека старшего поколения, ведущего здоровый и активный образ жизни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здравоохранения Кабардино-Балкарской Республики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снижены риски хронических и острых заболеваний у граждан старшего поколения, сформированы представления о здоровом и активном образе жизни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31.</w:t>
            </w:r>
          </w:p>
        </w:tc>
        <w:tc>
          <w:tcPr>
            <w:tcW w:w="2551" w:type="dxa"/>
          </w:tcPr>
          <w:p>
            <w:pPr>
              <w:pStyle w:val="0"/>
              <w:ind w:firstLine="32"/>
            </w:pPr>
            <w:r>
              <w:rPr>
                <w:sz w:val="20"/>
              </w:rPr>
              <w:t xml:space="preserve">Организация и проведение мероприятий (лекции, беседы и др.) для граждан старшего поколения по профилактике хронических неинфекционных заболеваний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здравоохранения Кабардино-Балкарской Республики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снижены риски хронических и острых заболеваний у граждан старшего поколения, сформированы представления о здоровом и активном образе жизни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32.</w:t>
            </w:r>
          </w:p>
        </w:tc>
        <w:tc>
          <w:tcPr>
            <w:tcW w:w="2551" w:type="dxa"/>
          </w:tcPr>
          <w:p>
            <w:pPr>
              <w:pStyle w:val="0"/>
              <w:ind w:firstLine="32"/>
            </w:pPr>
            <w:r>
              <w:rPr>
                <w:sz w:val="20"/>
              </w:rPr>
              <w:t xml:space="preserve">Организация и проведение дней здоровья для граждан старшего поколения с привлечением врачей-специалистов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здравоохранения Кабардино-Балкарской Республики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обеспечена доступность оказания медицинской помощи, созданы условия для сохранения здоровья</w:t>
            </w:r>
          </w:p>
        </w:tc>
      </w:tr>
      <w:tr>
        <w:tc>
          <w:tcPr>
            <w:gridSpan w:val="5"/>
            <w:tcW w:w="9070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III. Развитие социальных услуг для граждан старшего поколения, продлевающих их здоровую жизнь и обеспечивающих качественный уход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33.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Развитие и внедрение стационарозамещающих технологий предоставления социальных услуг, эффективных социальных технологий и повышение доступности социальных услуг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 и социальной защиты Кабардино-Балкарской Республики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созданы благоприятные условия для продления здоровой жизни граждан старшего поколения, реализуются стационарозамещающие технологии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34.</w:t>
            </w:r>
          </w:p>
        </w:tc>
        <w:tc>
          <w:tcPr>
            <w:tcW w:w="2551" w:type="dxa"/>
          </w:tcPr>
          <w:p>
            <w:pPr>
              <w:pStyle w:val="0"/>
              <w:ind w:firstLine="32"/>
            </w:pPr>
            <w:r>
              <w:rPr>
                <w:sz w:val="20"/>
              </w:rPr>
              <w:t xml:space="preserve">Развитие системы долговременного ухода за гражданами пожилого возраста и инвалидами, нуждающимися в уходе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 и социальной защиты Кабардино-Балкарской Республики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ежегодно увеличивается число граждан старшего пожилого возраста и инвалидов, полностью или частично утратившие способность к самообслуживанию, получающих долговременный уход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35.</w:t>
            </w:r>
          </w:p>
        </w:tc>
        <w:tc>
          <w:tcPr>
            <w:tcW w:w="2551" w:type="dxa"/>
          </w:tcPr>
          <w:p>
            <w:pPr>
              <w:pStyle w:val="0"/>
              <w:ind w:firstLine="32"/>
            </w:pPr>
            <w:r>
              <w:rPr>
                <w:sz w:val="20"/>
              </w:rPr>
              <w:t xml:space="preserve">Организация работы "Школ ухода", пунктов проката технических средств реабилитации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 и социальной защиты Кабардино-Балкарской Республики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родственники и специалисты организаций социального обслуживания обучены навыкам ухода за пожилыми гражданами и инвалидами, нуждающимися в посторонней помощи и уходе;</w:t>
            </w:r>
          </w:p>
          <w:p>
            <w:pPr>
              <w:pStyle w:val="0"/>
            </w:pPr>
            <w:r>
              <w:rPr>
                <w:sz w:val="20"/>
              </w:rPr>
              <w:t xml:space="preserve">гражданам пожилого возраста предоставлены во временное пользование технические средства реабилитации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36.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Развитие межведомственного взаимодействия медицинских организаций и организаций социального обслуживания при предоставлении социальных услуг по уходу за гражданами старшего поколения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 и социальной защиты Кабардино-Балкарской Республики;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здравоохранения Кабардино-Балкарской Республики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обеспечено своевременное и качественное предоставление социальных услуг и социального сопровождения гражданам старшего поколения в рамках межведомственного взаимодействия медицинских организаций и организаций социального обслуживания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37.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Развитие социального сопровождения при предоставлении социальных услуг гражданам старшего поколения, путем привлечения на основе межведомственного взаимодействия организаций, предоставляющих медицинскую, психологическую, педагогическую, юридическую, социальную помощь, не относящуюся к социальным услугам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 и социальной защиты Кабардино-Балкарской Республики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обеспечено своевременное и качественное предоставление социальных услуг и социального сопровождения гражданам старшего поколения в рамках межведомственного взаимодействия медицинских организаций и организаций социального обслуживания, в том числе путем привлечения организаций, предоставляющих (медицинскую, психологическую, педагогическую, юридическую, социальную помощь, не относящуюся к социальным услугам)</w:t>
            </w:r>
          </w:p>
        </w:tc>
      </w:tr>
      <w:tr>
        <w:tblPrEx>
          <w:tblBorders>
            <w:insideH w:val="nil"/>
          </w:tblBorders>
        </w:tblPrEx>
        <w:tc>
          <w:tcPr>
            <w:gridSpan w:val="5"/>
            <w:tcW w:w="9070" w:type="dxa"/>
            <w:tcBorders>
              <w:bottom w:val="nil"/>
            </w:tcBorders>
          </w:tcPr>
          <w:tbl>
            <w:tblPr>
              <w:tblInd w:w="0" w:type="dxa"/>
              <w:tblW w:w="5000" w:type="pct"/>
              <w:tblBorders>
                <w:top w:val="nil"/>
                <w:left w:val="nil"/>
                <w:bottom w:val="nil"/>
                <w:right w:val="nil"/>
                <w:insideV w:val="nil"/>
                <w:insideH w:val="nil"/>
              </w:tblBorders>
            </w:tblPr>
            <w:tblGrid>
              <w:gridCol w:w="60"/>
              <w:gridCol w:w="113"/>
              <w:gridCol w:w="9921"/>
              <w:gridCol w:w="113"/>
            </w:tblGrid>
            <w:tr>
              <w:tc>
                <w:tcPr>
                  <w:tcW w:w="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fill="ced3f1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/>
              </w:tc>
              <w:tc>
                <w:tcPr>
                  <w:tcW w:w="11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fill="f4f3f8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/>
              </w:tc>
              <w:tc>
                <w:tcPr>
                  <w:tcW w:w="0" w:type="auto"/>
                  <w:tcMar>
                    <w:top w:w="113" w:type="dxa"/>
                    <w:left w:w="0" w:type="dxa"/>
                    <w:bottom w:w="113" w:type="dxa"/>
                    <w:right w:w="0" w:type="dxa"/>
                  </w:tcMar>
                  <w:shd w:val="clear" w:fill="f4f3f8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>
                  <w:pPr>
                    <w:pStyle w:val="0"/>
                    <w:jc w:val="both"/>
                  </w:pPr>
                  <w:r>
                    <w:rPr>
                      <w:sz w:val="20"/>
                      <w:color w:val="392c69"/>
                    </w:rPr>
                    <w:t xml:space="preserve">КонсультантПлюс: примечание.</w:t>
                  </w:r>
                </w:p>
                <w:p>
                  <w:pPr>
                    <w:pStyle w:val="0"/>
                    <w:jc w:val="both"/>
                  </w:pPr>
                  <w:r>
                    <w:rPr>
                      <w:sz w:val="20"/>
                      <w:color w:val="392c69"/>
                    </w:rPr>
                    <w:t xml:space="preserve">Нумерация пунктов дана в соответствии с официальным текстом документа.</w:t>
                  </w:r>
                </w:p>
              </w:tc>
              <w:tc>
                <w:tcPr>
                  <w:tcW w:w="113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shd w:val="clear" w:fill="f4f3f8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/>
              </w:tc>
            </w:tr>
          </w:tbl>
          <w:p/>
        </w:tc>
      </w:tr>
      <w:tr>
        <w:tblPrEx>
          <w:tblBorders>
            <w:insideH w:val="nil"/>
          </w:tblBorders>
        </w:tblPrEx>
        <w:tc>
          <w:tcPr>
            <w:tcW w:w="680" w:type="dxa"/>
            <w:tcBorders>
              <w:top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28.</w:t>
            </w:r>
          </w:p>
        </w:tc>
        <w:tc>
          <w:tcPr>
            <w:tcW w:w="2551" w:type="dxa"/>
            <w:tcBorders>
              <w:top w:val="nil"/>
            </w:tcBorders>
          </w:tcPr>
          <w:p>
            <w:pPr>
              <w:pStyle w:val="0"/>
              <w:ind w:firstLine="32"/>
            </w:pPr>
            <w:r>
              <w:rPr>
                <w:sz w:val="20"/>
              </w:rPr>
              <w:t xml:space="preserve">Укрепление материально-технической базы организаций социального обслуживания, предоставляющих социальные услуги гражданам старшего поколения для обеспечения безопасных и комфортных условий предоставления социальных услуг в сфере социального обслуживания</w:t>
            </w:r>
          </w:p>
        </w:tc>
        <w:tc>
          <w:tcPr>
            <w:tcW w:w="1304" w:type="dxa"/>
            <w:tcBorders>
              <w:top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  <w:tcBorders>
              <w:top w:val="nil"/>
            </w:tcBorders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 и социальной защиты Кабардино-Балкарской Республики</w:t>
            </w:r>
          </w:p>
        </w:tc>
        <w:tc>
          <w:tcPr>
            <w:tcW w:w="2324" w:type="dxa"/>
            <w:tcBorders>
              <w:top w:val="nil"/>
            </w:tcBorders>
          </w:tcPr>
          <w:p>
            <w:pPr>
              <w:pStyle w:val="0"/>
              <w:ind w:firstLine="32"/>
            </w:pPr>
            <w:r>
              <w:rPr>
                <w:sz w:val="20"/>
              </w:rPr>
              <w:t xml:space="preserve">в организациях социального обслуживания созданы безопасные и комфортные условия для предоставления социальных услуг гражданам старшего поколения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доступа волонтеров в организации социального обслуживания, предоставляющих социальные услуги в стационарной форме социального обслуживания, с целью организации их регулярной деятельности, обеспечение эффективного взаимодействия волонтеров с персоналом организаций социального обслуживания, предоставляющих социальные услуги в стационарной форме социального обслуживания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 и социальной защиты Кабардино-Балкарской Республики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 доступ волонтерам в организации социального обслуживания, предоставляющие социальные услуги в стационарной форме социального обслуживания, с целью организации их регулярной деятельности и обеспечения эффективного взаимодействия с персоналом организаций социального обслуживания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39.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Совершенствование механизма осуществления контроля качества предоставления социальных услуг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 и социальной защиты Кабардино-Балкарской Республики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осуществляется постоянный контроль за качеством предоставления социальных услуг, проводится постоянное анкетирование получателей социальных услуг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40.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Совершенствование кадрового обеспечения организаций социального обслуживания, подготовка (переподготовка) кадров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 и социальной защиты Кабардино-Балкарской Республики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обеспечена подготовка (переподготовка) кадров организаций социального обслуживания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41.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Повышение информированности граждан старшего поколения и их родственников (законных представителей) о предоставляемых социальных услугах, эффективных социальных технологиях, поставщиках социальных услуг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 и социальной защиты Кабардино-Балкарской Республики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увеличивается количество граждан старшего поколения и их родственников (законных представителей), информированных о предоставляемых социальных услугах, эффективных социальных технологиях, поставщиках социальных услуг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42.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Привлечение социально ориентированных некоммерческих организаций, социального предпринимательства, благотворительных и добровольческих организаций к предоставлению социальных услуг, оказанию помощи гражданам старшего поколения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 и социальной защиты Кабардино-Балкарской Республики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развивается система поддержки социально ориентированных некоммерческих организаций</w:t>
            </w:r>
          </w:p>
        </w:tc>
      </w:tr>
      <w:tr>
        <w:tc>
          <w:tcPr>
            <w:gridSpan w:val="5"/>
            <w:tcW w:w="9070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IV. Повышение финансовой обеспеченности граждан старшего поколения, создание условий для их занятости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43.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Проведение информационно-разъяснительной работы о возможностях профессионального обучения и дополнительного профессионального образования, в том числе с использованием дистанционных форм обучения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просвещения и науки Кабардино-Балкарской Республики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предоставлена возможность гражданам старшего поколения пройти обучение и получить образование, в том числе с применением дистанционных форм обучения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44.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Содействие трудоустройству граждан старшего поколения, обратившихся в учреждения занятости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 и социальной защиты Кабардино-Балкарской Республики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трудоустройство граждан старшего поколения, обратившихся в службу занятости за содействием в поиске работы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45.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Оказание государственной услуги по профессиональной ориентации гражданам предпенсионного и пенсионного возраста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 и социальной защиты Кабардино-Балкарской Республики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созданы условия для недопущения дискриминации граждан старшего поколения на рынке и способствующие продолжению трудовой деятельности после наступления пенсионного возраста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46.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Ведение целевой информационно-просветительской деятельности в отношении граждан старшего поколения по повышению финансовой грамотности и формирования финансовой культуры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 и социальной защиты Кабардино-Балкарской Республики,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культуры Кабардино-Балкарской Республики</w:t>
            </w:r>
          </w:p>
        </w:tc>
        <w:tc>
          <w:tcPr>
            <w:tcW w:w="2324" w:type="dxa"/>
          </w:tcPr>
          <w:p>
            <w:pPr>
              <w:pStyle w:val="0"/>
              <w:ind w:firstLine="32"/>
            </w:pPr>
            <w:r>
              <w:rPr>
                <w:sz w:val="20"/>
              </w:rPr>
              <w:t xml:space="preserve">повышение уровня финансовой грамотности, в том числе навыков граждан старшего поколения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47.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Поддержка предпринимательских инициатив граждан предпенсионного возраста в рамках оказания государственной социальной помощи на основании социального контракта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 и социальной защиты Кабардино-Балкарской Республики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оказано содействие гражданам республики предпенсионного возраста по осуществлению индивидуальной предпринимательской деятельности в рамках оказания государственной социальной помощи на основании социального контракта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48.</w:t>
            </w:r>
          </w:p>
        </w:tc>
        <w:tc>
          <w:tcPr>
            <w:tcW w:w="2551" w:type="dxa"/>
          </w:tcPr>
          <w:p>
            <w:pPr>
              <w:pStyle w:val="0"/>
              <w:ind w:firstLine="32"/>
            </w:pPr>
            <w:r>
              <w:rPr>
                <w:sz w:val="20"/>
              </w:rPr>
              <w:t xml:space="preserve">Развитие наставничества посредством использования трудового потенциала граждан старшего поколения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 и социальной защиты Кабардино-Балкарской Республики,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здравоохранения Кабардино-Балкарской Республики;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просвещения и науки Кабардино-Балкарской Республики,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культуры Кабардино-Балкарской Республики;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спорта Кабардино-Балкарской Республики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повышение качества жизни и благополучия граждан старшего поколения, передача накопленного опыта старшим поколением молодым специалистам</w:t>
            </w:r>
          </w:p>
        </w:tc>
      </w:tr>
      <w:tr>
        <w:tc>
          <w:tcPr>
            <w:gridSpan w:val="5"/>
            <w:tcW w:w="9070" w:type="dxa"/>
          </w:tcPr>
          <w:p>
            <w:pPr>
              <w:pStyle w:val="0"/>
              <w:outlineLvl w:val="2"/>
              <w:jc w:val="center"/>
            </w:pPr>
            <w:r>
              <w:rPr>
                <w:sz w:val="20"/>
              </w:rPr>
              <w:t xml:space="preserve">V. Развитие инфраструктуры для качественной и безопасной жизни граждан старшего поколения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49.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Создание условий для беспрепятственного доступа граждан старшего поколения к объектам социальной инфраструктуры, включая установку перил, поручней, козырьков над подъездами, пандусов, создание понятной навигации в населенных пунктах и в зданиях социально значимых объектов жилищного фонда и социально-значимых объектов для использования гражданами старшего поколения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 и социальной защиты Кабардино-Балкарской Республики;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здравоохранения Кабардино-Балкарской Республики;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просвещения и науки Кабардино-Балкарской Республики;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культуры Кабардино-Балкарской Республики;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спорта Кабардино-Балкарской Республики;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органы местного самоуправления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 гражданам старшего поколения беспрепятственный доступ к социально значимым объектам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50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Благоустройство общественных территорий, включая придомовые территории, с учетом потребностей граждан старшего поколения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органы местного самоуправления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созданы комфортные условия для проживания старшего поколения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51.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Обеспечение приспособленности парка общественного транспорта к потребностям маломобильных групп населения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транспорта и дорожного хозяйства Кабардино-Балкарской Республики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обновлен автопарк общественного транспорта с учетом базовых требований доступности транспортного комплекса для маломобильных граждан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52.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Создание доступных маршрутов движения и остановок общественного транспорта, безопасных пешеходных переходов, установка светофоров со звуковым дублированием сигналов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органы местного самоуправления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маршруты движения и остановок общественного транспорта, безопасных пешеходных переходов, установка светофоров со звуковым дублированием сигналов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53.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Развитие транспортной доступности для граждан старшего поколения, проживающих в труднодоступных и отдаленных районах и населенных пунктах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транспорта и дорожного хозяйства Кабардино-Балкарской Республики;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органы местного самоуправления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увеличены универсальные пассажирские транспортные средства на маршрутах общественного и коммерческого пассажирского транспорта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54.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Формирование общественного мнения о недопустимости жестокого обращения с гражданами старшего поколения путем проведения информационных кампаний, включающих информирование, подготовку материалов о физиологических и психологических особенностях старения, о гериатрических синдромах, а также об организации различных видов помощи гражданам старшего поколения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здравоохранения Кабардино-Балкарской Республики;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 и социальной защиты Кабардино-Балкарской Республики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проведены информационные кампании, которые включают информирование о физиологических и психологических особенностях старения, о гериатрических синдромах, а также об организации различных видов помощи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55.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Осуществление деятельности, направленной на выявление случаев жестокого обращения с гражданами старшего поколения, в том числе посредством обучения ухаживающих родственников и работников медицинских и социальных организаций диагностике ситуаций жестокого обращения, создания системы оказания экстренной помощи гражданам старшего поколения в таких ситуациях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 и социальной защиты Кабардино-Балкарской Республики;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здравоохранения Кабардино-Балкарской Республики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предотвращены случаи жестокого обращения с гражданами старшего поколения, и насилия в отношении них, оказана экстренная помощь в таких ситуациях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56.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Повышение информированности граждан старшего поколения о правилах безопасности дома и на улице, во время выполнения повседневных задач и в случае экстренных природных и техногенных угроз жизни и здоровью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 и социальной защиты Кабардино-Балкарской Республики,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культуры Кабардино-Балкарской Республики,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спорта Кабардино-Балкарской Республики,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органы местного самоуправления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разработаны и распространены информационные материалы о правилах безопасности дома и на улице, а также при возникновении чрезвычайных ситуаций</w:t>
            </w:r>
          </w:p>
        </w:tc>
      </w:tr>
      <w:tr>
        <w:tc>
          <w:tcPr>
            <w:tcW w:w="680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57.</w:t>
            </w:r>
          </w:p>
        </w:tc>
        <w:tc>
          <w:tcPr>
            <w:tcW w:w="2551" w:type="dxa"/>
          </w:tcPr>
          <w:p>
            <w:pPr>
              <w:pStyle w:val="0"/>
            </w:pPr>
            <w:r>
              <w:rPr>
                <w:sz w:val="20"/>
              </w:rPr>
              <w:t xml:space="preserve">Информирование граждан старшего поколения о наиболее распространенных правонарушениях, совершаемых в отношении граждан старшего поколения, включая случаи дистанционного мошенничества, о способах защиты от преступных посягательств и мерах личной безопасности</w:t>
            </w:r>
          </w:p>
        </w:tc>
        <w:tc>
          <w:tcPr>
            <w:tcW w:w="1304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2025 - 2030 годы</w:t>
            </w:r>
          </w:p>
        </w:tc>
        <w:tc>
          <w:tcPr>
            <w:tcW w:w="2211" w:type="dxa"/>
          </w:tcPr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труда и социальной защиты Кабардино-Балкарской Республики,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культуры Кабардино-Балкарской Республики,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Министерство спорта Кабардино-Балкарской Республики</w:t>
            </w:r>
          </w:p>
          <w:p>
            <w:pPr>
              <w:pStyle w:val="0"/>
              <w:jc w:val="center"/>
            </w:pPr>
            <w:r>
              <w:rPr>
                <w:sz w:val="20"/>
              </w:rPr>
              <w:t xml:space="preserve">органы местного самоуправления</w:t>
            </w:r>
          </w:p>
        </w:tc>
        <w:tc>
          <w:tcPr>
            <w:tcW w:w="2324" w:type="dxa"/>
          </w:tcPr>
          <w:p>
            <w:pPr>
              <w:pStyle w:val="0"/>
            </w:pPr>
            <w:r>
              <w:rPr>
                <w:sz w:val="20"/>
              </w:rPr>
              <w:t xml:space="preserve">разработаны и распространены информационные материалы о возможных правонарушениях, мошеннических действиях в отношении граждан старшего поколения, о способах защиты от преступных посягательств и мерах личной безопасности</w:t>
            </w:r>
          </w:p>
        </w:tc>
      </w:tr>
    </w:tbl>
    <w:p>
      <w:pPr>
        <w:pStyle w:val="0"/>
        <w:jc w:val="both"/>
      </w:pPr>
      <w:r>
        <w:rPr>
          <w:sz w:val="20"/>
        </w:rPr>
      </w:r>
    </w:p>
    <w:p>
      <w:pPr>
        <w:pStyle w:val="0"/>
        <w:ind w:firstLine="540"/>
        <w:jc w:val="both"/>
      </w:pPr>
      <w:r>
        <w:rPr>
          <w:sz w:val="20"/>
        </w:rPr>
        <w:t xml:space="preserve">Примечание. Указание органов местного самоуправления в качестве ответственных исполнителей мероприятий носит рекомендательный характер.</w:t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</w:pPr>
      <w:r>
        <w:rPr>
          <w:sz w:val="20"/>
        </w:rPr>
      </w:r>
    </w:p>
    <w:p>
      <w:pPr>
        <w:pStyle w:val="0"/>
        <w:jc w:val="both"/>
        <w:pBdr>
          <w:bottom w:val="single" w:sz="6" w:space="0" w:color="auto"/>
        </w:pBdr>
        <w:spacing w:before="100" w:after="100"/>
        <w:rPr>
          <w:sz w:val="2"/>
          <w:szCs w:val="2"/>
        </w:rPr>
      </w:pPr>
    </w:p>
    <w:sectPr>
      <w:headerReference w:type="default" r:id="rId5"/>
      <w:headerReference w:type="first" r:id="rId5"/>
      <w:footerReference w:type="default" r:id="rId6"/>
      <w:footerReference w:type="first" r:id="rId6"/>
      <w:pgSz w:w="11906" w:h="16838"/>
      <w:pgMar w:top="1440" w:right="566" w:bottom="1440" w:left="1133" w:header="0" w:footer="0" w:gutter="0"/>
      <w:titlePg/>
    </w:sectPr>
  </w:body>
</w:document>
</file>

<file path=word/footer1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663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footer2.xml><?xml version="1.0" encoding="utf-8"?>
<w:ft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p>
    <w:pPr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Ind w:w="0" w:type="dxa"/>
      <w:tblCellMar>
        <w:left w:w="40" w:type="dxa"/>
        <w:right w:w="40" w:type="dxa"/>
      </w:tblCellMar>
      <w:tblLook w:firstRow="0" w:lastRow="0" w:firstColumn="0" w:lastColumn="0" w:noHBand="0" w:noVBand="0"/>
    </w:tblPr>
    <w:tblGrid>
      <w:gridCol w:w="1"/>
      <w:gridCol w:w="1"/>
      <w:gridCol w:w="1"/>
    </w:tblGrid>
    <w:tr>
      <w:trPr>
        <w:trHeight w:hRule="exact" w:val="1170"/>
      </w:trPr>
      <w:tc>
        <w:tcPr>
          <w:tcW w:w="1650" w:type="pct"/>
          <w:vAlign w:val="center"/>
        </w:tcPr>
        <w:p>
          <w:r>
            <w:rPr>
              <w:rFonts w:ascii="Tahoma" w:hAnsi="Tahoma" w:cs="Tahoma"/>
              <w:b/>
              <w:color w:val="f58220"/>
              <w:sz w:val="28"/>
              <w:szCs w:val="28"/>
              <w:noProof/>
            </w:rPr>
            <w:t>КонсультантПлюс</w:t>
          </w:r>
          <w:r>
            <w:rPr>
              <w:rFonts w:ascii="Tahoma" w:hAnsi="Tahoma" w:cs="Tahoma"/>
              <w:b/>
              <w:sz w:val="16"/>
              <w:szCs w:val="16"/>
              <w:noProof/>
            </w:rPr>
            <w:br/>
            <w:t>надежная правовая поддержка</w:t>
          </w:r>
        </w:p>
      </w:tc>
      <w:tc>
        <w:tcPr>
          <w:tcW w:w="1700" w:type="pct"/>
          <w:vAlign w:val="center"/>
        </w:tcPr>
        <w:p>
          <w:pPr>
            <w:jc w:val="center"/>
          </w:pPr>
          <w:hyperlink r:id="rId1" w:history="0">
            <w:r>
              <w:rPr>
                <w:rFonts w:ascii="Tahoma" w:hAnsi="Tahoma" w:cs="Tahoma"/>
                <w:b/>
                <w:color w:val="0000FF"/>
              </w:rPr>
              <w:t>www.consultant.ru</w:t>
            </w:r>
          </w:hyperlink>
        </w:p>
      </w:tc>
      <w:tc>
        <w:tcPr>
          <w:tcW w:w="1650" w:type="pct"/>
          <w:vAlign w:val="center"/>
        </w:tcPr>
        <w:p>
          <w:pPr>
            <w:jc w:val="end"/>
          </w:pPr>
          <w:r>
            <w:rPr>
              <w:rFonts w:ascii="Tahoma" w:hAnsi="Tahoma" w:cs="Tahoma"/>
            </w:rPr>
            <w:t xml:space="preserve">Страница </w:t>
          </w:r>
          <w:r>
            <w:fldChar w:fldCharType="begin"/>
          </w:r>
          <w:r>
            <w:rPr>
              <w:rFonts w:ascii="Tahoma" w:hAnsi="Tahoma" w:cs="Tahoma"/>
            </w:rPr>
            <w:instrText>PAGE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  <w:r>
            <w:rPr>
              <w:rFonts w:ascii="Tahoma" w:hAnsi="Tahoma" w:cs="Tahoma"/>
            </w:rPr>
            <w:t xml:space="preserve"> из </w:t>
          </w:r>
          <w:r>
            <w:fldChar w:fldCharType="begin"/>
          </w:r>
          <w:r>
            <w:rPr>
              <w:rFonts w:ascii="Tahoma" w:hAnsi="Tahoma" w:cs="Tahoma"/>
            </w:rPr>
            <w:instrText>NUMPAGES</w:instrText>
          </w:r>
          <w:r>
            <w:fldChar w:fldCharType="separate"/>
          </w:r>
          <w:r>
            <w:rPr>
              <w:rFonts w:ascii="Tahoma" w:hAnsi="Tahoma" w:cs="Tahoma"/>
              <w:noProof/>
            </w:rPr>
            <w:t>5</w:t>
          </w:r>
          <w:r>
            <w:fldChar w:fldCharType="end"/>
          </w:r>
        </w:p>
      </w:tc>
    </w:tr>
  </w:tbl>
  <w:p>
    <w:r>
      <w:rPr>
        <w:sz w:val="2"/>
        <w:szCs w:val="2"/>
      </w:rPr>
      <w:t>1</w:t>
    </w:r>
  </w:p>
</w:ftr>
</file>

<file path=word/header1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683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КБР от 28.12.2024 N 850-рп</w:t>
            <w:br/>
            <w:t>&lt;Об утверждении региональной программы "Активное долголетие в Каба...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header2.xml><?xml version="1.0" encoding="utf-8"?>
<w:hdr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i="http://schemas.microsoft.com/office/word/2010/wordprocessingInk" xmlns:wne="http://schemas.microsoft.com/office/word/2006/wordml" mc:Ignorable="w14 w15 w16se wne wp14">
  <w:tbl>
    <w:tblPr>
      <w:tblW w:w="5000" w:type="pct"/>
      <w:tblInd w:w="0" w:type="dxa"/>
      <w:tblLayout w:type="fixed"/>
      <w:tblCellMar>
        <w:left w:w="40" w:type="dxa"/>
        <w:right w:w="40" w:type="dxa"/>
      </w:tblCellMar>
    </w:tblPr>
    <w:tblGrid>
      <w:gridCol w:w="1"/>
      <w:gridCol w:w="1"/>
    </w:tblGrid>
    <w:tr>
      <w:trPr>
        <w:trHeight w:hRule="exact" w:val="1190"/>
      </w:trPr>
      <w:tc>
        <w:tcPr>
          <w:tcW w:w="2700" w:type="pct"/>
          <w:vAlign w:val="center"/>
        </w:tcPr>
        <w:p>
          <w:pPr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КБР от 28.12.2024 N 850-рп</w:t>
            <w:br/>
            <w:t>&lt;Об утверждении региональной программы "Активное долголетие в Каба...</w:t>
          </w:r>
        </w:p>
      </w:tc>
      <w:tc>
        <w:tcPr>
          <w:tcW w:w="2300" w:type="pct"/>
          <w:vAlign w:val="center"/>
        </w:tcPr>
        <w:p>
          <w:pPr>
            <w:jc w:val="end"/>
            <w:rPr>
              <w:rFonts w:ascii="Tahoma" w:hAnsi="Tahoma" w:cs="Tahoma"/>
            </w:rPr>
          </w:pPr>
          <w:r>
            <w:rPr>
              <w:rFonts w:ascii="Tahoma" w:hAnsi="Tahoma" w:cs="Tahoma"/>
              <w:sz w:val="18"/>
              <w:szCs w:val="18"/>
              <w:noProof/>
            </w:rPr>
            <w:t xml:space="preserve">Документ предоставлен </w:t>
          </w:r>
          <w:hyperlink r:id="rId1" w:history="0" w:tooltip="КонсультантПлюс - надежная правовая система">
            <w:r>
              <w:rPr>
                <w:rFonts w:ascii="Tahoma" w:hAnsi="Tahoma" w:cs="Tahoma"/>
                <w:color w:val="0000FF"/>
                <w:sz w:val="18"/>
                <w:szCs w:val="18"/>
                <w:noProof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31.05.2025</w:t>
          </w:r>
        </w:p>
      </w:tc>
    </w:tr>
  </w:tbl>
  <w:p>
    <w:pPr>
      <w:pBdr>
        <w:bottom w:val="single" w:sz="12" w:space="0" w:color="auto"/>
      </w:pBdr>
      <w:rPr>
        <w:sz w:val="2"/>
        <w:szCs w:val="2"/>
      </w:rPr>
    </w:pPr>
  </w:p>
  <w:p/>
</w:hdr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pPrDefault>
      <w:pPr>
        <w:spacing w:before="0" w:after="0" w:line="240" w:lineRule="auto"/>
      </w:pPr>
    </w:pPrDefault>
  </w:docDefaults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default="1" w:customStyle="1" w:styleId="0">
    <w:name w:val="ConsPlusNormal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1">
    <w:name w:val="ConsPlusNonforma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2">
    <w:name w:val="ConsPlusTitle"/>
    <w:pPr>
      <w:widowControl w:val="0"/>
      <w:autoSpaceDE w:val="0"/>
      <w:autoSpaceDN w:val="0"/>
    </w:pPr>
    <w:rPr>
      <w:rFonts w:ascii="Arial" w:hAnsi="Arial" w:cs="Arial"/>
      <w:sz w:val="20"/>
      <w:b/>
    </w:rPr>
  </w:style>
  <w:style w:type="paragraph" w:customStyle="1" w:styleId="3">
    <w:name w:val="ConsPlusCell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4">
    <w:name w:val="ConsPlusDocList"/>
    <w:pPr>
      <w:widowControl w:val="0"/>
      <w:autoSpaceDE w:val="0"/>
      <w:autoSpaceDN w:val="0"/>
    </w:pPr>
    <w:rPr>
      <w:rFonts w:ascii="Courier New" w:hAnsi="Courier New" w:cs="Courier New"/>
      <w:sz w:val="20"/>
    </w:rPr>
  </w:style>
  <w:style w:type="paragraph" w:customStyle="1" w:styleId="5">
    <w:name w:val="ConsPlusTitlePage"/>
    <w:pPr>
      <w:widowControl w:val="0"/>
      <w:autoSpaceDE w:val="0"/>
      <w:autoSpaceDN w:val="0"/>
    </w:pPr>
    <w:rPr>
      <w:rFonts w:ascii="Tahoma" w:hAnsi="Tahoma" w:cs="Tahoma"/>
      <w:sz w:val="20"/>
    </w:rPr>
  </w:style>
  <w:style w:type="paragraph" w:customStyle="1" w:styleId="6">
    <w:name w:val="ConsPlusJurTerm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7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  <w:style w:type="paragraph" w:customStyle="1" w:styleId="8">
    <w:name w:val="ConsPlusTextList"/>
    <w:pPr>
      <w:widowControl w:val="0"/>
      <w:autoSpaceDE w:val="0"/>
      <w:autoSpaceDN w:val="0"/>
    </w:pPr>
    <w:rPr>
      <w:rFonts w:ascii="Arial" w:hAnsi="Arial" w:cs="Arial"/>
      <w:sz w:val="20"/>
    </w:rPr>
  </w:style>
</w:styles>
</file>

<file path=word/_rels/document.xml.rels>&#65279;<?xml version="1.0" encoding="UTF-8" standalone="yes"?>
<Relationships xmlns="http://schemas.openxmlformats.org/package/2006/relationships">
	<Relationship Id="rId1" Type="http://schemas.openxmlformats.org/officeDocument/2006/relationships/styles" Target="styles.xml"/>
	<Relationship Id="rId2" Type="http://schemas.openxmlformats.org/officeDocument/2006/relationships/image" Target="media/image1.png"/>
	<Relationship Id="rId3" Type="http://schemas.openxmlformats.org/officeDocument/2006/relationships/hyperlink" Target="https://www.consultant.ru" TargetMode = "External"/>
	<Relationship Id="rId4" Type="http://schemas.openxmlformats.org/officeDocument/2006/relationships/hyperlink" Target="https://www.consultant.ru" TargetMode = "External"/>
	<Relationship Id="rId5" Type="http://schemas.openxmlformats.org/officeDocument/2006/relationships/header" Target="header1.xml"/>
	<Relationship Id="rId6" Type="http://schemas.openxmlformats.org/officeDocument/2006/relationships/footer" Target="footer1.xml"/>
	<Relationship Id="rId7" Type="http://schemas.openxmlformats.org/officeDocument/2006/relationships/hyperlink" Target="https://login.consultant.ru/link/?req=doc&amp;base=RLAW304&amp;n=107903&amp;dst=100008" TargetMode = "External"/>
	<Relationship Id="rId8" Type="http://schemas.openxmlformats.org/officeDocument/2006/relationships/hyperlink" Target="https://login.consultant.ru/link/?req=doc&amp;base=RLAW304&amp;n=106785&amp;dst=100008" TargetMode = "External"/>
	<Relationship Id="rId9" Type="http://schemas.openxmlformats.org/officeDocument/2006/relationships/hyperlink" Target="https://login.consultant.ru/link/?req=doc&amp;base=RLAW304&amp;n=107331&amp;dst=100009" TargetMode = "External"/>
	<Relationship Id="rId10" Type="http://schemas.openxmlformats.org/officeDocument/2006/relationships/hyperlink" Target="https://login.consultant.ru/link/?req=doc&amp;base=RLAW304&amp;n=77228&amp;dst=110745" TargetMode = "External"/>
	<Relationship Id="rId11" Type="http://schemas.openxmlformats.org/officeDocument/2006/relationships/hyperlink" Target="https://login.consultant.ru/link/?req=doc&amp;base=RLAW304&amp;n=106649&amp;dst=100009" TargetMode = "External"/>
	<Relationship Id="rId12" Type="http://schemas.openxmlformats.org/officeDocument/2006/relationships/hyperlink" Target="https://login.consultant.ru/link/?req=doc&amp;base=RLAW304&amp;n=119161&amp;dst=100008" TargetMode = "External"/>
	<Relationship Id="rId13" Type="http://schemas.openxmlformats.org/officeDocument/2006/relationships/hyperlink" Target="https://login.consultant.ru/link/?req=doc&amp;base=RLAW304&amp;n=77225&amp;dst=103506" TargetMode = "External"/>
	<Relationship Id="rId14" Type="http://schemas.openxmlformats.org/officeDocument/2006/relationships/hyperlink" Target="https://login.consultant.ru/link/?req=doc&amp;base=RLAW304&amp;n=77231&amp;dst=105412" TargetMode = "External"/>
	<Relationship Id="rId15" Type="http://schemas.openxmlformats.org/officeDocument/2006/relationships/hyperlink" Target="https://login.consultant.ru/link/?req=doc&amp;base=RLAW304&amp;n=116886&amp;dst=105562" TargetMode = "External"/>
	<Relationship Id="rId16" Type="http://schemas.openxmlformats.org/officeDocument/2006/relationships/hyperlink" Target="https://login.consultant.ru/link/?req=doc&amp;base=RLAW304&amp;n=107903&amp;dst=100008" TargetMode = "External"/>
	<Relationship Id="rId17" Type="http://schemas.openxmlformats.org/officeDocument/2006/relationships/hyperlink" Target="https://login.consultant.ru/link/?req=doc&amp;base=RLAW304&amp;n=106785&amp;dst=100008" TargetMode = "External"/>
	<Relationship Id="rId18" Type="http://schemas.openxmlformats.org/officeDocument/2006/relationships/hyperlink" Target="https://login.consultant.ru/link/?req=doc&amp;base=RLAW304&amp;n=107331&amp;dst=100009" TargetMode = "External"/>
	<Relationship Id="rId19" Type="http://schemas.openxmlformats.org/officeDocument/2006/relationships/hyperlink" Target="https://login.consultant.ru/link/?req=doc&amp;base=RLAW304&amp;n=77228&amp;dst=110745" TargetMode = "External"/>
	<Relationship Id="rId20" Type="http://schemas.openxmlformats.org/officeDocument/2006/relationships/hyperlink" Target="https://login.consultant.ru/link/?req=doc&amp;base=RLAW304&amp;n=106649&amp;dst=100009" TargetMode = "External"/>
	<Relationship Id="rId21" Type="http://schemas.openxmlformats.org/officeDocument/2006/relationships/hyperlink" Target="https://login.consultant.ru/link/?req=doc&amp;base=RLAW304&amp;n=72911&amp;dst=113606" TargetMode = "External"/>
	<Relationship Id="rId22" Type="http://schemas.openxmlformats.org/officeDocument/2006/relationships/hyperlink" Target="https://login.consultant.ru/link/?req=doc&amp;base=RLAW304&amp;n=70399&amp;dst=100011" TargetMode = "External"/>
	<Relationship Id="rId23" Type="http://schemas.openxmlformats.org/officeDocument/2006/relationships/header" Target="header2.xml"/>
	<Relationship Id="rId24" Type="http://schemas.openxmlformats.org/officeDocument/2006/relationships/footer" Target="footer2.xml"/>
</Relationships>
</file>

<file path=word/_rels/foot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foot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1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word/_rels/header2.xml.rels>&#65279;<?xml version="1.0" encoding="UTF-8" standalone="yes"?>
<Relationships xmlns="http://schemas.openxmlformats.org/package/2006/relationships">
	<Relationship Id="rId1" Type="http://schemas.openxmlformats.org/officeDocument/2006/relationships/hyperlink" Target="https://www.consultant.ru" TargetMode = "External"/>
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КонсультантПлюс Версия 4025.00.02</Application>
  <Company>КонсультантПлюс Версия 4025.00.02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КБР от 28.12.2024 N 850-рп
&lt;Об утверждении региональной программы "Активное долголетие в Кабардино-Балкарской Республике" на 2025 - 2030 годы&gt;</dc:title>
  <dcterms:created xsi:type="dcterms:W3CDTF">2025-05-31T07:44:52Z</dcterms:created>
</cp:coreProperties>
</file>