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политики Калужской обл. от 12.02.2024 N 12-од</w:t>
              <w:br/>
              <w:t xml:space="preserve">"Об утверждении плана мероприятий по реализации в 2024 - 2026 годах Стратегии государственной политики Российской Федерации в отношении российского казачества на 2021 - 2030 годы на территории Калужской области"</w:t>
              <w:br/>
              <w:t xml:space="preserve">(Зарегистрировано в Администрации Губернатора Калужской обл. 20.02.2024 N 13975)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20 февраля 2024 г. N 13975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ВНУТРЕННЕЙ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февраля 2024 г. N 12-од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2024 - 2026 ГОДАХ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государственной политики Российской Федерации в отношении российского казачества на территории Калужской области, во исполнение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п. 4</w:t>
        </w:r>
      </w:hyperlink>
      <w:r>
        <w:rPr>
          <w:sz w:val="20"/>
        </w:rPr>
        <w:t xml:space="preserve"> распоряжения Правительства Российской Федерации от 18 ноября 2023 г. N 3248-р, в соответствии с </w:t>
      </w:r>
      <w:hyperlink w:history="0" r:id="rId8" w:tooltip="Постановление Правительства Калужской области от 17.07.2017 N 406 (ред. от 19.05.2023) &quot;Об утверждении Положения о министерстве внутренней политики Калу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внутренней политики Калужской области, утвержденным постановлением Правительства Калужской области от 17.07.2017 N 406 "Об утверждении Положения о министерстве внутренней политики Калужской области" (в ред. постановлений Правительства Калужской области от 01.10.2018 N 590, от 16.07.2019 N 444, от 26.12.2020 N 997, от 07.11.2022 N 853, от 14.11.2022 N 875, от 15.12.2022 N 977, от 19.05.2023 N 329)",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 на территории Калужской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- начальника управления внутренней политики (И.М.Федорова).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О.А.Калугин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 политики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12 февраля 2024 г. N 12-од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268"/>
        <w:gridCol w:w="1348"/>
        <w:gridCol w:w="2154"/>
        <w:gridCol w:w="3220"/>
        <w:gridCol w:w="2154"/>
        <w:gridCol w:w="1948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Стратегии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355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региональных и муниципальных нормативных правовых актов Калужской области по вопросам становления и развития комплексной инфраструктуры, государственной и иной службы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 (далее - МВП), органы исполнительной власти (далее - ОИВ) и местного самоуправления (далее - ОМСУ) Калужской области, Калужское отдельское казачье общество войскового казачьего общества "Центральное казачье войско" (далее - Калужское ОКО ВКО "ЦКВ")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законодательства в целях расширения полномочий казачьих обществ, внесенных в государственный реестр казачьих обществ в Российской Федерации, по участию в обеспечении охраны объектов различных форм собственности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и принятых нормативных правовых актов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органов государственной власти и местного самоуправления Калужской области</w:t>
            </w:r>
          </w:p>
        </w:tc>
      </w:tr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области, министерство образования и науки Калужской области (далее - Минобрнауки) при участии ОИВ, ОМСУ и Калужского ОКО ВКО "ЦКВ"</w:t>
            </w:r>
          </w:p>
        </w:tc>
        <w:tc>
          <w:tcPr>
            <w:tcW w:w="32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участия российского казачества в реализации государственной молодежной политики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Минобрнауки в МВП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 участием членов казачьих обществ и иных объединений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Калужского ОКО ВКО "ЦКВ"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2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МВП при участии ОИВ, ОМСУ и Калужского ОКО ВКО "ЦКВ"</w:t>
            </w:r>
          </w:p>
        </w:tc>
        <w:tc>
          <w:tcPr>
            <w:tcW w:w="32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 к государственной и иной службе российского казачества (по каждому виду службы)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Калужской области при участии ОИВ, ОМСУ, Калужского ОКО ВКО "ЦКВ"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несению государственной или иной службы, содействию государственным и муниципальным органам в осуществлении их полномочий, в том числе к участию в охране общественного порядка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УМВД России по Калужской области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ОМСУ, Калужского ОКО ВКО "ЦКВ"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ГУ МЧС России по Калужской области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ОМСУ, Калужского ОКО ВКО "ЦКВ"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ГУ МЧС России по Калужской области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ОМСУ, Калужского ОКО ВКО "ЦКВ"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ГУ МЧС России по Калужской области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Калужской области при участии ОИВ, ОМСУ, Калужского ОКО ВКО "ЦКВ"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ГУ МЧС России по Калужской области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Калужской области (далее - Минприроды) при участии ОИВ, ОМСУ, Калужского ОКО ВКО "ЦКВ"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Калужской области при участии Калужского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при содействии ОИВ и ОМСУ, Калужского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 (региональный компонент)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gridSpan w:val="7"/>
            <w:tcW w:w="1355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казачьих обществ и иных объединений казаков во Всероссийском семинаре-совещании "Российское казачество"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МВП, Калужское ОКО ВКО "ЦКВ" и иные объединения казаков (далее - ИОК)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"ЦКВ", ИОК, ОИВ, ОМСУ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ИОК, тяжелораненых или погибших в ходе проведения СВО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"ЦКВ", ИОК, ОИВ, ОМСУ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55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созданию новых и совершенствованию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МВП, Минобрнауки, министерство культуры и туризма Калужской области (далее - Минкультуры),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Калужской области, МВП,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 ежегодной Всероссийской военно-спортивной игре "Казачий сполох"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 (далее - Минспорта), Калужское ОКО ВКО "ЦКВ" и ИОК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области во Всероссийском слете казачьей молодежи "Готов к труду и обороне"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Минобрнауки, Управление молодежной политики Калужской области,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казачьей кадетской команды Калужской в спартакиаде допризывной казачьей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Минобрнауки, Управление молодежной политики Калужской области,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делегации калужского казачества в международной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МВП,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 при участии заинтересованных ОИВ и ОМСУ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звание "Лучший казачий кадетский класс"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области, Минобрнауки, Калужское ОКО ВКО "ЦКВ"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области, Калужское ОКО ВКО "ЦКВ" при участии ОИВ и ОМСУ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казачьих молодежных организаций в проведении Всероссийского форума (слета) казачьей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области, Калужское ОКО ВКО "ЦКВ" при участии ОИВ и ОМСУ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gridSpan w:val="7"/>
            <w:tcW w:w="1355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(в рамках всероссийского) фестиваля "Казачий круг"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при участии ОИВ, ОМСУ, Калужского ОКО ВКО "ЦКВ", ИОК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при участии ОИВ, ОМСУ, Калужского ОКО ВКО "ЦКВ", ИОК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при участии ОИВ, ОМСУ, Калужского ОКО ВКО "ЦКВ", ИОК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gridSpan w:val="7"/>
            <w:tcW w:w="1355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сферах хозяйственной и иной приносящей доход деятельности, предоставляемых федеральными органами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gridSpan w:val="7"/>
            <w:tcW w:w="1355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ОКО ВКО "ЦКВ", ИОК при участии ОИВ, ОМСУ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информационной политике Администрации Губернатора Калужской области при участии заинтересованных ОИВ, ОМСУ, Калужского ОКО ВКО "ЦКВ", ИОК</w:t>
            </w:r>
          </w:p>
        </w:tc>
        <w:tc>
          <w:tcPr>
            <w:tcW w:w="322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Интернет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МВП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Калужской обл. от 12.02.2024 N 12-од</w:t>
            <w:br/>
            <w:t>"Об утверждении плана мероприятий по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Калужской обл. от 12.02.2024 N 12-од</w:t>
            <w:br/>
            <w:t>"Об утверждении плана мероприятий по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yperlink" Target="https://login.consultant.ru/link/?req=doc&amp;base=RLAW037&amp;n=159994&amp;dst=100105" TargetMode = "External"/>
	<Relationship Id="rId9" Type="http://schemas.openxmlformats.org/officeDocument/2006/relationships/hyperlink" Target="https://login.consultant.ru/link/?req=doc&amp;base=LAW&amp;n=359568&amp;dst=100016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LAW&amp;n=1872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 Калужской обл. от 12.02.2024 N 12-од
"Об утверждении плана мероприятий по реализации в 2024 - 2026 годах Стратегии государственной политики Российской Федерации в отношении российского казачества на 2021 - 2030 годы на территории Калужской области"
(Зарегистрировано в Администрации Губернатора Калужской обл. 20.02.2024 N 13975)</dc:title>
  <dcterms:created xsi:type="dcterms:W3CDTF">2024-06-16T17:35:54Z</dcterms:created>
</cp:coreProperties>
</file>