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Калужской обл. от 18.04.2024 N 769-П</w:t>
              <w:br/>
              <w:t xml:space="preserve">"Об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аварийно-спасательных работ"</w:t>
              <w:br/>
              <w:t xml:space="preserve">(Зарегистрировано в Администрации Губернатора Калужской обл. 21.05.2024 N 14302)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21 мая 2024 г. N 14302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ТРУДА И СОЦИАЛЬНОЙ ЗАЩИТЫ</w:t>
      </w:r>
    </w:p>
    <w:p>
      <w:pPr>
        <w:pStyle w:val="2"/>
        <w:jc w:val="both"/>
      </w:pPr>
      <w:r>
        <w:rPr>
          <w:sz w:val="20"/>
        </w:rPr>
      </w:r>
    </w:p>
    <w:p>
      <w:pPr>
        <w:pStyle w:val="2"/>
        <w:jc w:val="center"/>
      </w:pPr>
      <w:r>
        <w:rPr>
          <w:sz w:val="20"/>
        </w:rPr>
        <w:t xml:space="preserve">ПРИКАЗ</w:t>
      </w:r>
    </w:p>
    <w:p>
      <w:pPr>
        <w:pStyle w:val="2"/>
        <w:jc w:val="center"/>
      </w:pPr>
      <w:r>
        <w:rPr>
          <w:sz w:val="20"/>
        </w:rPr>
        <w:t xml:space="preserve">от 18 апреля 2024 г. N 769-П</w:t>
      </w:r>
    </w:p>
    <w:p>
      <w:pPr>
        <w:pStyle w:val="2"/>
        <w:jc w:val="both"/>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ДЕЯТЕЛЬНОСТЬ ПО УЧАСТИЮ</w:t>
      </w:r>
    </w:p>
    <w:p>
      <w:pPr>
        <w:pStyle w:val="2"/>
        <w:jc w:val="center"/>
      </w:pPr>
      <w:r>
        <w:rPr>
          <w:sz w:val="20"/>
        </w:rPr>
        <w:t xml:space="preserve">В ПРОФИЛАКТИКЕ И (ИЛИ) ТУШЕНИИ ПОЖАРОВ И ПРОВЕДЕНИИ</w:t>
      </w:r>
    </w:p>
    <w:p>
      <w:pPr>
        <w:pStyle w:val="2"/>
        <w:jc w:val="center"/>
      </w:pPr>
      <w:r>
        <w:rPr>
          <w:sz w:val="20"/>
        </w:rPr>
        <w:t xml:space="preserve">АВАРИЙНО-СПАСАТЕЛЬНЫХ РАБОТ</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w:t>
      </w:r>
      <w:hyperlink w:history="0" r:id="rId10" w:tooltip="Приказ Министерства труда и социальной защиты Калужской обл. от 01.03.2024 N 384-П (ред. от 11.04.2024)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Зарегистрировано в Администрации Губернатора Калужской обл. 15.03.2024 N 14053)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01.03.2024 N 384-П "Об утверждении направления "Социальная политика" государственной программы Калужской области "Социальная поддержка граждан в Калужской области" (в ред. приказа министерства труда и социальной защиты Калужской области от 11.04.2024 N 701-П)</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из областного бюджета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аварийно-спасательных работ, согласно приложению к настоящему Приказу.</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П.В.Коновалов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 и социальной защиты</w:t>
      </w:r>
    </w:p>
    <w:p>
      <w:pPr>
        <w:pStyle w:val="0"/>
        <w:jc w:val="right"/>
      </w:pPr>
      <w:r>
        <w:rPr>
          <w:sz w:val="20"/>
        </w:rPr>
        <w:t xml:space="preserve">Калужской области</w:t>
      </w:r>
    </w:p>
    <w:p>
      <w:pPr>
        <w:pStyle w:val="0"/>
        <w:jc w:val="right"/>
      </w:pPr>
      <w:r>
        <w:rPr>
          <w:sz w:val="20"/>
        </w:rPr>
        <w:t xml:space="preserve">от 18 апреля 2024 г. N 769-П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ПО УЧАСТИЮ В ПРОФИЛАКТИКЕ И (ИЛИ) ТУШЕНИИ</w:t>
      </w:r>
    </w:p>
    <w:p>
      <w:pPr>
        <w:pStyle w:val="2"/>
        <w:jc w:val="center"/>
      </w:pPr>
      <w:r>
        <w:rPr>
          <w:sz w:val="20"/>
        </w:rPr>
        <w:t xml:space="preserve">ПОЖАРОВ И ПРОВЕДЕНИИ АВАРИЙНО-СПАСАТЕЛЬНЫХ РАБОТ</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определяет цели, порядок и условия предоставления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по участию в профилактике и (или) тушении пожаров и проведении аварийно-спасательных работ (далее - субсидия),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 (далее - Порядок).</w:t>
      </w:r>
    </w:p>
    <w:bookmarkStart w:id="44" w:name="P44"/>
    <w:bookmarkEnd w:id="44"/>
    <w:p>
      <w:pPr>
        <w:pStyle w:val="0"/>
        <w:spacing w:before="200" w:line-rule="auto"/>
        <w:ind w:firstLine="540"/>
        <w:jc w:val="both"/>
      </w:pPr>
      <w:r>
        <w:rPr>
          <w:sz w:val="20"/>
        </w:rPr>
        <w:t xml:space="preserve">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участию в профилактике и (или) тушении пожаров и проведении аварийно-спасательных работ, определенным в соответствии с </w:t>
      </w:r>
      <w:hyperlink w:history="0" w:anchor="P49" w:tooltip="2. Условия и порядок предоставления субсидии">
        <w:r>
          <w:rPr>
            <w:sz w:val="20"/>
            <w:color w:val="0000ff"/>
          </w:rPr>
          <w:t xml:space="preserve">разделом 2</w:t>
        </w:r>
      </w:hyperlink>
      <w:r>
        <w:rPr>
          <w:sz w:val="20"/>
        </w:rPr>
        <w:t xml:space="preserve"> Порядка, в рамках </w:t>
      </w:r>
      <w:hyperlink w:history="0" r:id="rId11" w:tooltip="Приказ Министерства труда и социальной защиты Калужской обл. от 01.03.2024 N 384-П (ред. от 11.04.2024)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Зарегистрировано в Администрации Губернатора Калужской обл. 15.03.2024 N 14053)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01.03.2024 N 384-П "Об утверждении направления "Социальная политика" государственной программы Калужской области "Социальная поддержка граждан в Калужской области".</w:t>
      </w:r>
    </w:p>
    <w:bookmarkStart w:id="45" w:name="P45"/>
    <w:bookmarkEnd w:id="45"/>
    <w:p>
      <w:pPr>
        <w:pStyle w:val="0"/>
        <w:spacing w:before="200" w:line-rule="auto"/>
        <w:ind w:firstLine="540"/>
        <w:jc w:val="both"/>
      </w:pPr>
      <w:r>
        <w:rPr>
          <w:sz w:val="20"/>
        </w:rPr>
        <w:t xml:space="preserve">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w:t>
      </w:r>
      <w:hyperlink w:history="0" r:id="rId12"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является министерство труда и социальной защиты Калужской области (далее - министерство).</w:t>
      </w:r>
    </w:p>
    <w:p>
      <w:pPr>
        <w:pStyle w:val="0"/>
        <w:spacing w:before="200" w:line-rule="auto"/>
        <w:ind w:firstLine="540"/>
        <w:jc w:val="both"/>
      </w:pPr>
      <w:r>
        <w:rPr>
          <w:sz w:val="20"/>
        </w:rPr>
        <w:t xml:space="preserve">1.4. Способом предоставления субсидии является финансовое обеспечение затрат.</w:t>
      </w:r>
    </w:p>
    <w:p>
      <w:pPr>
        <w:pStyle w:val="0"/>
        <w:spacing w:before="200" w:line-rule="auto"/>
        <w:ind w:firstLine="540"/>
        <w:jc w:val="both"/>
      </w:pPr>
      <w:r>
        <w:rPr>
          <w:sz w:val="20"/>
        </w:rPr>
        <w:t xml:space="preserve">1.5. Информация о субсидиях размещается в установленном Министерством финансов Российской Федерации порядке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bookmarkStart w:id="49" w:name="P49"/>
    <w:bookmarkEnd w:id="49"/>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51" w:name="P51"/>
    <w:bookmarkEnd w:id="51"/>
    <w:p>
      <w:pPr>
        <w:pStyle w:val="0"/>
        <w:ind w:firstLine="540"/>
        <w:jc w:val="both"/>
      </w:pPr>
      <w:r>
        <w:rPr>
          <w:sz w:val="20"/>
        </w:rPr>
        <w:t xml:space="preserve">2.1. Получателями субсидий являются социально ориентированные некоммерческие организации, не являющиеся государственными (муниципальными) учреждениями, отвечающие требованиям </w:t>
      </w:r>
      <w:hyperlink w:history="0" r:id="rId13"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подпункта 2.1 пункта 2 статьи 2</w:t>
        </w:r>
      </w:hyperlink>
      <w:r>
        <w:rPr>
          <w:sz w:val="20"/>
        </w:rPr>
        <w:t xml:space="preserve"> Федерального закона "О некоммерческих организациях", осуществляющие в соответствии с учредительными документами предусмотренную </w:t>
      </w:r>
      <w:hyperlink w:history="0" r:id="rId1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подпунктом 14 пункта 1 статьи 31.1</w:t>
        </w:r>
      </w:hyperlink>
      <w:r>
        <w:rPr>
          <w:sz w:val="20"/>
        </w:rPr>
        <w:t xml:space="preserve"> Федерального закона "О некоммерческих организациях" деятельность по участию в профилактике и (или) тушении пожаров и проведении аварийно-спасательных работ, зарегистрированные в качестве юридического лица на территории Калужской области и осуществляющие указанную деятельность не менее одного года, соответствующие требованиям, установленным </w:t>
      </w:r>
      <w:hyperlink w:history="0" w:anchor="P62"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пунктом 2.8</w:t>
        </w:r>
      </w:hyperlink>
      <w:r>
        <w:rPr>
          <w:sz w:val="20"/>
        </w:rPr>
        <w:t xml:space="preserve"> Порядка (далее - получатели).</w:t>
      </w:r>
    </w:p>
    <w:bookmarkStart w:id="52" w:name="P52"/>
    <w:bookmarkEnd w:id="52"/>
    <w:p>
      <w:pPr>
        <w:pStyle w:val="0"/>
        <w:spacing w:before="200" w:line-rule="auto"/>
        <w:ind w:firstLine="540"/>
        <w:jc w:val="both"/>
      </w:pPr>
      <w:r>
        <w:rPr>
          <w:sz w:val="20"/>
        </w:rPr>
        <w:t xml:space="preserve">2.2. Субсидия предоставляется на финансовое обеспечение затрат на предоставление гражданам услуг по участию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2.3. Получатель субсидии определяется по результатам проведения отбора получателей субсидий.</w:t>
      </w:r>
    </w:p>
    <w:p>
      <w:pPr>
        <w:pStyle w:val="0"/>
        <w:spacing w:before="200" w:line-rule="auto"/>
        <w:ind w:firstLine="540"/>
        <w:jc w:val="both"/>
      </w:pPr>
      <w:r>
        <w:rPr>
          <w:sz w:val="20"/>
        </w:rPr>
        <w:t xml:space="preserve">2.4. Отбор получателей субсидии осуществляется в соответствии с </w:t>
      </w:r>
      <w:hyperlink w:history="0" r:id="rId15"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РФ от 25.10.2023 N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с учетом особенностей, установленных настоящим Порядком.</w:t>
      </w:r>
    </w:p>
    <w:p>
      <w:pPr>
        <w:pStyle w:val="0"/>
        <w:spacing w:before="200" w:line-rule="auto"/>
        <w:ind w:firstLine="540"/>
        <w:jc w:val="both"/>
      </w:pPr>
      <w:r>
        <w:rPr>
          <w:sz w:val="20"/>
        </w:rPr>
        <w:t xml:space="preserve">2.5. Отбор получателей субсидии осуществляется на конкурентной основе способом запроса предложений исходя из соответствия участников отбора получателей субсидии категориям и (или) критериям и очередности поступления предложений (заявок) на участие в отборе получателей субсидий (далее - конкурентный отбор).</w:t>
      </w:r>
    </w:p>
    <w:p>
      <w:pPr>
        <w:pStyle w:val="0"/>
        <w:spacing w:before="200" w:line-rule="auto"/>
        <w:ind w:firstLine="540"/>
        <w:jc w:val="both"/>
      </w:pPr>
      <w:r>
        <w:rPr>
          <w:sz w:val="20"/>
        </w:rPr>
        <w:t xml:space="preserve">Проведение отбора получателей субсидии осуществляется с использованием государственной интегрированной информационной системы управления общественными финансами "Электронный бюджет". Объявление о проведении отбора получателей размещается на едином портале.</w:t>
      </w:r>
    </w:p>
    <w:p>
      <w:pPr>
        <w:pStyle w:val="0"/>
        <w:spacing w:before="200" w:line-rule="auto"/>
        <w:ind w:firstLine="540"/>
        <w:jc w:val="both"/>
      </w:pPr>
      <w:r>
        <w:rPr>
          <w:sz w:val="20"/>
        </w:rPr>
        <w:t xml:space="preserve">2.6. В целях проведения отбора получателей субсидий министерством создается комиссия. Состав и порядок работы комиссии определяются приказом министерства.</w:t>
      </w:r>
    </w:p>
    <w:bookmarkStart w:id="58" w:name="P58"/>
    <w:bookmarkEnd w:id="58"/>
    <w:p>
      <w:pPr>
        <w:pStyle w:val="0"/>
        <w:spacing w:before="200" w:line-rule="auto"/>
        <w:ind w:firstLine="540"/>
        <w:jc w:val="both"/>
      </w:pPr>
      <w:r>
        <w:rPr>
          <w:sz w:val="20"/>
        </w:rPr>
        <w:t xml:space="preserve">2.7. Для участия в отборе получатели размещают на портале предоставления мер финансовой государственной поддержки (</w:t>
      </w:r>
      <w:r>
        <w:rPr>
          <w:sz w:val="20"/>
        </w:rPr>
        <w:t xml:space="preserve">https://promote.budget.gov.ru/</w:t>
      </w:r>
      <w:r>
        <w:rPr>
          <w:sz w:val="20"/>
        </w:rPr>
        <w:t xml:space="preserve">)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pPr>
        <w:pStyle w:val="0"/>
        <w:spacing w:before="200" w:line-rule="auto"/>
        <w:ind w:firstLine="540"/>
        <w:jc w:val="both"/>
      </w:pPr>
      <w:r>
        <w:rPr>
          <w:sz w:val="20"/>
        </w:rPr>
        <w:t xml:space="preserve">2.7.1. Справки, подписанной участником конкурентного отбора, что он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4"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участию в профилактике и (или) тушении пожаров и проведении аварийно-спасательных работ, определенным в соответствии с разделом 2 Порядка, в рамках приказа министерства труда и социальной защиты Калужской области от 01.03.2024 N 384-П &quot;Об утверждении направления &quot;Социальная политика&quot; государственной программы Калужской области &quot;Социальная поддержка гра...">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2.7.2. Финансово-экономического обоснования необходимого размера субсидии с указанием направлений расходов, установленных в соответствии с </w:t>
      </w:r>
      <w:hyperlink w:history="0" w:anchor="P52" w:tooltip="2.2. Субсидия предоставляется на финансовое обеспечение затрат на предоставление гражданам услуг по участию в профилактике и (или) тушении пожаров и проведении аварийно-спасательных работ.">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2.7.3. Копии устава получателя.</w:t>
      </w:r>
    </w:p>
    <w:bookmarkStart w:id="62" w:name="P62"/>
    <w:bookmarkEnd w:id="62"/>
    <w:p>
      <w:pPr>
        <w:pStyle w:val="0"/>
        <w:spacing w:before="200" w:line-rule="auto"/>
        <w:ind w:firstLine="540"/>
        <w:jc w:val="both"/>
      </w:pPr>
      <w:r>
        <w:rPr>
          <w:sz w:val="20"/>
        </w:rPr>
        <w:t xml:space="preserve">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w:t>
      </w:r>
    </w:p>
    <w:p>
      <w:pPr>
        <w:pStyle w:val="0"/>
        <w:spacing w:before="200" w:line-rule="auto"/>
        <w:ind w:firstLine="540"/>
        <w:jc w:val="both"/>
      </w:pPr>
      <w:r>
        <w:rPr>
          <w:sz w:val="20"/>
        </w:rPr>
        <w:t xml:space="preserve">2.8.1. Участник конкурентного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2.8.2. Участник конкурентного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2.8.3. Участник конкурентного отбора не находится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2.8.4.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4"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участию в профилактике и (или) тушении пожаров и проведении аварийно-спасательных работ, определенным в соответствии с разделом 2 Порядка, в рамках приказа министерства труда и социальной защиты Калужской области от 01.03.2024 N 384-П &quot;Об утверждении направления &quot;Социальная политика&quot; государственной программы Калужской области &quot;Социальная поддержка гра...">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2.8.5. Участник конкурентного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2.8.6. У участника отбора получателей субсидий должна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Калужской областью;</w:t>
      </w:r>
    </w:p>
    <w:p>
      <w:pPr>
        <w:pStyle w:val="0"/>
        <w:spacing w:before="200" w:line-rule="auto"/>
        <w:ind w:firstLine="540"/>
        <w:jc w:val="both"/>
      </w:pPr>
      <w:r>
        <w:rPr>
          <w:sz w:val="20"/>
        </w:rPr>
        <w:t xml:space="preserve">2.8.7. У участника отбора получателей субсидий на едином налоговом счете должна отсутствовать или не превышать размер, определенный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2.8.8. 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2.9. Комиссия для рассмотрения заявок участников конкурентного отбора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законодательством Российской Федерации порядке:</w:t>
      </w:r>
    </w:p>
    <w:bookmarkStart w:id="72" w:name="P72"/>
    <w:bookmarkEnd w:id="72"/>
    <w:p>
      <w:pPr>
        <w:pStyle w:val="0"/>
        <w:spacing w:before="200" w:line-rule="auto"/>
        <w:ind w:firstLine="540"/>
        <w:jc w:val="both"/>
      </w:pPr>
      <w:r>
        <w:rPr>
          <w:sz w:val="20"/>
        </w:rPr>
        <w:t xml:space="preserve">2.9.1. Выписку из Единого государственного реестра юридических лиц;</w:t>
      </w:r>
    </w:p>
    <w:p>
      <w:pPr>
        <w:pStyle w:val="0"/>
        <w:spacing w:before="200" w:line-rule="auto"/>
        <w:ind w:firstLine="540"/>
        <w:jc w:val="both"/>
      </w:pPr>
      <w:r>
        <w:rPr>
          <w:sz w:val="20"/>
        </w:rPr>
        <w:t xml:space="preserve">2.9.2. Документ, подтверждающий отсутствие у получателя просроченной задолженности по возврату в областной бюджет иных субсидий, бюджетных инвестиций, а также иной просроченной (неурегулированной) задолженности по денежным обязательствам перед Калужской областью;</w:t>
      </w:r>
    </w:p>
    <w:bookmarkStart w:id="74" w:name="P74"/>
    <w:bookmarkEnd w:id="74"/>
    <w:p>
      <w:pPr>
        <w:pStyle w:val="0"/>
        <w:spacing w:before="200" w:line-rule="auto"/>
        <w:ind w:firstLine="540"/>
        <w:jc w:val="both"/>
      </w:pPr>
      <w:r>
        <w:rPr>
          <w:sz w:val="20"/>
        </w:rPr>
        <w:t xml:space="preserve">2.9.3. Документ, подтверждающий отсутствие у получателя субсидии задолженности по уплате налогов, сборов, страховых взносов в бюджеты бюджетной системы Российской Федерации.</w:t>
      </w:r>
    </w:p>
    <w:p>
      <w:pPr>
        <w:pStyle w:val="0"/>
        <w:spacing w:before="200" w:line-rule="auto"/>
        <w:ind w:firstLine="540"/>
        <w:jc w:val="both"/>
      </w:pPr>
      <w:r>
        <w:rPr>
          <w:sz w:val="20"/>
        </w:rPr>
        <w:t xml:space="preserve">Участник конкурентного отбора вправе представить документы, указанные в </w:t>
      </w:r>
      <w:hyperlink w:history="0" w:anchor="P72" w:tooltip="2.9.1. Выписку из Единого государственного реестра юридических лиц;">
        <w:r>
          <w:rPr>
            <w:sz w:val="20"/>
            <w:color w:val="0000ff"/>
          </w:rPr>
          <w:t xml:space="preserve">подпунктах 2.9.1</w:t>
        </w:r>
      </w:hyperlink>
      <w:r>
        <w:rPr>
          <w:sz w:val="20"/>
        </w:rPr>
        <w:t xml:space="preserve"> - </w:t>
      </w:r>
      <w:hyperlink w:history="0" w:anchor="P74" w:tooltip="2.9.3. Документ, подтверждающий отсутствие у получателя субсидии задолженности по уплате налогов, сборов, страховых взносов в бюджеты бюджетной системы Российской Федерации.">
        <w:r>
          <w:rPr>
            <w:sz w:val="20"/>
            <w:color w:val="0000ff"/>
          </w:rPr>
          <w:t xml:space="preserve">2.9.3</w:t>
        </w:r>
      </w:hyperlink>
      <w:r>
        <w:rPr>
          <w:sz w:val="20"/>
        </w:rPr>
        <w:t xml:space="preserve">, по собственной инициативе.</w:t>
      </w:r>
    </w:p>
    <w:p>
      <w:pPr>
        <w:pStyle w:val="0"/>
        <w:spacing w:before="200" w:line-rule="auto"/>
        <w:ind w:firstLine="540"/>
        <w:jc w:val="both"/>
      </w:pPr>
      <w:r>
        <w:rPr>
          <w:sz w:val="20"/>
        </w:rPr>
        <w:t xml:space="preserve">2.10. Проверка получателей (участников отбора) на соответствие требованиям, указанным в </w:t>
      </w:r>
      <w:hyperlink w:history="0" w:anchor="P62"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пункте 2.8</w:t>
        </w:r>
      </w:hyperlink>
      <w:r>
        <w:rPr>
          <w:sz w:val="20"/>
        </w:rPr>
        <w:t xml:space="preserve"> настоящего Порядка, осуществляется автоматически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0"/>
        <w:spacing w:before="200" w:line-rule="auto"/>
        <w:ind w:firstLine="540"/>
        <w:jc w:val="both"/>
      </w:pPr>
      <w:r>
        <w:rPr>
          <w:sz w:val="20"/>
        </w:rPr>
        <w:t xml:space="preserve">2.11. Проверка получателя (участника отбора) на соответствие установленным требованиям осуществляется на основании представленных документов, а также при необходимости на основании информации, полученной в рамках межведомственного взаимодействия, в том числе полученной из государственных информационных систем.</w:t>
      </w:r>
    </w:p>
    <w:p>
      <w:pPr>
        <w:pStyle w:val="0"/>
        <w:spacing w:before="200" w:line-rule="auto"/>
        <w:ind w:firstLine="540"/>
        <w:jc w:val="both"/>
      </w:pPr>
      <w:r>
        <w:rPr>
          <w:sz w:val="20"/>
        </w:rPr>
        <w:t xml:space="preserve">2.12. Подтверждение соответствия получателей (участников отбора) требованиям, указанным в </w:t>
      </w:r>
      <w:hyperlink w:history="0" w:anchor="P62"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пункте 2.8</w:t>
        </w:r>
      </w:hyperlink>
      <w:r>
        <w:rPr>
          <w:sz w:val="20"/>
        </w:rPr>
        <w:t xml:space="preserve">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получателями субсидий (участниками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bookmarkStart w:id="79" w:name="P79"/>
    <w:bookmarkEnd w:id="79"/>
    <w:p>
      <w:pPr>
        <w:pStyle w:val="0"/>
        <w:spacing w:before="200" w:line-rule="auto"/>
        <w:ind w:firstLine="540"/>
        <w:jc w:val="both"/>
      </w:pPr>
      <w:r>
        <w:rPr>
          <w:sz w:val="20"/>
        </w:rPr>
        <w:t xml:space="preserve">2.13. Оформление итогового протокола, который включает в себя: дату, время и место проведения рассмотрения заявок; информацию об участниках конкурентного отбора, заявки которых были рассмотрены; информацию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 наименование получателя (получателей) субсидии, с которым заключается соглашение о предоставлении субсидии и размер предоставляемой субсидии, и принятие решения о предоставлении субсидии, осуществляются в срок не более 20 рабочих дней после окончания срока подачи заявок.</w:t>
      </w:r>
    </w:p>
    <w:p>
      <w:pPr>
        <w:pStyle w:val="0"/>
        <w:spacing w:before="200" w:line-rule="auto"/>
        <w:ind w:firstLine="540"/>
        <w:jc w:val="both"/>
      </w:pPr>
      <w:r>
        <w:rPr>
          <w:sz w:val="20"/>
        </w:rPr>
        <w:t xml:space="preserve">2.14. Основаниями для отклонения заявки (отказа в предоставлении субсидии) являются:</w:t>
      </w:r>
    </w:p>
    <w:p>
      <w:pPr>
        <w:pStyle w:val="0"/>
        <w:spacing w:before="200" w:line-rule="auto"/>
        <w:ind w:firstLine="540"/>
        <w:jc w:val="both"/>
      </w:pPr>
      <w:r>
        <w:rPr>
          <w:sz w:val="20"/>
        </w:rPr>
        <w:t xml:space="preserve">2.14.1. Несоответствие получателя (участника отбора) требованиям, установленным в </w:t>
      </w:r>
      <w:hyperlink w:history="0" w:anchor="P51" w:tooltip="2.1. Получателями субсидий являются социально ориентированные некоммерческие организации, не являющиеся государственными (муниципальными) учреждениями, отвечающие требованиям подпункта 2.1 пункта 2 статьи 2 Федерального закона &quot;О некоммерческих организациях&quot;, осуществляющие в соответствии с учредительными документами предусмотренную подпунктом 14 пункта 1 статьи 31.1 Федерального закона &quot;О некоммерческих организациях&quot; деятельность по участию в профилактике и (или) тушении пожаров и проведении аварийно-сп...">
        <w:r>
          <w:rPr>
            <w:sz w:val="20"/>
            <w:color w:val="0000ff"/>
          </w:rPr>
          <w:t xml:space="preserve">пунктах 2.1</w:t>
        </w:r>
      </w:hyperlink>
      <w:r>
        <w:rPr>
          <w:sz w:val="20"/>
        </w:rPr>
        <w:t xml:space="preserve">, </w:t>
      </w:r>
      <w:hyperlink w:history="0" w:anchor="P62"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2.14.2. Несоответствие представленных получателем (участником отбора) документов требованиям </w:t>
      </w:r>
      <w:hyperlink w:history="0" w:anchor="P58"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пункта 2.7</w:t>
        </w:r>
      </w:hyperlink>
      <w:r>
        <w:rPr>
          <w:sz w:val="20"/>
        </w:rPr>
        <w:t xml:space="preserve">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2.14.3. Установление факта недостоверности представленной получателем (участником отбора) информации;</w:t>
      </w:r>
    </w:p>
    <w:p>
      <w:pPr>
        <w:pStyle w:val="0"/>
        <w:spacing w:before="200" w:line-rule="auto"/>
        <w:ind w:firstLine="540"/>
        <w:jc w:val="both"/>
      </w:pPr>
      <w:r>
        <w:rPr>
          <w:sz w:val="20"/>
        </w:rPr>
        <w:t xml:space="preserve">2.14.4. Подача участником конкурентного отбора заявки после даты и (или) времени, определенных для подачи заявки.</w:t>
      </w:r>
    </w:p>
    <w:p>
      <w:pPr>
        <w:pStyle w:val="0"/>
        <w:spacing w:before="200" w:line-rule="auto"/>
        <w:ind w:firstLine="540"/>
        <w:jc w:val="both"/>
      </w:pPr>
      <w:r>
        <w:rPr>
          <w:sz w:val="20"/>
        </w:rPr>
        <w:t xml:space="preserve">2.15. Размер субсидии, предоставляемой победителю конкурентного отбора, рассчитывается по формуле:</w:t>
      </w:r>
    </w:p>
    <w:p>
      <w:pPr>
        <w:pStyle w:val="0"/>
        <w:jc w:val="both"/>
      </w:pPr>
      <w:r>
        <w:rPr>
          <w:sz w:val="20"/>
        </w:rPr>
      </w:r>
    </w:p>
    <w:p>
      <w:pPr>
        <w:pStyle w:val="0"/>
        <w:ind w:firstLine="540"/>
        <w:jc w:val="both"/>
      </w:pPr>
      <w:r>
        <w:rPr>
          <w:position w:val="-25"/>
        </w:rPr>
        <w:drawing>
          <wp:inline distT="0" distB="0" distL="0" distR="0">
            <wp:extent cx="1019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Ci - размер субсидии на текущий финансовый год одному победителю конкурентного отбора, но не более размера, указанного в заявке об участии в конкурентном отборе, представленной в соответствии с </w:t>
      </w:r>
      <w:hyperlink w:history="0" w:anchor="P58"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C - объем бюджетных ассигнований, предусмотренный в областном бюджете на текущий финансовый год министерству на предоставление субсидий;</w:t>
      </w:r>
    </w:p>
    <w:p>
      <w:pPr>
        <w:pStyle w:val="0"/>
        <w:spacing w:before="200" w:line-rule="auto"/>
        <w:ind w:firstLine="540"/>
        <w:jc w:val="both"/>
      </w:pPr>
      <w:r>
        <w:rPr>
          <w:sz w:val="20"/>
        </w:rPr>
        <w:t xml:space="preserve">Vi - объем потребности в бюджетных ассигнованиях одного получателя, указанный в заявке на участие в конкурентном отборе, представленной в соответствии с </w:t>
      </w:r>
      <w:hyperlink w:history="0" w:anchor="P58"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объем потребности в бюджетных ассигнованиях всех получателей, указанный в заявках об участии в конкурентном отборе, представленных в соответствии с </w:t>
      </w:r>
      <w:hyperlink w:history="0" w:anchor="P58"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2.16. Заключение соглашения о предоставлении субсидии (далее - соглашение) и перечисление субсидии осуществляются министерством в срок не позднее десятого рабочего дня со дня принятия министерством решения, указанного в </w:t>
      </w:r>
      <w:hyperlink w:history="0" w:anchor="P79" w:tooltip="2.13. Оформление итогового протокола, который включает в себя: дату, время и место проведения рассмотрения заявок; информацию об участниках конкурентного отбора, заявки которых были рассмотрены; информацию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 наименование получателя (получателей) субсидии, с которым заключается соглашение о предоставлении суб...">
        <w:r>
          <w:rPr>
            <w:sz w:val="20"/>
            <w:color w:val="0000ff"/>
          </w:rPr>
          <w:t xml:space="preserve">пункте 2.13</w:t>
        </w:r>
      </w:hyperlink>
      <w:r>
        <w:rPr>
          <w:sz w:val="20"/>
        </w:rPr>
        <w:t xml:space="preserve"> Порядка.</w:t>
      </w:r>
    </w:p>
    <w:p>
      <w:pPr>
        <w:pStyle w:val="0"/>
        <w:spacing w:before="200" w:line-rule="auto"/>
        <w:ind w:firstLine="540"/>
        <w:jc w:val="both"/>
      </w:pPr>
      <w:r>
        <w:rPr>
          <w:sz w:val="20"/>
        </w:rPr>
        <w:t xml:space="preserve">Перечисление субсидии осуществляется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pPr>
        <w:pStyle w:val="0"/>
        <w:spacing w:before="200" w:line-rule="auto"/>
        <w:ind w:firstLine="540"/>
        <w:jc w:val="both"/>
      </w:pPr>
      <w:r>
        <w:rPr>
          <w:sz w:val="20"/>
        </w:rPr>
        <w:t xml:space="preserve">Субсидии, подлежащие в соответствии с бюджетным законодательством 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второго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w:t>
      </w:r>
    </w:p>
    <w:p>
      <w:pPr>
        <w:pStyle w:val="0"/>
        <w:spacing w:before="200" w:line-rule="auto"/>
        <w:ind w:firstLine="540"/>
        <w:jc w:val="both"/>
      </w:pPr>
      <w:r>
        <w:rPr>
          <w:sz w:val="20"/>
        </w:rPr>
        <w:t xml:space="preserve">2.17. Соглашение заключается с победителем конкурентного отбора в соответствии с типовой формой, установленной министерством финансов Калужской области. 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 в соответствии с типовой формой, установленной министерством финансов Калужской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5" w:tooltip="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Законом Калужской области &quot;Об областном бюджете на 2024 год и на плановый период 2025 и 2026 годов&quot;, является министерство труда и социальной защиты Калужской области (...">
        <w:r>
          <w:rPr>
            <w:sz w:val="20"/>
            <w:color w:val="0000ff"/>
          </w:rPr>
          <w:t xml:space="preserve">пункте 1.3</w:t>
        </w:r>
      </w:hyperlink>
      <w:r>
        <w:rPr>
          <w:sz w:val="20"/>
        </w:rPr>
        <w:t xml:space="preserve"> Порядка, приводящего к невозможности предоставления субсидии в размере, определенном в соглашении, а также о согласии получателя на осуществление министерством проверок соблюдения получателем условий и порядка предоставления субсидий, в том числе в части достижения результата предоставления субсидии, а органом государственного финансового контроля - проверок соблюдения получателем условий и порядка предоставления субсидий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соглашении указываются точная дата завершения и конечное значение результата предоставления субсидии (конкретная количественная характеристика итогов).</w:t>
      </w:r>
    </w:p>
    <w:p>
      <w:pPr>
        <w:pStyle w:val="0"/>
        <w:spacing w:before="200" w:line-rule="auto"/>
        <w:ind w:firstLine="540"/>
        <w:jc w:val="both"/>
      </w:pPr>
      <w:r>
        <w:rPr>
          <w:sz w:val="20"/>
        </w:rPr>
        <w:t xml:space="preserve">2.18. Получателю субсидии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2.19. Получателю субсидии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в случае принятия министерством решения о потребности в указанных средствах или возврате указанных средств при отсутствии в них потребности в порядке и сроки, указанные в решении министерства, принятом в соответствии с </w:t>
      </w:r>
      <w:hyperlink w:history="0" r:id="rId23" w:tooltip="Постановление Правительства Калужской области от 13.12.2023 N 843 &quot;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 {КонсультантПлюс}">
        <w:r>
          <w:rPr>
            <w:sz w:val="20"/>
            <w:color w:val="0000ff"/>
          </w:rPr>
          <w:t xml:space="preserve">постановлением</w:t>
        </w:r>
      </w:hyperlink>
      <w:r>
        <w:rPr>
          <w:sz w:val="20"/>
        </w:rPr>
        <w:t xml:space="preserve"> Правительства Калужской области от 13.12.2023 N 843 "Об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потребности".</w:t>
      </w:r>
    </w:p>
    <w:p>
      <w:pPr>
        <w:pStyle w:val="0"/>
        <w:spacing w:before="200" w:line-rule="auto"/>
        <w:ind w:firstLine="540"/>
        <w:jc w:val="both"/>
      </w:pPr>
      <w:r>
        <w:rPr>
          <w:sz w:val="20"/>
        </w:rPr>
        <w:t xml:space="preserve">2.20.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2.21.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w:history="0" r:id="rId24"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bookmarkStart w:id="103" w:name="P103"/>
    <w:bookmarkEnd w:id="103"/>
    <w:p>
      <w:pPr>
        <w:pStyle w:val="0"/>
        <w:spacing w:before="200" w:line-rule="auto"/>
        <w:ind w:firstLine="540"/>
        <w:jc w:val="both"/>
      </w:pPr>
      <w:r>
        <w:rPr>
          <w:sz w:val="20"/>
        </w:rPr>
        <w:t xml:space="preserve">2.22.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w:history="0" r:id="rId25"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передающего свои права другому гражданину в соответствии со </w:t>
      </w:r>
      <w:hyperlink w:history="0" r:id="rId26"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статьей 18</w:t>
        </w:r>
      </w:hyperlink>
      <w:r>
        <w:rPr>
          <w:sz w:val="20"/>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bookmarkStart w:id="104" w:name="P104"/>
    <w:bookmarkEnd w:id="104"/>
    <w:p>
      <w:pPr>
        <w:pStyle w:val="0"/>
        <w:spacing w:before="200" w:line-rule="auto"/>
        <w:ind w:firstLine="540"/>
        <w:jc w:val="both"/>
      </w:pPr>
      <w:r>
        <w:rPr>
          <w:sz w:val="20"/>
        </w:rPr>
        <w:t xml:space="preserve">2.23. Результатом предоставления субсидии является:</w:t>
      </w:r>
    </w:p>
    <w:p>
      <w:pPr>
        <w:pStyle w:val="0"/>
        <w:spacing w:before="200" w:line-rule="auto"/>
        <w:ind w:firstLine="540"/>
        <w:jc w:val="both"/>
      </w:pPr>
      <w:r>
        <w:rPr>
          <w:sz w:val="20"/>
        </w:rPr>
        <w:t xml:space="preserve">2.23.1. Тип результата предоставления субсидии - оказание услуг: планируется оказание услуг по организации и осуществлению профилактики пожаров.</w:t>
      </w:r>
    </w:p>
    <w:p>
      <w:pPr>
        <w:pStyle w:val="0"/>
        <w:jc w:val="both"/>
      </w:pPr>
      <w:r>
        <w:rPr>
          <w:sz w:val="20"/>
        </w:rPr>
      </w:r>
    </w:p>
    <w:p>
      <w:pPr>
        <w:pStyle w:val="2"/>
        <w:outlineLvl w:val="1"/>
        <w:jc w:val="center"/>
      </w:pPr>
      <w:r>
        <w:rPr>
          <w:sz w:val="20"/>
        </w:rPr>
        <w:t xml:space="preserve">3. Требования к представлению отчетности, осуществлению</w:t>
      </w:r>
    </w:p>
    <w:p>
      <w:pPr>
        <w:pStyle w:val="2"/>
        <w:jc w:val="center"/>
      </w:pPr>
      <w:r>
        <w:rPr>
          <w:sz w:val="20"/>
        </w:rPr>
        <w:t xml:space="preserve">контроля (мониторинга) за соблюдением условий и порядка</w:t>
      </w:r>
    </w:p>
    <w:p>
      <w:pPr>
        <w:pStyle w:val="2"/>
        <w:jc w:val="center"/>
      </w:pPr>
      <w:r>
        <w:rPr>
          <w:sz w:val="20"/>
        </w:rPr>
        <w:t xml:space="preserve">предоставления субсидий и ответственности за их нарушение</w:t>
      </w:r>
    </w:p>
    <w:p>
      <w:pPr>
        <w:pStyle w:val="0"/>
        <w:jc w:val="both"/>
      </w:pPr>
      <w:r>
        <w:rPr>
          <w:sz w:val="20"/>
        </w:rPr>
      </w:r>
    </w:p>
    <w:p>
      <w:pPr>
        <w:pStyle w:val="0"/>
        <w:ind w:firstLine="540"/>
        <w:jc w:val="both"/>
      </w:pPr>
      <w:r>
        <w:rPr>
          <w:sz w:val="20"/>
        </w:rPr>
        <w:t xml:space="preserve">3.1. Получатель субсидии (участник отбора) представляет в министерство по формам, определенным типовой формой соглашения, установленной министерством финансов Калужской области, отчетность:</w:t>
      </w:r>
    </w:p>
    <w:bookmarkStart w:id="112" w:name="P112"/>
    <w:bookmarkEnd w:id="112"/>
    <w:p>
      <w:pPr>
        <w:pStyle w:val="0"/>
        <w:spacing w:before="200" w:line-rule="auto"/>
        <w:ind w:firstLine="540"/>
        <w:jc w:val="both"/>
      </w:pPr>
      <w:r>
        <w:rPr>
          <w:sz w:val="20"/>
        </w:rPr>
        <w:t xml:space="preserve">3.1.1. О достижении значения результата предоставления субсидии, указанного в соглашении о предоставлении субсидии, - не позднее 10-го рабочего дня месяца, следующего за отчетным кварталом;</w:t>
      </w:r>
    </w:p>
    <w:bookmarkStart w:id="113" w:name="P113"/>
    <w:bookmarkEnd w:id="113"/>
    <w:p>
      <w:pPr>
        <w:pStyle w:val="0"/>
        <w:spacing w:before="200" w:line-rule="auto"/>
        <w:ind w:firstLine="540"/>
        <w:jc w:val="both"/>
      </w:pPr>
      <w:r>
        <w:rPr>
          <w:sz w:val="20"/>
        </w:rPr>
        <w:t xml:space="preserve">3.1.2. Об осуществлении расходов, источником финансового обеспечения которых является субсидия, - ежеквартально не позднее 10-го рабочего дня месяца, следующего за отчетным кварталом.</w:t>
      </w:r>
    </w:p>
    <w:p>
      <w:pPr>
        <w:pStyle w:val="0"/>
        <w:spacing w:before="200" w:line-rule="auto"/>
        <w:ind w:firstLine="540"/>
        <w:jc w:val="both"/>
      </w:pPr>
      <w:r>
        <w:rPr>
          <w:sz w:val="20"/>
        </w:rPr>
        <w:t xml:space="preserve">3.2. Министерство осуществляет проверку и принятие отчетов, представленных получателем субсидии, указанных в </w:t>
      </w:r>
      <w:hyperlink w:history="0" w:anchor="P112" w:tooltip="3.1.1. О достижении значения результата предоставления субсидии, указанного в соглашении о предоставлении субсидии, - не позднее 10-го рабочего дня месяца, следующего за отчетным кварталом;">
        <w:r>
          <w:rPr>
            <w:sz w:val="20"/>
            <w:color w:val="0000ff"/>
          </w:rPr>
          <w:t xml:space="preserve">подпунктах 3.1.1</w:t>
        </w:r>
      </w:hyperlink>
      <w:r>
        <w:rPr>
          <w:sz w:val="20"/>
        </w:rPr>
        <w:t xml:space="preserve">, </w:t>
      </w:r>
      <w:hyperlink w:history="0" w:anchor="P113" w:tooltip="3.1.2. Об осуществлении расходов, источником финансового обеспечения которых является субсидия, - ежеквартально не позднее 10-го рабочего дня месяца, следующего за отчетным кварталом.">
        <w:r>
          <w:rPr>
            <w:sz w:val="20"/>
            <w:color w:val="0000ff"/>
          </w:rPr>
          <w:t xml:space="preserve">3.1.2</w:t>
        </w:r>
      </w:hyperlink>
      <w:r>
        <w:rPr>
          <w:sz w:val="20"/>
        </w:rPr>
        <w:t xml:space="preserve">, в срок, не превышающий 30 рабочих дней со дня представления такого отчета.</w:t>
      </w:r>
    </w:p>
    <w:p>
      <w:pPr>
        <w:pStyle w:val="0"/>
        <w:spacing w:before="200" w:line-rule="auto"/>
        <w:ind w:firstLine="540"/>
        <w:jc w:val="both"/>
      </w:pPr>
      <w:r>
        <w:rPr>
          <w:sz w:val="20"/>
        </w:rPr>
        <w:t xml:space="preserve">3.3. Мониторинг достижения результата предоставления субсидии, указанного в </w:t>
      </w:r>
      <w:hyperlink w:history="0" w:anchor="P104" w:tooltip="2.23. Результатом предоставления субсидии является:">
        <w:r>
          <w:rPr>
            <w:sz w:val="20"/>
            <w:color w:val="0000ff"/>
          </w:rPr>
          <w:t xml:space="preserve">пункте 2.23</w:t>
        </w:r>
      </w:hyperlink>
      <w:r>
        <w:rPr>
          <w:sz w:val="20"/>
        </w:rPr>
        <w:t xml:space="preserve"> Порядка, проводится министерством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3.4. Министерство осуществляет проверку соблюдения получателем условий и порядка предоставления субсидий, в том числе в части достижения результата предоставления субсидии, указанного в </w:t>
      </w:r>
      <w:hyperlink w:history="0" w:anchor="P103" w:tooltip="2.22.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quot;О крестьянском (фермерском) хозяйстве&quot;, в соглашение вносятся изменения путем заключения дополнительного соглашения к соглашению в части пе...">
        <w:r>
          <w:rPr>
            <w:sz w:val="20"/>
            <w:color w:val="0000ff"/>
          </w:rPr>
          <w:t xml:space="preserve">пункте 2.22</w:t>
        </w:r>
      </w:hyperlink>
      <w:r>
        <w:rPr>
          <w:sz w:val="20"/>
        </w:rPr>
        <w:t xml:space="preserve"> Порядка, а орган государственного финансового контроля осуществляет проверку в соответствии 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3.5. В случае недостижения значения результата предоставления субсидии, указанного в соглашении, получатель в срок не позднее 1 февраля следующего финансового года осуществляет возврат субсидии путем перечисления денежных средств в областной бюджет.</w:t>
      </w:r>
    </w:p>
    <w:p>
      <w:pPr>
        <w:pStyle w:val="0"/>
        <w:spacing w:before="200" w:line-rule="auto"/>
        <w:ind w:firstLine="540"/>
        <w:jc w:val="both"/>
      </w:pPr>
      <w:r>
        <w:rPr>
          <w:sz w:val="20"/>
        </w:rPr>
        <w:t xml:space="preserve">3.6. В случае недостижения значения результата предоставления субсидии в установленные соглашением сроки получатель субсидии уплачивает пеню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областной бюджет).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Калужской обл. от 18.04.2024 N 769-П</w:t>
            <w:br/>
            <w:t>"Об утверждении Порядка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19" TargetMode = "External"/>
	<Relationship Id="rId9" Type="http://schemas.openxmlformats.org/officeDocument/2006/relationships/hyperlink" Target="https://login.consultant.ru/link/?req=doc&amp;base=RLAW037&amp;n=164813" TargetMode = "External"/>
	<Relationship Id="rId10" Type="http://schemas.openxmlformats.org/officeDocument/2006/relationships/hyperlink" Target="https://login.consultant.ru/link/?req=doc&amp;base=RLAW037&amp;n=168820&amp;dst=101181" TargetMode = "External"/>
	<Relationship Id="rId11" Type="http://schemas.openxmlformats.org/officeDocument/2006/relationships/hyperlink" Target="https://login.consultant.ru/link/?req=doc&amp;base=RLAW037&amp;n=168820&amp;dst=101181" TargetMode = "External"/>
	<Relationship Id="rId12" Type="http://schemas.openxmlformats.org/officeDocument/2006/relationships/hyperlink" Target="https://login.consultant.ru/link/?req=doc&amp;base=RLAW037&amp;n=164813" TargetMode = "External"/>
	<Relationship Id="rId13" Type="http://schemas.openxmlformats.org/officeDocument/2006/relationships/hyperlink" Target="https://login.consultant.ru/link/?req=doc&amp;base=LAW&amp;n=463532&amp;dst=666" TargetMode = "External"/>
	<Relationship Id="rId14" Type="http://schemas.openxmlformats.org/officeDocument/2006/relationships/hyperlink" Target="https://login.consultant.ru/link/?req=doc&amp;base=LAW&amp;n=463532&amp;dst=451" TargetMode = "External"/>
	<Relationship Id="rId15" Type="http://schemas.openxmlformats.org/officeDocument/2006/relationships/hyperlink" Target="https://login.consultant.ru/link/?req=doc&amp;base=LAW&amp;n=463135" TargetMode = "External"/>
	<Relationship Id="rId16" Type="http://schemas.openxmlformats.org/officeDocument/2006/relationships/hyperlink" Target="https://login.consultant.ru/link/?req=doc&amp;base=LAW&amp;n=121087&amp;dst=100142"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image" Target="media/image2.wmf"/>
	<Relationship Id="rId20" Type="http://schemas.openxmlformats.org/officeDocument/2006/relationships/image" Target="media/image3.wmf"/>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RLAW037&amp;n=165157" TargetMode = "External"/>
	<Relationship Id="rId24" Type="http://schemas.openxmlformats.org/officeDocument/2006/relationships/hyperlink" Target="https://login.consultant.ru/link/?req=doc&amp;base=LAW&amp;n=471848&amp;dst=217" TargetMode = "External"/>
	<Relationship Id="rId25" Type="http://schemas.openxmlformats.org/officeDocument/2006/relationships/hyperlink" Target="https://login.consultant.ru/link/?req=doc&amp;base=LAW&amp;n=471848&amp;dst=217" TargetMode = "External"/>
	<Relationship Id="rId26" Type="http://schemas.openxmlformats.org/officeDocument/2006/relationships/hyperlink" Target="https://login.consultant.ru/link/?req=doc&amp;base=LAW&amp;n=394431&amp;dst=100104"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Калужской обл. от 18.04.2024 N 769-П
"Об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аварийно-спасательных работ"
(Зарегистрировано в Администрации Губернатора Калужской обл. 21.05.2024 N 14302)</dc:title>
  <dcterms:created xsi:type="dcterms:W3CDTF">2024-06-16T16:41:20Z</dcterms:created>
</cp:coreProperties>
</file>