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Камчатского края от 20.03.2024 N 127-П</w:t>
              <w:br/>
              <w:t xml:space="preserve">(ред. от 28.05.2024)</w:t>
              <w:br/>
              <w:t xml:space="preserve">"Об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КАМЧАТСКОГО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марта 2024 г. N 127-П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ИЗ КРАЕВОГО БЮДЖЕТА В 2024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КАМЧАТСКОМ</w:t>
      </w:r>
    </w:p>
    <w:p>
      <w:pPr>
        <w:pStyle w:val="2"/>
        <w:jc w:val="center"/>
      </w:pPr>
      <w:r>
        <w:rPr>
          <w:sz w:val="20"/>
        </w:rPr>
        <w:t xml:space="preserve">КРАЕ В ЦЕЛЯХ ФИНАНСОВОГО ОБЕСПЕЧЕНИЯ ЗАТРАТ, СВЯЗАННЫХ</w:t>
      </w:r>
    </w:p>
    <w:p>
      <w:pPr>
        <w:pStyle w:val="2"/>
        <w:jc w:val="center"/>
      </w:pPr>
      <w:r>
        <w:rPr>
          <w:sz w:val="20"/>
        </w:rPr>
        <w:t xml:space="preserve">С ОКАЗАНИЕМ УСЛУГ В СФЕРЕ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28.05.2024 N 255-П)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,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4 статьи 78.5</w:t>
        </w:r>
      </w:hyperlink>
      <w:r>
        <w:rPr>
          <w:sz w:val="20"/>
        </w:rPr>
        <w:t xml:space="preserve"> Бюджетного кодекса Российской Федерации, Общими </w:t>
      </w:r>
      <w:hyperlink w:history="0" r:id="rId10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25.10.2023 N 1782,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Е.А.ЧЕКИН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20.03.2024 N 127-П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КРАЕВОГО БЮДЖЕТА</w:t>
      </w:r>
    </w:p>
    <w:p>
      <w:pPr>
        <w:pStyle w:val="2"/>
        <w:jc w:val="center"/>
      </w:pPr>
      <w:r>
        <w:rPr>
          <w:sz w:val="20"/>
        </w:rPr>
        <w:t xml:space="preserve">В 2024 ГОДУ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КАМЧАТСКОМ КРАЕ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ЗАТРАТ, СВЯЗАННЫХ С ОКАЗАНИЕМ УСЛУГ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28.05.2024 N 255-П)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предоставления из краевого бюджета за счет средств краевого бюджета в 2024 году субсидий социально ориентированным некоммерческим организациям (далее - Организации) в целях достижения результатов ведомственного проекта "Развитие массового спорта" государственной </w:t>
      </w:r>
      <w:hyperlink w:history="0" r:id="rId12" w:tooltip="Постановление Правительства Камчатского края от 27.12.2023 N 695-П &quot;Об утверждении государственной программы Камчатского края &quot;Развитие физической культуры и спорта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"Развитие физической культуры и спорта в Камчатском крае", утвержденной Постановлением Правительства Камчатского края от 27.12.2023 N 695-П, на финансовое обеспечение затрат, связанных с оказанием услуг в сфере физической культуры и спорта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Министерством спорта Камчатского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Министерством в пределах лимитов бюджетных обязательств, доведенных до Министерства в установленном порядке, на цели, указанные в </w:t>
      </w:r>
      <w:hyperlink w:history="0" w:anchor="P45" w:tooltip="1. Настоящий Порядок регулирует вопросы предоставления из краевого бюджета за счет средств краевого бюджета в 2024 году субсидий социально ориентированным некоммерческим организациям (далее - Организации) в целях достижения результатов ведомственного проекта &quot;Развитие массового спорта&quot; государственной программы Камчатского края &quot;Развитие физической культуры и спорта в Камчатском крае&quot;, утвержденной Постановлением Правительства Камчатского края от 27.12.2023 N 695-П, на финансовое обеспечение затрат, связ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носит целевой характер и не может быть израсходована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</w:t>
      </w:r>
      <w:hyperlink w:history="0" r:id="rId13" w:tooltip="Закон Камчатского края от 23.11.2023 N 300 (ред. от 13.03.2024) &quot;О краевом бюджете на 2024 год и на плановый период 2025 и 2026 годов&quot; (принят Постановлением Законодательного Собрания Камчатского края от 21.11.2023 N 54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23.11.2023 N 300 "О краевом бюджете на 2024 год и на плановый период 2025 и 2026 годов" получателями субсидии являются следующие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Региональная общественная организация "Федерация смешанного боевого единоборства (ММА) Камчатского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Общественная организация Камчатская краевая детско-юношеская Федерация "Киокусинкай";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Региональная общественная организация "Камчатская Федерация Лыжных Гонок";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Региональная общественная организация "Федерация настольного тенниса Камчатского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Общественная организация "Камчатская Краевая Федерация Кикбоксинга";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Автономная некоммерческая организация "Детско-юношеский спортивный клуб "Камчатка".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по следующим направлениям расходов: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Региональной общественной организации "Федерация смешанного боевого единоборства (ММА) Камчатского края" - на приобретение спортивного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Общественной организации Камчатская краевая детско-юношеская Федерация "Киокусинкай":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приобретение спортивного инвентаря для спортивных залов по адресу: г. Петропавловск-Камчатский ул. Сахалинская д. 10 и ул. Петра Ильичева д. 80 (МБОУ "Средняя школа N 17 им. В.С. Завойко");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издание книги, посвященной развитию киокусинкай в Камчатском крае;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Региональной общественной организации "Камчатская Федерация Лыжных Гонок" - на проведение внепланового спортивного весеннего мероприятия "Мама, брат и я - лыжная семья";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Региональной общественной организации "Федерация настольного тенниса Камчатского края" - на командирование для участия в соревнованиях членов сборных команд и тренеров за пределами Камчатского края;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Общественной организации "Камчатская Краевая Федерация Кикбоксинга" - на развитие кикбоксинга в Камчатском крае и проезд спортсменов в поселок Ключи с целью проведения соревнований по кикбоксингу;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Автономной некоммерческой организации "Детско-юношеский спортивный клуб "Камчатка" - на командирование спортсменов за пределы Камчатского края для участия в соревнованиях и учебно-тренировочных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Способом предоставления субсидии является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субсидиях размещается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Условиями предоставления субсидии является соответствие Организации на первое число месяца, в котором планируется заключение соглашения о предоставлении субсидии (далее - Соглашение), следующим требованиям: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должна находиться в составляемых в рамках реализации полномочий, предусмотренных </w:t>
      </w:r>
      <w:hyperlink w:history="0" r:id="rId1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28.05.2024 N 255-П)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является получателем средств из краевого бюджета на основании иных нормативных правовых актов Камчатского края на цели, установленные настоящим Порядком;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 Организации должна отсутствовать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 (за исключением случаев, установленных Правительством Камчатского края);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не должна являться иностранным агентом в соответствии с Федеральным </w:t>
      </w:r>
      <w:hyperlink w:history="0" r:id="rId16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255-ФЗ "О контроле за деятельностью лиц, находящихся под иностранным влиянием";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28.05.2024 N 255-П)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реестре дисквалифицированных лиц отсутствуют сведения о дисквалифицированных руководителе или главном бухгалтере Организации;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 Организации должна отсутствовать на едином налоговом счете или не превышать размер, определенный </w:t>
      </w:r>
      <w:hyperlink w:history="0" r:id="rId18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Субсидия предоставляется Организации в соответствии с Соглашением, заключаемым Министерством с Организацией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типовыми формами, утвержденными Министерством финансов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Соглашения), уведомляет Организацию о данном намерении посредством электронной связи, почтового отправления, нарочно или иным способом, обеспечивающим подтверждение получения уведомления.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28.05.2024 N 255-П)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10 рабочих дней со дня получения уведомления, указанного в настоящей части, но не позднее 20 декабря соответствующего финансового года, подписывает дополнительное соглашение к Соглашению (дополнительного соглашения о расторжении Соглашения) на бумажном носителе и направляет посредством почтового отправления, нарочно или иным способом, обеспечивающим подтверждение получения дополнительного соглашения к Соглашению (дополнительного соглашения о расторжении Соглашения).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28.05.2024 N 255-П)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получения подписанного Организацией дополнительного соглашения к Соглашению (дополнительного соглашения о расторжении Соглашения) подписывает его на бумажном носителе и направляет один экземпляр дополнительного соглашения к Соглашению в адрес Организации посредством почтового отправления, нарочно или иным способом, обеспечивающим подтверждение получения дополнительного соглашения к Соглашению (дополнительного соглашения о расторжении Соглашения).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28.05.2024 N 255-П)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подтверждения соответствия требованиям, установленным в </w:t>
      </w:r>
      <w:hyperlink w:history="0" w:anchor="P67" w:tooltip="7. Условиями предоставления субсидии является соответствие Организации на первое число месяца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настоящего Порядка, Организация в срок до 1 октября представляет в Министерство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28.05.2024 N 255-П)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предоставление субсидии с указанием реквизитов расчетного или корреспондентского счета Организации, открытого в учреждениях Центрального банка Российской Федерации или кредитной организации, по форме, утвержденной Министерством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с одновременным предоставлением оригиналов для сверки и заверения;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справку, подписанную руководителем Организации, подтверждающую соответствие Организации требованиям, указанным в </w:t>
      </w:r>
      <w:hyperlink w:history="0" w:anchor="P68" w:tooltip="1)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77" w:tooltip="8) в реестре дисквалифицированных лиц отсутствуют сведения о дисквалифицированных руководителе или главном бухгалтере Организации;">
        <w:r>
          <w:rPr>
            <w:sz w:val="20"/>
            <w:color w:val="0000ff"/>
          </w:rPr>
          <w:t xml:space="preserve">8 части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соответствие Организации требованию, установленному </w:t>
      </w:r>
      <w:hyperlink w:history="0" w:anchor="P78" w:tooltip="9) у Организации должна отсутствовать на едином налоговом счете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">
        <w:r>
          <w:rPr>
            <w:sz w:val="20"/>
            <w:color w:val="0000ff"/>
          </w:rPr>
          <w:t xml:space="preserve">пунктом 9 части 7</w:t>
        </w:r>
      </w:hyperlink>
      <w:r>
        <w:rPr>
          <w:sz w:val="20"/>
        </w:rPr>
        <w:t xml:space="preserve"> настоящего Порядка, выданный налоговым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смету по направлениям расходов, предусмотренных </w:t>
      </w:r>
      <w:hyperlink w:history="0" w:anchor="P56" w:tooltip="4. Субсидии предоставляются по следующим направлениям расходов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указанные в </w:t>
      </w:r>
      <w:hyperlink w:history="0" w:anchor="P87" w:tooltip="9. Для подтверждения соответствия требованиям, установленным в части 7 настоящего Порядка, Организация в срок до 1 октября представляет в Министерство следующие документы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Порядка, подлежат обязательной регистрации в день их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в течение 10 рабочих дней с даты регистрации Организацией документов, указанных в </w:t>
      </w:r>
      <w:hyperlink w:history="0" w:anchor="P87" w:tooltip="9. Для подтверждения соответствия требованиям, установленным в части 7 настоящего Порядка, Организация в срок до 1 октября представляет в Министерство следующие документы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Порядка, проводит проверку соответствия Организации требованиям, установленным </w:t>
      </w:r>
      <w:hyperlink w:history="0" w:anchor="P67" w:tooltip="7. Условиями предоставления субсидии является соответствие Организации на первое число месяца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частью 7</w:t>
        </w:r>
      </w:hyperlink>
      <w:r>
        <w:rPr>
          <w:sz w:val="20"/>
        </w:rPr>
        <w:t xml:space="preserve"> настоящего Порядка, в том числе устанавливает полноту и достоверность сведений, содержащихся в прилагаемых документах, а также запрашивает в отношении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из Единого государственного реестра юридических лиц (индивидуальных предпринимателей). Организация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соответствии Организации требованиям </w:t>
      </w:r>
      <w:hyperlink w:history="0" w:anchor="P69" w:tooltip="2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">
        <w:r>
          <w:rPr>
            <w:sz w:val="20"/>
            <w:color w:val="0000ff"/>
          </w:rPr>
          <w:t xml:space="preserve">пункта 2 части 7</w:t>
        </w:r>
      </w:hyperlink>
      <w:r>
        <w:rPr>
          <w:sz w:val="20"/>
        </w:rPr>
        <w:t xml:space="preserve"> настоящего Порядка на официальном сайте Росфинмониторинга на странице "Перечень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3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28.05.2024 N 255-П)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соответствии Организации требованиям </w:t>
      </w:r>
      <w:hyperlink w:history="0" w:anchor="P70" w:tooltip="3) Организация не должна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">
        <w:r>
          <w:rPr>
            <w:sz w:val="20"/>
            <w:color w:val="0000ff"/>
          </w:rPr>
          <w:t xml:space="preserve">пункта 3 части 7</w:t>
        </w:r>
      </w:hyperlink>
      <w:r>
        <w:rPr>
          <w:sz w:val="20"/>
        </w:rPr>
        <w:t xml:space="preserve"> настоящего Порядка сведения на официальном сайте Росфинмониторинга на странице "Перечни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ООН";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4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28.05.2024 N 255-П)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соответствии Организациям требованиям </w:t>
      </w:r>
      <w:hyperlink w:history="0" w:anchor="P72" w:tooltip="4) Организация не является получателем средств из краевого бюджета на основании иных нормативных правовых актов Камчатского края на цели, установленные настоящим Порядком;">
        <w:r>
          <w:rPr>
            <w:sz w:val="20"/>
            <w:color w:val="0000ff"/>
          </w:rPr>
          <w:t xml:space="preserve">пунктов 4</w:t>
        </w:r>
      </w:hyperlink>
      <w:r>
        <w:rPr>
          <w:sz w:val="20"/>
        </w:rPr>
        <w:t xml:space="preserve"> и </w:t>
      </w:r>
      <w:hyperlink w:history="0" w:anchor="P73" w:tooltip="5) у Организации должна отсутствовать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 (за исключением случаев, установленных Правительством Камчатского края);">
        <w:r>
          <w:rPr>
            <w:sz w:val="20"/>
            <w:color w:val="0000ff"/>
          </w:rPr>
          <w:t xml:space="preserve">5 части 7</w:t>
        </w:r>
      </w:hyperlink>
      <w:r>
        <w:rPr>
          <w:sz w:val="20"/>
        </w:rPr>
        <w:t xml:space="preserve"> настоящего Порядка в исполнительных органах Камчатского края;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5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28.05.2024 N 255-П)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о соответствии Организации требованиям </w:t>
      </w:r>
      <w:hyperlink w:history="0" w:anchor="P74" w:tooltip="6) Организация не должна являться иностранным агентом в соответствии с Федеральным законом от 14.07.2022 N 255-ФЗ &quot;О контроле за деятельностью лиц, находящихся под иностранным влиянием&quot;;">
        <w:r>
          <w:rPr>
            <w:sz w:val="20"/>
            <w:color w:val="0000ff"/>
          </w:rPr>
          <w:t xml:space="preserve">пункта 6 части 7</w:t>
        </w:r>
      </w:hyperlink>
      <w:r>
        <w:rPr>
          <w:sz w:val="20"/>
        </w:rPr>
        <w:t xml:space="preserve"> настоящего Порядка на официальном сайте Министерства юстиции Российской Федерации на странице "Реестр иностранных агентов";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6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28.05.2024 N 255-П)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о соответствии Организации требованиям </w:t>
      </w:r>
      <w:hyperlink w:history="0" w:anchor="P76" w:tooltip="7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пунктов 7</w:t>
        </w:r>
      </w:hyperlink>
      <w:r>
        <w:rPr>
          <w:sz w:val="20"/>
        </w:rPr>
        <w:t xml:space="preserve"> и </w:t>
      </w:r>
      <w:hyperlink w:history="0" w:anchor="P78" w:tooltip="9) у Организации должна отсутствовать на едином налоговом счете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">
        <w:r>
          <w:rPr>
            <w:sz w:val="20"/>
            <w:color w:val="0000ff"/>
          </w:rPr>
          <w:t xml:space="preserve">9 части 7</w:t>
        </w:r>
      </w:hyperlink>
      <w:r>
        <w:rPr>
          <w:sz w:val="20"/>
        </w:rPr>
        <w:t xml:space="preserve"> настоящего Порядка на официальном сайте Федеральной налоговой службы.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7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28.05.2024 N 255-П)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рассмотрения документов, указанных в </w:t>
      </w:r>
      <w:hyperlink w:history="0" w:anchor="P87" w:tooltip="9. Для подтверждения соответствия требованиям, установленным в части 7 настоящего Порядка, Организация в срок до 1 октября представляет в Министерство следующие документы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Порядка, проведенной проверки Организации на соответствие требованиям, установленным </w:t>
      </w:r>
      <w:hyperlink w:history="0" w:anchor="P67" w:tooltip="7. Условиями предоставления субсидии является соответствие Организации на первое число месяца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частью 7</w:t>
        </w:r>
      </w:hyperlink>
      <w:r>
        <w:rPr>
          <w:sz w:val="20"/>
        </w:rPr>
        <w:t xml:space="preserve"> настоящего Порядка, Министерство принимает решение о предоставлении субсидии или об отказе в предоставлении субсидии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Субсидии предоставляются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Региональной общественной организации "Федерация смешанного боевого единоборства (ММА) Камчатского края" - 100 000,0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Общественной организации Камчатская краевая детско-юношеская Федерация "Киокусинкай" - 300 000,0 рублей по направлению расходов, указанному в </w:t>
      </w:r>
      <w:hyperlink w:history="0" w:anchor="P59" w:tooltip="а) на приобретение спортивного инвентаря для спортивных залов по адресу: г. Петропавловск-Камчатский ул. Сахалинская д. 10 и ул. Петра Ильичева д. 80 (МБОУ &quot;Средняя школа N 17 им. В.С. Завойко&quot;);">
        <w:r>
          <w:rPr>
            <w:sz w:val="20"/>
            <w:color w:val="0000ff"/>
          </w:rPr>
          <w:t xml:space="preserve">подпункте "а" пункта 2 части 4</w:t>
        </w:r>
      </w:hyperlink>
      <w:r>
        <w:rPr>
          <w:sz w:val="20"/>
        </w:rPr>
        <w:t xml:space="preserve"> настоящего Порядка и 50 000,0 рублей по направлению расходов, указанному в </w:t>
      </w:r>
      <w:hyperlink w:history="0" w:anchor="P60" w:tooltip="б) на издание книги, посвященной развитию киокусинкай в Камчатском крае;">
        <w:r>
          <w:rPr>
            <w:sz w:val="20"/>
            <w:color w:val="0000ff"/>
          </w:rPr>
          <w:t xml:space="preserve">подпункте "б" пункта 2 части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Региональной общественной организации "Камчатская Федерация Лыжных Гонок" - 180 000,0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Региональной общественной организации "Федерация настольного тенниса Камчатского края" - 201 685,0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Общественной организации "Камчатская Краевая Федерация Кикбоксинга" - 100 000,0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Автономной некоммерческой организации "Детско-юношеский спортивный клуб "Камчатка" - 200 000,0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предоставлении Организации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 предоставления субсидии, установленным </w:t>
      </w:r>
      <w:hyperlink w:history="0" w:anchor="P67" w:tooltip="7. Условиями предоставления субсидии является соответствие Организации на первое число месяца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частью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документов требованиям, установленным </w:t>
      </w:r>
      <w:hyperlink w:history="0" w:anchor="P87" w:tooltip="9. Для подтверждения соответствия требованиям, установленным в части 7 настоящего Порядка, Организация в срок до 1 октября представляет в Министерство следующие документы:">
        <w:r>
          <w:rPr>
            <w:sz w:val="20"/>
            <w:color w:val="0000ff"/>
          </w:rPr>
          <w:t xml:space="preserve">частью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 в полном объеме Организацией документов, указанных в </w:t>
      </w:r>
      <w:hyperlink w:history="0" w:anchor="P87" w:tooltip="9. Для подтверждения соответствия требованиям, установленным в части 7 настоящего Порядка, Организация в срок до 1 октября представляет в Министерство следующие документы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принятия решения о предоставлении Организации субсидии Министерство заключает с Организацией Соглашение в следующем порядке и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в течение 10 рабочих дней со дня принятия решения о предоставлении субсидии направляет Организации соответствующее уведомление и проект соглашения в двух экземплярах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 течение 10 рабочих дней со дня получения проекта соглашения подписывает и направляет в адрес Министерства два экземпляра проекта соглашения посредством почтового отправления или нарочно;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непоступления в Министерство двух экземпляров подписанного Соглашения в течение 30 рабочих дней со дня получения Организацией проекта соглашения Организация признается уклонившейся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Министерство подписывает с Организацией Соглашение и регистрирует его в срок не позднее 10 рабочих дней со дня получения, подписанного со стороны Организации проекта соглашения, и направляет один экземпляр Соглашения в адрес Организации посредством почтового отправления или нарочно;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Соглашение вступает в силу с момента его заключения (подписания сторонами и регистрации).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уведомление о принятом решении с обоснованием причин отказа способом, обеспечивающим подтверждение получения, указанного уведомления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Обязательными условиями предоставления субсидии, включаемыми соответственно в Соглашение и в договоры, заключенные в целях исполнения обязательств по Соглашению,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проверок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</w:t>
      </w:r>
      <w:hyperlink w:history="0" r:id="rId2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перечисляет субсидию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заявке, в течение 15 рабочих дней с даты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разделения, выделения, а также при ликвидации Организации,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Результатами предоставления субсидии по состоянию на 31 декабря текущего финансового года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</w:t>
      </w:r>
      <w:hyperlink w:history="0" w:anchor="P57" w:tooltip="1) Региональной общественной организации &quot;Федерация смешанного боевого единоборства (ММА) Камчатского края&quot; - на приобретение спортивного инвентаря;">
        <w:r>
          <w:rPr>
            <w:sz w:val="20"/>
            <w:color w:val="0000ff"/>
          </w:rPr>
          <w:t xml:space="preserve">пункту 1 части 4</w:t>
        </w:r>
      </w:hyperlink>
      <w:r>
        <w:rPr>
          <w:sz w:val="20"/>
        </w:rPr>
        <w:t xml:space="preserve"> настоящего Порядка - количество приобретенного спортивного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</w:t>
      </w:r>
      <w:hyperlink w:history="0" w:anchor="P59" w:tooltip="а) на приобретение спортивного инвентаря для спортивных залов по адресу: г. Петропавловск-Камчатский ул. Сахалинская д. 10 и ул. Петра Ильичева д. 80 (МБОУ &quot;Средняя школа N 17 им. В.С. Завойко&quot;);">
        <w:r>
          <w:rPr>
            <w:sz w:val="20"/>
            <w:color w:val="0000ff"/>
          </w:rPr>
          <w:t xml:space="preserve">подпункту "а" пункта 2 части 4</w:t>
        </w:r>
      </w:hyperlink>
      <w:r>
        <w:rPr>
          <w:sz w:val="20"/>
        </w:rPr>
        <w:t xml:space="preserve"> настоящего Порядка - количество приобретенного спортивного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</w:t>
      </w:r>
      <w:hyperlink w:history="0" w:anchor="P60" w:tooltip="б) на издание книги, посвященной развитию киокусинкай в Камчатском крае;">
        <w:r>
          <w:rPr>
            <w:sz w:val="20"/>
            <w:color w:val="0000ff"/>
          </w:rPr>
          <w:t xml:space="preserve">подпункту "б" пункта 2 части 4</w:t>
        </w:r>
      </w:hyperlink>
      <w:r>
        <w:rPr>
          <w:sz w:val="20"/>
        </w:rPr>
        <w:t xml:space="preserve"> настоящего Порядка - изданная книга, посвященная развитию киокусинкай в Камчатском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</w:t>
      </w:r>
      <w:hyperlink w:history="0" w:anchor="P61" w:tooltip="3) Региональной общественной организации &quot;Камчатская Федерация Лыжных Гонок&quot; - на проведение внепланового спортивного весеннего мероприятия &quot;Мама, брат и я - лыжная семья&quot;;">
        <w:r>
          <w:rPr>
            <w:sz w:val="20"/>
            <w:color w:val="0000ff"/>
          </w:rPr>
          <w:t xml:space="preserve">пункту 3 части 4</w:t>
        </w:r>
      </w:hyperlink>
      <w:r>
        <w:rPr>
          <w:sz w:val="20"/>
        </w:rPr>
        <w:t xml:space="preserve"> настоящего Порядка - проведенное внеплановое спортивное весеннее мероприятие "Мама, брат и я - лыжная семья";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</w:t>
      </w:r>
      <w:hyperlink w:history="0" w:anchor="P62" w:tooltip="4) Региональной общественной организации &quot;Федерация настольного тенниса Камчатского края&quot; - на командирование для участия в соревнованиях членов сборных команд и тренеров за пределами Камчатского края;">
        <w:r>
          <w:rPr>
            <w:sz w:val="20"/>
            <w:color w:val="0000ff"/>
          </w:rPr>
          <w:t xml:space="preserve">пункту 4 части 4</w:t>
        </w:r>
      </w:hyperlink>
      <w:r>
        <w:rPr>
          <w:sz w:val="20"/>
        </w:rPr>
        <w:t xml:space="preserve"> настоящего Порядка - количество спортсменов и их тренеров, принявших участие в соревнованиях за пределами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 </w:t>
      </w:r>
      <w:hyperlink w:history="0" w:anchor="P63" w:tooltip="5) Общественной организации &quot;Камчатская Краевая Федерация Кикбоксинга&quot; - на развитие кикбоксинга в Камчатском крае и проезд спортсменов в поселок Ключи с целью проведения соревнований по кикбоксингу;">
        <w:r>
          <w:rPr>
            <w:sz w:val="20"/>
            <w:color w:val="0000ff"/>
          </w:rPr>
          <w:t xml:space="preserve">пункту 5 части 4</w:t>
        </w:r>
      </w:hyperlink>
      <w:r>
        <w:rPr>
          <w:sz w:val="20"/>
        </w:rPr>
        <w:t xml:space="preserve"> настоящего Порядка - количество спортсменов, не проживающих в Усть-Камчатском муниципальном районе, принявших участие в соревнованиях по кикбоксингу в поселке Ключи Усть-Камчатского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 </w:t>
      </w:r>
      <w:hyperlink w:history="0" w:anchor="P64" w:tooltip="6) Автономной некоммерческой организации &quot;Детско-юношеский спортивный клуб &quot;Камчатка&quot; - на командирование спортсменов за пределы Камчатского края для участия в соревнованиях и учебно-тренировочных сборах.">
        <w:r>
          <w:rPr>
            <w:sz w:val="20"/>
            <w:color w:val="0000ff"/>
          </w:rPr>
          <w:t xml:space="preserve">пункту 6 части 4</w:t>
        </w:r>
      </w:hyperlink>
      <w:r>
        <w:rPr>
          <w:sz w:val="20"/>
        </w:rPr>
        <w:t xml:space="preserve"> настоящего Порядка - количество спортсменов, принявших участие в соревнованиях и учебно-тренировочных сборах за пределами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Значения результатов предоставления субсидии, указанных в </w:t>
      </w:r>
      <w:hyperlink w:history="0" w:anchor="P134" w:tooltip="21. Результатами предоставления субсидии по состоянию на 31 декабря текущего финансового года являются:">
        <w:r>
          <w:rPr>
            <w:sz w:val="20"/>
            <w:color w:val="0000ff"/>
          </w:rPr>
          <w:t xml:space="preserve">части 21</w:t>
        </w:r>
      </w:hyperlink>
      <w:r>
        <w:rPr>
          <w:sz w:val="20"/>
        </w:rPr>
        <w:t xml:space="preserve"> настоящего Порядка, устанавливаются Соглашением.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Организация представляет в Министерство посредством почтового отправления и (или) нарочно ежеквартально, не позднее 10 числа месяца, следующего за отчетным кварталом нарастающим итогом, отчеты по формам, определенным типовой формой соглашения, установленной Министерством финансов Камчатского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достижении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Министерство осуществляет проверку представленных Организацией отчетов, указанных в </w:t>
      </w:r>
      <w:hyperlink w:history="0" w:anchor="P143" w:tooltip="23. Организация представляет в Министерство посредством почтового отправления и (или) нарочно ежеквартально, не позднее 10 числа месяца, следующего за отчетным кварталом нарастающим итогом, отчеты по формам, определенным типовой формой соглашения, установленной Министерством финансов Камчатского края:">
        <w:r>
          <w:rPr>
            <w:sz w:val="20"/>
            <w:color w:val="0000ff"/>
          </w:rPr>
          <w:t xml:space="preserve">части 23</w:t>
        </w:r>
      </w:hyperlink>
      <w:r>
        <w:rPr>
          <w:sz w:val="20"/>
        </w:rPr>
        <w:t xml:space="preserve"> настоящего Порядка, в течение 5 рабочих дней с даты их представления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Отчеты, указанные в </w:t>
      </w:r>
      <w:hyperlink w:history="0" w:anchor="P143" w:tooltip="23. Организация представляет в Министерство посредством почтового отправления и (или) нарочно ежеквартально, не позднее 10 числа месяца, следующего за отчетным кварталом нарастающим итогом, отчеты по формам, определенным типовой формой соглашения, установленной Министерством финансов Камчатского края:">
        <w:r>
          <w:rPr>
            <w:sz w:val="20"/>
            <w:color w:val="0000ff"/>
          </w:rPr>
          <w:t xml:space="preserve">части 23</w:t>
        </w:r>
      </w:hyperlink>
      <w:r>
        <w:rPr>
          <w:sz w:val="20"/>
        </w:rPr>
        <w:t xml:space="preserve"> настоящего Порядка, считаются принятыми после подписания их Министерством. Уведомление о принятии отчета (отчетов) направляется Организации посредством электронной связи, почтового отправления или нарочным способом, в течение 5 рабочих дней после подписания отчета (отчетов) Министерством.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28.05.2024 N 255-П)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непринятия отчетов, указанных в </w:t>
      </w:r>
      <w:hyperlink w:history="0" w:anchor="P143" w:tooltip="23. Организация представляет в Министерство посредством почтового отправления и (или) нарочно ежеквартально, не позднее 10 числа месяца, следующего за отчетным кварталом нарастающим итогом, отчеты по формам, определенным типовой формой соглашения, установленной Министерством финансов Камчатского края:">
        <w:r>
          <w:rPr>
            <w:sz w:val="20"/>
            <w:color w:val="0000ff"/>
          </w:rPr>
          <w:t xml:space="preserve">части 23</w:t>
        </w:r>
      </w:hyperlink>
      <w:r>
        <w:rPr>
          <w:sz w:val="20"/>
        </w:rPr>
        <w:t xml:space="preserve"> настоящего Порядка, Министерство течение 5 рабочих дней со дня окончания срока проверки, указанного в абзаце первом настоящей части, направляет Организации уведомление с требованием направить скорректированный отчет (отчеты) в срок, указанный в данном уведомлении, а также с указанием причин отказа в принятии отчета (отчетов) по следующим основаниям: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28.05.2024 N 255-П)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некорректное заполнение (незаполнение) Организацией всех обязательных для заполнения граф, предусмотренных в отчетах;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28.05.2024 N 255-П)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содержащейся в отчетах.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Правительства Камчатского края от 28.05.2024 N 255-П &quot;О внесении изменений в приложение к Постановлению Правительства Камчатского края 20.03.2024 N 127-П &quot;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28.05.2024 N 255-П)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осуществляет в отношении Организации и лиц, получивших средства на основании договоров, заключенных с Организацией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</w:t>
      </w:r>
      <w:hyperlink w:history="0" r:id="rId3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оформляет результаты проверок в порядке, установленном </w:t>
      </w:r>
      <w:hyperlink w:history="0" r:id="rId36" w:tooltip="Постановление Правительства РФ от 17.08.2020 N 1235 (ред. от 02.03.2023) &quot;Об утверждении федерального стандарта внутреннего государственного (муниципального) финансового контроля &quot;Проведение проверок, ревизий и обследований и оформление их результатов&quot; {КонсультантПлюс}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Остаток субсидии,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 (за исключением субсидий, предоставленных в пределах суммы, необходимой для оплаты денежных обязательств Организации, источником финансового обеспечения которых являются указанные субсидии).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нарушения Организацией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обязана возвратить субсидию в краевой бюджет в следующем порядке и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выявления нарушения Министерством - в течение 20 рабочих дней со дня получения требования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иных случаях - в течение 20 рабочих дней со дня нарушения.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Организация обязана возвратить субсидию в краевой бюджет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целей предоставления субсидии - в размере нецелевого использования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нарушения условий и порядка, установленных при предоставлении субсидии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недостижения значений результатов предоставления субсидии, определенных Соглашением, - в размере, определенном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х SUM (1 - Ф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/П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)/n,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- размер средств, подлежащих возврату Организацией в связи с недостижением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i-го результата предоставления субсидии,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Письменное требование о возврате субсидии в краевой бюджет направляется Министерством Организации в течение 20 рабочих дней со дня выявления нарушений, указанных в </w:t>
      </w:r>
      <w:hyperlink w:history="0" w:anchor="P159" w:tooltip="28. В случае нарушения Организацией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">
        <w:r>
          <w:rPr>
            <w:sz w:val="20"/>
            <w:color w:val="0000ff"/>
          </w:rPr>
          <w:t xml:space="preserve">частях 28</w:t>
        </w:r>
      </w:hyperlink>
      <w:r>
        <w:rPr>
          <w:sz w:val="20"/>
        </w:rPr>
        <w:t xml:space="preserve"> и </w:t>
      </w:r>
      <w:hyperlink w:history="0" w:anchor="P164" w:tooltip="29. Организация обязана возвратить субсидию в краевой бюджет в следующих размерах: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невозврате субсидии в сроки, установленные </w:t>
      </w:r>
      <w:hyperlink w:history="0" w:anchor="P159" w:tooltip="28. В случае нарушения Организацией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">
        <w:r>
          <w:rPr>
            <w:sz w:val="20"/>
            <w:color w:val="0000ff"/>
          </w:rPr>
          <w:t xml:space="preserve">частью 28</w:t>
        </w:r>
      </w:hyperlink>
      <w:r>
        <w:rPr>
          <w:sz w:val="20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выявления нарушений, в том числе по фактам проверок, указанных в </w:t>
      </w:r>
      <w:hyperlink w:history="0" w:anchor="P155" w:tooltip="25. Министерство осуществляет в отношении Организации и лиц, получивших средства на основании договоров, заключенных с Организацией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части 25</w:t>
        </w:r>
      </w:hyperlink>
      <w:r>
        <w:rPr>
          <w:sz w:val="20"/>
        </w:rPr>
        <w:t xml:space="preserve"> настоящего Порядка, лица, получившие средства на основании договоров, заключенных с Организацией, обязаны возвратить в сроки, не превышающие сроки, указанные в </w:t>
      </w:r>
      <w:hyperlink w:history="0" w:anchor="P159" w:tooltip="28. В случае нарушения Организацией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">
        <w:r>
          <w:rPr>
            <w:sz w:val="20"/>
            <w:color w:val="0000ff"/>
          </w:rPr>
          <w:t xml:space="preserve">части 28</w:t>
        </w:r>
      </w:hyperlink>
      <w:r>
        <w:rPr>
          <w:sz w:val="20"/>
        </w:rPr>
        <w:t xml:space="preserve"> настоящего Порядка, средства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лицами, указанными в абзаце первом настоящей части, средств, полученных за счет средств субсидии, на счет Организации в сроки, указанные в требовании о возврате средств, полученных за счет средств субсидии, Организация принимает необходимые меры по взысканию подлежащих возврату в краевой бюджет средств, полученных за счет средств субсидии, в судебном порядке в срок, не позднее 30 рабочих дней со дня, когда получателю субсидии стало известно о неисполнении лицами, указанными в абзаце первом настоящей части, обязанности возвратить средства, полученные на основании договоров, заключенных с Организацией, на счет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20.03.2024 N 127-П</w:t>
            <w:br/>
            <w:t>(ред. от 28.05.2024)</w:t>
            <w:br/>
            <w:t>"Об утверждении Порядка предоста...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96&amp;n=207616&amp;dst=100006" TargetMode = "External"/>
	<Relationship Id="rId8" Type="http://schemas.openxmlformats.org/officeDocument/2006/relationships/hyperlink" Target="https://login.consultant.ru/link/?req=doc&amp;base=LAW&amp;n=470713&amp;dst=103575" TargetMode = "External"/>
	<Relationship Id="rId9" Type="http://schemas.openxmlformats.org/officeDocument/2006/relationships/hyperlink" Target="https://login.consultant.ru/link/?req=doc&amp;base=LAW&amp;n=470713&amp;dst=7156" TargetMode = "External"/>
	<Relationship Id="rId10" Type="http://schemas.openxmlformats.org/officeDocument/2006/relationships/hyperlink" Target="https://login.consultant.ru/link/?req=doc&amp;base=LAW&amp;n=461663&amp;dst=100026" TargetMode = "External"/>
	<Relationship Id="rId11" Type="http://schemas.openxmlformats.org/officeDocument/2006/relationships/hyperlink" Target="https://login.consultant.ru/link/?req=doc&amp;base=RLAW296&amp;n=207616&amp;dst=100006" TargetMode = "External"/>
	<Relationship Id="rId12" Type="http://schemas.openxmlformats.org/officeDocument/2006/relationships/hyperlink" Target="https://login.consultant.ru/link/?req=doc&amp;base=RLAW296&amp;n=203882&amp;dst=100011" TargetMode = "External"/>
	<Relationship Id="rId13" Type="http://schemas.openxmlformats.org/officeDocument/2006/relationships/hyperlink" Target="https://login.consultant.ru/link/?req=doc&amp;base=RLAW296&amp;n=205798" TargetMode = "External"/>
	<Relationship Id="rId14" Type="http://schemas.openxmlformats.org/officeDocument/2006/relationships/hyperlink" Target="https://login.consultant.ru/link/?req=doc&amp;base=LAW&amp;n=121087&amp;dst=100142" TargetMode = "External"/>
	<Relationship Id="rId15" Type="http://schemas.openxmlformats.org/officeDocument/2006/relationships/hyperlink" Target="https://login.consultant.ru/link/?req=doc&amp;base=RLAW296&amp;n=207616&amp;dst=100013" TargetMode = "External"/>
	<Relationship Id="rId16" Type="http://schemas.openxmlformats.org/officeDocument/2006/relationships/hyperlink" Target="https://login.consultant.ru/link/?req=doc&amp;base=LAW&amp;n=476448" TargetMode = "External"/>
	<Relationship Id="rId17" Type="http://schemas.openxmlformats.org/officeDocument/2006/relationships/hyperlink" Target="https://login.consultant.ru/link/?req=doc&amp;base=RLAW296&amp;n=207616&amp;dst=100014" TargetMode = "External"/>
	<Relationship Id="rId18" Type="http://schemas.openxmlformats.org/officeDocument/2006/relationships/hyperlink" Target="https://login.consultant.ru/link/?req=doc&amp;base=LAW&amp;n=472841&amp;dst=5769" TargetMode = "External"/>
	<Relationship Id="rId19" Type="http://schemas.openxmlformats.org/officeDocument/2006/relationships/hyperlink" Target="https://login.consultant.ru/link/?req=doc&amp;base=RLAW296&amp;n=207616&amp;dst=100015" TargetMode = "External"/>
	<Relationship Id="rId20" Type="http://schemas.openxmlformats.org/officeDocument/2006/relationships/hyperlink" Target="https://login.consultant.ru/link/?req=doc&amp;base=RLAW296&amp;n=207616&amp;dst=100017" TargetMode = "External"/>
	<Relationship Id="rId21" Type="http://schemas.openxmlformats.org/officeDocument/2006/relationships/hyperlink" Target="https://login.consultant.ru/link/?req=doc&amp;base=RLAW296&amp;n=207616&amp;dst=100018" TargetMode = "External"/>
	<Relationship Id="rId22" Type="http://schemas.openxmlformats.org/officeDocument/2006/relationships/hyperlink" Target="https://login.consultant.ru/link/?req=doc&amp;base=RLAW296&amp;n=207616&amp;dst=100019" TargetMode = "External"/>
	<Relationship Id="rId23" Type="http://schemas.openxmlformats.org/officeDocument/2006/relationships/hyperlink" Target="https://login.consultant.ru/link/?req=doc&amp;base=RLAW296&amp;n=207616&amp;dst=100021" TargetMode = "External"/>
	<Relationship Id="rId24" Type="http://schemas.openxmlformats.org/officeDocument/2006/relationships/hyperlink" Target="https://login.consultant.ru/link/?req=doc&amp;base=RLAW296&amp;n=207616&amp;dst=100023" TargetMode = "External"/>
	<Relationship Id="rId25" Type="http://schemas.openxmlformats.org/officeDocument/2006/relationships/hyperlink" Target="https://login.consultant.ru/link/?req=doc&amp;base=RLAW296&amp;n=207616&amp;dst=100025" TargetMode = "External"/>
	<Relationship Id="rId26" Type="http://schemas.openxmlformats.org/officeDocument/2006/relationships/hyperlink" Target="https://login.consultant.ru/link/?req=doc&amp;base=RLAW296&amp;n=207616&amp;dst=100026" TargetMode = "External"/>
	<Relationship Id="rId27" Type="http://schemas.openxmlformats.org/officeDocument/2006/relationships/hyperlink" Target="https://login.consultant.ru/link/?req=doc&amp;base=RLAW296&amp;n=207616&amp;dst=100027" TargetMode = "External"/>
	<Relationship Id="rId28" Type="http://schemas.openxmlformats.org/officeDocument/2006/relationships/hyperlink" Target="https://login.consultant.ru/link/?req=doc&amp;base=LAW&amp;n=470713&amp;dst=3704" TargetMode = "External"/>
	<Relationship Id="rId29" Type="http://schemas.openxmlformats.org/officeDocument/2006/relationships/hyperlink" Target="https://login.consultant.ru/link/?req=doc&amp;base=LAW&amp;n=470713&amp;dst=3722" TargetMode = "External"/>
	<Relationship Id="rId30" Type="http://schemas.openxmlformats.org/officeDocument/2006/relationships/hyperlink" Target="https://login.consultant.ru/link/?req=doc&amp;base=RLAW296&amp;n=207616&amp;dst=100028" TargetMode = "External"/>
	<Relationship Id="rId31" Type="http://schemas.openxmlformats.org/officeDocument/2006/relationships/hyperlink" Target="https://login.consultant.ru/link/?req=doc&amp;base=RLAW296&amp;n=207616&amp;dst=100030" TargetMode = "External"/>
	<Relationship Id="rId32" Type="http://schemas.openxmlformats.org/officeDocument/2006/relationships/hyperlink" Target="https://login.consultant.ru/link/?req=doc&amp;base=RLAW296&amp;n=207616&amp;dst=100031" TargetMode = "External"/>
	<Relationship Id="rId33" Type="http://schemas.openxmlformats.org/officeDocument/2006/relationships/hyperlink" Target="https://login.consultant.ru/link/?req=doc&amp;base=RLAW296&amp;n=207616&amp;dst=100032" TargetMode = "External"/>
	<Relationship Id="rId34" Type="http://schemas.openxmlformats.org/officeDocument/2006/relationships/hyperlink" Target="https://login.consultant.ru/link/?req=doc&amp;base=LAW&amp;n=470713&amp;dst=3704" TargetMode = "External"/>
	<Relationship Id="rId35" Type="http://schemas.openxmlformats.org/officeDocument/2006/relationships/hyperlink" Target="https://login.consultant.ru/link/?req=doc&amp;base=LAW&amp;n=470713&amp;dst=3722" TargetMode = "External"/>
	<Relationship Id="rId36" Type="http://schemas.openxmlformats.org/officeDocument/2006/relationships/hyperlink" Target="https://login.consultant.ru/link/?req=doc&amp;base=LAW&amp;n=441080&amp;dst=10015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20.03.2024 N 127-П
(ред. от 28.05.2024)
"Об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спорта"</dc:title>
  <dcterms:created xsi:type="dcterms:W3CDTF">2024-06-02T06:46:33Z</dcterms:created>
</cp:coreProperties>
</file>