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Камчатского края от 11.12.2024 N 600-П</w:t>
              <w:br/>
              <w:t xml:space="preserve">(ред. от 19.05.2025)</w:t>
              <w:br/>
              <w:t xml:space="preserve">"Об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КАМЧАТСКОГО КРАЯ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11 декабря 2024 г. N 600-П</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ПРЕДОСТАВЛЕНИЯ ИЗ КРАЕВОГО БЮДЖЕТА</w:t>
      </w:r>
    </w:p>
    <w:p>
      <w:pPr>
        <w:pStyle w:val="2"/>
        <w:jc w:val="center"/>
      </w:pPr>
      <w:r>
        <w:rPr>
          <w:sz w:val="20"/>
        </w:rPr>
        <w:t xml:space="preserve">В 2025 ГОДУ СУБСИДИЙ СОЦИАЛЬНО ОРИЕНТИРОВАННЫМ</w:t>
      </w:r>
    </w:p>
    <w:p>
      <w:pPr>
        <w:pStyle w:val="2"/>
        <w:jc w:val="center"/>
      </w:pPr>
      <w:r>
        <w:rPr>
          <w:sz w:val="20"/>
        </w:rPr>
        <w:t xml:space="preserve">НЕКОММЕРЧЕСКИМ ОРГАНИЗАЦИЯМ В КАМЧАТСКОМ КРАЕ НА ФИНАНСОВОЕ</w:t>
      </w:r>
    </w:p>
    <w:p>
      <w:pPr>
        <w:pStyle w:val="2"/>
        <w:jc w:val="center"/>
      </w:pPr>
      <w:r>
        <w:rPr>
          <w:sz w:val="20"/>
        </w:rPr>
        <w:t xml:space="preserve">ОБЕСПЕЧЕНИЕ ЗАТРАТ, СВЯЗАННЫХ С ОКАЗАНИЕМ УСЛУГ</w:t>
      </w:r>
    </w:p>
    <w:p>
      <w:pPr>
        <w:pStyle w:val="2"/>
        <w:jc w:val="center"/>
      </w:pPr>
      <w:r>
        <w:rPr>
          <w:sz w:val="20"/>
        </w:rPr>
        <w:t xml:space="preserve">В СФЕРЕ ФИЗИЧЕСКОЙ КУЛЬТУРЫ И СПОРТА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Постановления</w:t>
              </w:r>
            </w:hyperlink>
            <w:r>
              <w:rPr>
                <w:sz w:val="20"/>
                <w:color w:val="392c69"/>
              </w:rPr>
              <w:t xml:space="preserve"> Правительства Камчатского края</w:t>
            </w:r>
          </w:p>
          <w:p>
            <w:pPr>
              <w:pStyle w:val="0"/>
              <w:jc w:val="center"/>
            </w:pPr>
            <w:r>
              <w:rPr>
                <w:sz w:val="20"/>
                <w:color w:val="392c69"/>
              </w:rPr>
              <w:t xml:space="preserve">от 19.05.2025 N 227-П)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w:t>
      </w:r>
      <w:hyperlink w:history="0" r:id="rId10" w:tooltip="&quot;Бюджетный кодекс Российской Федерации&quot; от 31.07.1998 N 145-ФЗ (ред. от 28.11.2025) ------------ Недействующая редакция {КонсультантПлюс}">
        <w:r>
          <w:rPr>
            <w:sz w:val="20"/>
            <w:color w:val="0000ff"/>
          </w:rPr>
          <w:t xml:space="preserve">подпунктом 1 пункта 2 статьи 78.5</w:t>
        </w:r>
      </w:hyperlink>
      <w:r>
        <w:rPr>
          <w:sz w:val="20"/>
        </w:rPr>
        <w:t xml:space="preserve"> Бюджетного кодекса Российской Федерации, </w:t>
      </w:r>
      <w:hyperlink w:history="0" r:id="rId11"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pPr>
        <w:pStyle w:val="0"/>
        <w:ind w:firstLine="540"/>
        <w:jc w:val="both"/>
      </w:pPr>
      <w:r>
        <w:rPr>
          <w:sz w:val="20"/>
        </w:rPr>
      </w:r>
    </w:p>
    <w:p>
      <w:pPr>
        <w:pStyle w:val="0"/>
        <w:ind w:firstLine="540"/>
        <w:jc w:val="both"/>
      </w:pPr>
      <w:r>
        <w:rPr>
          <w:sz w:val="20"/>
        </w:rPr>
        <w:t xml:space="preserve">ПРАВИТЕЛЬСТВО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36" w:tooltip="ПОРЯДОК ПРЕДОСТАВЛЕНИЯ">
        <w:r>
          <w:rPr>
            <w:sz w:val="20"/>
            <w:color w:val="0000ff"/>
          </w:rPr>
          <w:t xml:space="preserve">Порядок</w:t>
        </w:r>
      </w:hyperlink>
      <w:r>
        <w:rPr>
          <w:sz w:val="20"/>
        </w:rPr>
        <w:t xml:space="preserve">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 согласно приложению к настоящему Постановлению.</w:t>
      </w:r>
    </w:p>
    <w:p>
      <w:pPr>
        <w:pStyle w:val="0"/>
        <w:spacing w:before="200" w:lineRule="auto"/>
        <w:ind w:firstLine="540"/>
        <w:jc w:val="both"/>
      </w:pPr>
      <w:r>
        <w:rPr>
          <w:sz w:val="20"/>
        </w:rPr>
        <w:t xml:space="preserve">2. Настоящее Постановление вступает в силу с 1 января 2025 года.</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Камчатского края</w:t>
      </w:r>
    </w:p>
    <w:p>
      <w:pPr>
        <w:pStyle w:val="0"/>
        <w:jc w:val="right"/>
      </w:pPr>
      <w:r>
        <w:rPr>
          <w:sz w:val="20"/>
        </w:rPr>
        <w:t xml:space="preserve">Е.А.ЧЕКИН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Камчатского края</w:t>
      </w:r>
    </w:p>
    <w:p>
      <w:pPr>
        <w:pStyle w:val="0"/>
        <w:jc w:val="right"/>
      </w:pPr>
      <w:r>
        <w:rPr>
          <w:sz w:val="20"/>
        </w:rPr>
        <w:t xml:space="preserve">от 11.12.2024 N 600-П</w:t>
      </w:r>
    </w:p>
    <w:p>
      <w:pPr>
        <w:pStyle w:val="0"/>
        <w:ind w:firstLine="540"/>
        <w:jc w:val="both"/>
      </w:pPr>
      <w:r>
        <w:rPr>
          <w:sz w:val="20"/>
        </w:rPr>
      </w:r>
    </w:p>
    <w:bookmarkStart w:id="36" w:name="P36"/>
    <w:bookmarkEnd w:id="36"/>
    <w:p>
      <w:pPr>
        <w:pStyle w:val="2"/>
        <w:jc w:val="center"/>
      </w:pPr>
      <w:r>
        <w:rPr>
          <w:sz w:val="20"/>
        </w:rPr>
        <w:t xml:space="preserve">ПОРЯДОК ПРЕДОСТАВЛЕНИЯ</w:t>
      </w:r>
    </w:p>
    <w:p>
      <w:pPr>
        <w:pStyle w:val="2"/>
        <w:jc w:val="center"/>
      </w:pPr>
      <w:r>
        <w:rPr>
          <w:sz w:val="20"/>
        </w:rPr>
        <w:t xml:space="preserve">ИЗ КРАЕВОГО БЮДЖЕТА В 2025 ГОДУ</w:t>
      </w:r>
    </w:p>
    <w:p>
      <w:pPr>
        <w:pStyle w:val="2"/>
        <w:jc w:val="center"/>
      </w:pPr>
      <w:r>
        <w:rPr>
          <w:sz w:val="20"/>
        </w:rPr>
        <w:t xml:space="preserve">СУБСИДИЙ СОЦИАЛЬНО ОРИЕНТИРОВАННЫМ НЕКОММЕРЧЕСКИМ</w:t>
      </w:r>
    </w:p>
    <w:p>
      <w:pPr>
        <w:pStyle w:val="2"/>
        <w:jc w:val="center"/>
      </w:pPr>
      <w:r>
        <w:rPr>
          <w:sz w:val="20"/>
        </w:rPr>
        <w:t xml:space="preserve">ОРГАНИЗАЦИЯМ В КАМЧАТСКОМ КРАЕ НА ФИНАНСОВОЕ ОБЕСПЕЧЕНИЕ</w:t>
      </w:r>
    </w:p>
    <w:p>
      <w:pPr>
        <w:pStyle w:val="2"/>
        <w:jc w:val="center"/>
      </w:pPr>
      <w:r>
        <w:rPr>
          <w:sz w:val="20"/>
        </w:rPr>
        <w:t xml:space="preserve">ЗАТРАТ, СВЯЗАННЫХ С ОКАЗАНИЕМ УСЛУГ В СФЕРЕ</w:t>
      </w:r>
    </w:p>
    <w:p>
      <w:pPr>
        <w:pStyle w:val="2"/>
        <w:jc w:val="center"/>
      </w:pPr>
      <w:r>
        <w:rPr>
          <w:sz w:val="20"/>
        </w:rPr>
        <w:t xml:space="preserve">ФИЗИЧЕСКОЙ КУЛЬТУРЫ И СПОРТА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Постановления</w:t>
              </w:r>
            </w:hyperlink>
            <w:r>
              <w:rPr>
                <w:sz w:val="20"/>
                <w:color w:val="392c69"/>
              </w:rPr>
              <w:t xml:space="preserve"> Правительства Камчатского края</w:t>
            </w:r>
          </w:p>
          <w:p>
            <w:pPr>
              <w:pStyle w:val="0"/>
              <w:jc w:val="center"/>
            </w:pPr>
            <w:r>
              <w:rPr>
                <w:sz w:val="20"/>
                <w:color w:val="392c69"/>
              </w:rPr>
              <w:t xml:space="preserve">от 19.05.2025 N 227-П)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46" w:name="P46"/>
    <w:bookmarkEnd w:id="46"/>
    <w:p>
      <w:pPr>
        <w:pStyle w:val="0"/>
        <w:ind w:firstLine="540"/>
        <w:jc w:val="both"/>
      </w:pPr>
      <w:r>
        <w:rPr>
          <w:sz w:val="20"/>
        </w:rPr>
        <w:t xml:space="preserve">1. Настоящий Порядок регулирует вопросы предоставления из краевого бюджета за счет средств краевого бюджета в 2025 году субсидий социально ориентированным некоммерческим организациям в Камчатском крае, осуществляющим деятельность в области физической культуры и спорта (далее также - получатели субсидии, Организации), в целях достижения результатов ведомственного проекта "Развитие массового спорта" государственной </w:t>
      </w:r>
      <w:hyperlink w:history="0" r:id="rId13" w:tooltip="Постановление Правительства Камчатского края от 27.12.2023 N 695-П (ред. от 07.11.2025) &quot;Об утверждении государственной программы Камчатского края &quot;Развитие физической культуры и спорта в Камчатском крае&quot; {КонсультантПлюс}">
        <w:r>
          <w:rPr>
            <w:sz w:val="20"/>
            <w:color w:val="0000ff"/>
          </w:rPr>
          <w:t xml:space="preserve">программы</w:t>
        </w:r>
      </w:hyperlink>
      <w:r>
        <w:rPr>
          <w:sz w:val="20"/>
        </w:rPr>
        <w:t xml:space="preserve"> Камчатского края "Развитие физической культуры и спорта в Камчатском крае", утвержденной Постановлением Правительства Камчатского края от 27.12.2023 N 695-П, на финансовое обеспечение затрат, связанных с оказанием услуг в сфере физической культуры и спорта (далее - субсидия).</w:t>
      </w:r>
    </w:p>
    <w:p>
      <w:pPr>
        <w:pStyle w:val="0"/>
        <w:spacing w:before="200" w:lineRule="auto"/>
        <w:ind w:firstLine="540"/>
        <w:jc w:val="both"/>
      </w:pPr>
      <w:r>
        <w:rPr>
          <w:sz w:val="20"/>
        </w:rPr>
        <w:t xml:space="preserve">Субсидия предоставляется организациям в виде целевого финансирования общественно полезных программ общественных организаций в соответствии с представленными заявками.</w:t>
      </w:r>
    </w:p>
    <w:p>
      <w:pPr>
        <w:pStyle w:val="0"/>
        <w:jc w:val="both"/>
      </w:pPr>
      <w:r>
        <w:rPr>
          <w:sz w:val="20"/>
        </w:rPr>
        <w:t xml:space="preserve">(абзац введен </w:t>
      </w:r>
      <w:hyperlink w:history="0" r:id="rId14"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2. Субсидия предоставляется Министерством спорта Камчатского края (далее - Министерство),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в 2025 году.</w:t>
      </w:r>
    </w:p>
    <w:p>
      <w:pPr>
        <w:pStyle w:val="0"/>
        <w:spacing w:before="200" w:lineRule="auto"/>
        <w:ind w:firstLine="540"/>
        <w:jc w:val="both"/>
      </w:pPr>
      <w:r>
        <w:rPr>
          <w:sz w:val="20"/>
        </w:rPr>
        <w:t xml:space="preserve">Субсидия предоставляется Министерством в пределах лимитов бюджетных обязательств, доведенных до Министерства в установленном порядке, на цели, указанные в </w:t>
      </w:r>
      <w:hyperlink w:history="0" w:anchor="P46" w:tooltip="1. Настоящий Порядок регулирует вопросы предоставления из краевого бюджета за счет средств краевого бюджета в 2025 году субсидий социально ориентированным некоммерческим организациям в Камчатском крае, осуществляющим деятельность в области физической культуры и спорта (далее также - получатели субсидии, Организации), в целях достижения результатов ведомственного проекта &quot;Развитие массового спорта&quot; государственной программы Камчатского края &quot;Развитие физической культуры и спорта в Камчатском крае&quot;, утверж...">
        <w:r>
          <w:rPr>
            <w:sz w:val="20"/>
            <w:color w:val="0000ff"/>
          </w:rPr>
          <w:t xml:space="preserve">части 1</w:t>
        </w:r>
      </w:hyperlink>
      <w:r>
        <w:rPr>
          <w:sz w:val="20"/>
        </w:rPr>
        <w:t xml:space="preserve"> настоящего Порядка.</w:t>
      </w:r>
    </w:p>
    <w:p>
      <w:pPr>
        <w:pStyle w:val="0"/>
        <w:spacing w:before="200" w:lineRule="auto"/>
        <w:ind w:firstLine="540"/>
        <w:jc w:val="both"/>
      </w:pPr>
      <w:r>
        <w:rPr>
          <w:sz w:val="20"/>
        </w:rPr>
        <w:t xml:space="preserve">Субсидия носит целевой характер и не может быть израсходована на цели, не предусмотренные настоящим Порядком.</w:t>
      </w:r>
    </w:p>
    <w:p>
      <w:pPr>
        <w:pStyle w:val="0"/>
        <w:spacing w:before="200" w:lineRule="auto"/>
        <w:ind w:firstLine="540"/>
        <w:jc w:val="both"/>
      </w:pPr>
      <w:r>
        <w:rPr>
          <w:sz w:val="20"/>
        </w:rPr>
        <w:t xml:space="preserve">3. В соответствии с </w:t>
      </w:r>
      <w:hyperlink w:history="0" r:id="rId15" w:tooltip="Закон Камчатского края от 05.12.2024 N 421 (ред. от 26.11.2025) &quot;О краевом бюджете на 2025 год и на плановый период 2026 и 2027 годов&quot; (принят Постановлением Законодательного Собрания Камчатского края от 03.12.2024 N 784) ------------ Недействующая редакция {КонсультантПлюс}">
        <w:r>
          <w:rPr>
            <w:sz w:val="20"/>
            <w:color w:val="0000ff"/>
          </w:rPr>
          <w:t xml:space="preserve">Законом</w:t>
        </w:r>
      </w:hyperlink>
      <w:r>
        <w:rPr>
          <w:sz w:val="20"/>
        </w:rPr>
        <w:t xml:space="preserve"> Камчатского края от 05.12.2024 N 421 "О краевом бюджете на 2025 год и на плановый период 2026 и 2027 годов" получателями субсидии являются следующие Организации:</w:t>
      </w:r>
    </w:p>
    <w:p>
      <w:pPr>
        <w:pStyle w:val="0"/>
        <w:spacing w:before="200" w:lineRule="auto"/>
        <w:ind w:firstLine="540"/>
        <w:jc w:val="both"/>
      </w:pPr>
      <w:r>
        <w:rPr>
          <w:sz w:val="20"/>
        </w:rPr>
        <w:t xml:space="preserve">1) Общественная организация Камчатская краевая детско-юношеская Федерация "Киокусинкай";</w:t>
      </w:r>
    </w:p>
    <w:p>
      <w:pPr>
        <w:pStyle w:val="0"/>
        <w:spacing w:before="200" w:lineRule="auto"/>
        <w:ind w:firstLine="540"/>
        <w:jc w:val="both"/>
      </w:pPr>
      <w:r>
        <w:rPr>
          <w:sz w:val="20"/>
        </w:rPr>
        <w:t xml:space="preserve">2) Краевая общественная организация "Камчатская федерация плавания";</w:t>
      </w:r>
    </w:p>
    <w:p>
      <w:pPr>
        <w:pStyle w:val="0"/>
        <w:spacing w:before="200" w:lineRule="auto"/>
        <w:ind w:firstLine="540"/>
        <w:jc w:val="both"/>
      </w:pPr>
      <w:r>
        <w:rPr>
          <w:sz w:val="20"/>
        </w:rPr>
        <w:t xml:space="preserve">3) Региональная общественная организация "Камчатская Федерация Лыжных Гонок";</w:t>
      </w:r>
    </w:p>
    <w:p>
      <w:pPr>
        <w:pStyle w:val="0"/>
        <w:spacing w:before="200" w:lineRule="auto"/>
        <w:ind w:firstLine="540"/>
        <w:jc w:val="both"/>
      </w:pPr>
      <w:r>
        <w:rPr>
          <w:sz w:val="20"/>
        </w:rPr>
        <w:t xml:space="preserve">4) Камчатская региональная организация общественно-государственного объединения "Всероссийское физкультурно-спортивное общество "Динамо";</w:t>
      </w:r>
    </w:p>
    <w:p>
      <w:pPr>
        <w:pStyle w:val="0"/>
        <w:spacing w:before="200" w:lineRule="auto"/>
        <w:ind w:firstLine="540"/>
        <w:jc w:val="both"/>
      </w:pPr>
      <w:r>
        <w:rPr>
          <w:sz w:val="20"/>
        </w:rPr>
        <w:t xml:space="preserve">5) Региональная общественная организация "Федерация смешанного боевого единоборства (ММА) Камчатского края";</w:t>
      </w:r>
    </w:p>
    <w:p>
      <w:pPr>
        <w:pStyle w:val="0"/>
        <w:spacing w:before="200" w:lineRule="auto"/>
        <w:ind w:firstLine="540"/>
        <w:jc w:val="both"/>
      </w:pPr>
      <w:r>
        <w:rPr>
          <w:sz w:val="20"/>
        </w:rPr>
        <w:t xml:space="preserve">6) Автономная некоммерческая организация "Детско-юношеский спортивный клуб "Камчатка";</w:t>
      </w:r>
    </w:p>
    <w:p>
      <w:pPr>
        <w:pStyle w:val="0"/>
        <w:spacing w:before="200" w:lineRule="auto"/>
        <w:ind w:firstLine="540"/>
        <w:jc w:val="both"/>
      </w:pPr>
      <w:r>
        <w:rPr>
          <w:sz w:val="20"/>
        </w:rPr>
        <w:t xml:space="preserve">7) Региональная общественная молодежная организация "Федерация пауэрлифтинга Камчатского края".</w:t>
      </w:r>
    </w:p>
    <w:p>
      <w:pPr>
        <w:pStyle w:val="0"/>
        <w:spacing w:before="200" w:lineRule="auto"/>
        <w:ind w:firstLine="540"/>
        <w:jc w:val="both"/>
      </w:pPr>
      <w:r>
        <w:rPr>
          <w:sz w:val="20"/>
        </w:rPr>
        <w:t xml:space="preserve">8) Общественная организация "Камчатская Краевая Федерация Кикбоксинга".</w:t>
      </w:r>
    </w:p>
    <w:p>
      <w:pPr>
        <w:pStyle w:val="0"/>
        <w:jc w:val="both"/>
      </w:pPr>
      <w:r>
        <w:rPr>
          <w:sz w:val="20"/>
        </w:rPr>
        <w:t xml:space="preserve">(п. 8 введен </w:t>
      </w:r>
      <w:hyperlink w:history="0" r:id="rId16"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bookmarkStart w:id="62" w:name="P62"/>
    <w:bookmarkEnd w:id="62"/>
    <w:p>
      <w:pPr>
        <w:pStyle w:val="0"/>
        <w:spacing w:before="200" w:lineRule="auto"/>
        <w:ind w:firstLine="540"/>
        <w:jc w:val="both"/>
      </w:pPr>
      <w:r>
        <w:rPr>
          <w:sz w:val="20"/>
        </w:rPr>
        <w:t xml:space="preserve">4. Субсидии предоставляются по следующим направлениям расходов:</w:t>
      </w:r>
    </w:p>
    <w:p>
      <w:pPr>
        <w:pStyle w:val="0"/>
        <w:spacing w:before="200" w:lineRule="auto"/>
        <w:ind w:firstLine="540"/>
        <w:jc w:val="both"/>
      </w:pPr>
      <w:r>
        <w:rPr>
          <w:sz w:val="20"/>
        </w:rPr>
        <w:t xml:space="preserve">1) Общественной организации Камчатская краевая детско-юношеская Федерация "Киокусинкай":</w:t>
      </w:r>
    </w:p>
    <w:bookmarkStart w:id="64" w:name="P64"/>
    <w:bookmarkEnd w:id="64"/>
    <w:p>
      <w:pPr>
        <w:pStyle w:val="0"/>
        <w:spacing w:before="200" w:lineRule="auto"/>
        <w:ind w:firstLine="540"/>
        <w:jc w:val="both"/>
      </w:pPr>
      <w:r>
        <w:rPr>
          <w:sz w:val="20"/>
        </w:rPr>
        <w:t xml:space="preserve">а) на материально-техническое обеспечение спортивных залов;</w:t>
      </w:r>
    </w:p>
    <w:bookmarkStart w:id="65" w:name="P65"/>
    <w:bookmarkEnd w:id="65"/>
    <w:p>
      <w:pPr>
        <w:pStyle w:val="0"/>
        <w:spacing w:before="200" w:lineRule="auto"/>
        <w:ind w:firstLine="540"/>
        <w:jc w:val="both"/>
      </w:pPr>
      <w:r>
        <w:rPr>
          <w:sz w:val="20"/>
        </w:rPr>
        <w:t xml:space="preserve">б) на организацию тиражирования книги, посвященной развитию киокусинкай в Камчатском крае;</w:t>
      </w:r>
    </w:p>
    <w:bookmarkStart w:id="66" w:name="P66"/>
    <w:bookmarkEnd w:id="66"/>
    <w:p>
      <w:pPr>
        <w:pStyle w:val="0"/>
        <w:spacing w:before="200" w:lineRule="auto"/>
        <w:ind w:firstLine="540"/>
        <w:jc w:val="both"/>
      </w:pPr>
      <w:r>
        <w:rPr>
          <w:sz w:val="20"/>
        </w:rPr>
        <w:t xml:space="preserve">2) Краевой общественной организации "Камчатская федерация плавания" - на командирование членов спортивной сборной команды Камчатского края по плаванию для участия в Межрегиональных соревнованиях по плаванию "Амурские тигрята" в город Хабаровск;</w:t>
      </w:r>
    </w:p>
    <w:bookmarkStart w:id="67" w:name="P67"/>
    <w:bookmarkEnd w:id="67"/>
    <w:p>
      <w:pPr>
        <w:pStyle w:val="0"/>
        <w:spacing w:before="200" w:lineRule="auto"/>
        <w:ind w:firstLine="540"/>
        <w:jc w:val="both"/>
      </w:pPr>
      <w:r>
        <w:rPr>
          <w:sz w:val="20"/>
        </w:rPr>
        <w:t xml:space="preserve">3) Региональной общественной организации "Камчатская Федерация Лыжных Гонок" - на приобретение спортивного оборудования (лыжных тренажеров) для подготовки членов сборной команды Камчатского края по лыжным гонкам к Всероссийским соревнованиям;</w:t>
      </w:r>
    </w:p>
    <w:bookmarkStart w:id="68" w:name="P68"/>
    <w:bookmarkEnd w:id="68"/>
    <w:p>
      <w:pPr>
        <w:pStyle w:val="0"/>
        <w:spacing w:before="200" w:lineRule="auto"/>
        <w:ind w:firstLine="540"/>
        <w:jc w:val="both"/>
      </w:pPr>
      <w:r>
        <w:rPr>
          <w:sz w:val="20"/>
        </w:rPr>
        <w:t xml:space="preserve">4) Камчатской региональной организации общественно-государственного объединения "Всероссийское физкультурно-спортивное общество "Динамо" - на приобретение спортивного инвентаря и спортивной формы;</w:t>
      </w:r>
    </w:p>
    <w:bookmarkStart w:id="69" w:name="P69"/>
    <w:bookmarkEnd w:id="69"/>
    <w:p>
      <w:pPr>
        <w:pStyle w:val="0"/>
        <w:spacing w:before="200" w:lineRule="auto"/>
        <w:ind w:firstLine="540"/>
        <w:jc w:val="both"/>
      </w:pPr>
      <w:r>
        <w:rPr>
          <w:sz w:val="20"/>
        </w:rPr>
        <w:t xml:space="preserve">5) Региональной общественной организации "Федерация смешанного боевого единоборства (ММА) Камчатского края" - на оснащение материально-технической базы организации;</w:t>
      </w:r>
    </w:p>
    <w:bookmarkStart w:id="70" w:name="P70"/>
    <w:bookmarkEnd w:id="70"/>
    <w:p>
      <w:pPr>
        <w:pStyle w:val="0"/>
        <w:spacing w:before="200" w:lineRule="auto"/>
        <w:ind w:firstLine="540"/>
        <w:jc w:val="both"/>
      </w:pPr>
      <w:r>
        <w:rPr>
          <w:sz w:val="20"/>
        </w:rPr>
        <w:t xml:space="preserve">6) Автономной некоммерческой организации "Детско-юношеский спортивный клуб "Камчатка" - на организацию и проведение спортивных соревнований на территории Камчатского края "Традиционный турнир по эстетической гимнастике и художественной гимнастике "Победа". Организация и проведение судейского семинара;</w:t>
      </w:r>
    </w:p>
    <w:bookmarkStart w:id="71" w:name="P71"/>
    <w:bookmarkEnd w:id="71"/>
    <w:p>
      <w:pPr>
        <w:pStyle w:val="0"/>
        <w:spacing w:before="200" w:lineRule="auto"/>
        <w:ind w:firstLine="540"/>
        <w:jc w:val="both"/>
      </w:pPr>
      <w:r>
        <w:rPr>
          <w:sz w:val="20"/>
        </w:rPr>
        <w:t xml:space="preserve">7) Региональной общественной молодежной организации "Федерация пауэрлифтинга Камчатского края" - на закупку спортивного инвентаря.</w:t>
      </w:r>
    </w:p>
    <w:bookmarkStart w:id="72" w:name="P72"/>
    <w:bookmarkEnd w:id="72"/>
    <w:p>
      <w:pPr>
        <w:pStyle w:val="0"/>
        <w:spacing w:before="200" w:lineRule="auto"/>
        <w:ind w:firstLine="540"/>
        <w:jc w:val="both"/>
      </w:pPr>
      <w:r>
        <w:rPr>
          <w:sz w:val="20"/>
        </w:rPr>
        <w:t xml:space="preserve">8) Общественной организации "Камчатская Краевая Федерация Кикбоксинга" - на приобретение наградной и сувенирной атрибутики для проведения турнира по кикбоксингу, посвященного памяти погибшим воинам на СВО, в Елизовском районе.</w:t>
      </w:r>
    </w:p>
    <w:p>
      <w:pPr>
        <w:pStyle w:val="0"/>
        <w:jc w:val="both"/>
      </w:pPr>
      <w:r>
        <w:rPr>
          <w:sz w:val="20"/>
        </w:rPr>
        <w:t xml:space="preserve">(п. 8 введен </w:t>
      </w:r>
      <w:hyperlink w:history="0" r:id="rId17"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5.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6. Информация о субсидиях размещается на едином портале бюджетной системы Российской Федерации в информационно-телекоммуникационной сети "Интернет" (в разделе единого портала) в порядке, установленном Министерством финансов Российской Федерации.</w:t>
      </w:r>
    </w:p>
    <w:bookmarkStart w:id="76" w:name="P76"/>
    <w:bookmarkEnd w:id="76"/>
    <w:p>
      <w:pPr>
        <w:pStyle w:val="0"/>
        <w:spacing w:before="200" w:lineRule="auto"/>
        <w:ind w:firstLine="540"/>
        <w:jc w:val="both"/>
      </w:pPr>
      <w:r>
        <w:rPr>
          <w:sz w:val="20"/>
        </w:rPr>
        <w:t xml:space="preserve">7. Условием предоставления субсидии является соответствие Организации на первое число месяца, в котором планируется заключение соглашения о предоставлении субсидии (далее - Соглашение), следующим требованиям:</w:t>
      </w:r>
    </w:p>
    <w:bookmarkStart w:id="77" w:name="P77"/>
    <w:bookmarkEnd w:id="77"/>
    <w:p>
      <w:pPr>
        <w:pStyle w:val="0"/>
        <w:spacing w:before="200" w:lineRule="auto"/>
        <w:ind w:firstLine="540"/>
        <w:jc w:val="both"/>
      </w:pPr>
      <w:r>
        <w:rPr>
          <w:sz w:val="20"/>
        </w:rPr>
        <w:t xml:space="preserve">1)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78" w:name="P78"/>
    <w:bookmarkEnd w:id="78"/>
    <w:p>
      <w:pPr>
        <w:pStyle w:val="0"/>
        <w:spacing w:before="200" w:lineRule="auto"/>
        <w:ind w:firstLine="540"/>
        <w:jc w:val="both"/>
      </w:pPr>
      <w:r>
        <w:rPr>
          <w:sz w:val="20"/>
        </w:rPr>
        <w:t xml:space="preserve">2)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79" w:name="P79"/>
    <w:bookmarkEnd w:id="79"/>
    <w:p>
      <w:pPr>
        <w:pStyle w:val="0"/>
        <w:spacing w:before="200" w:lineRule="auto"/>
        <w:ind w:firstLine="540"/>
        <w:jc w:val="both"/>
      </w:pPr>
      <w:r>
        <w:rPr>
          <w:sz w:val="20"/>
        </w:rPr>
        <w:t xml:space="preserve">3) Организация не находится в составляемых в рамках реализации полномочий, предусмотренных </w:t>
      </w:r>
      <w:hyperlink w:history="0" r:id="rId1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80" w:name="P80"/>
    <w:bookmarkEnd w:id="80"/>
    <w:p>
      <w:pPr>
        <w:pStyle w:val="0"/>
        <w:spacing w:before="200" w:lineRule="auto"/>
        <w:ind w:firstLine="540"/>
        <w:jc w:val="both"/>
      </w:pPr>
      <w:r>
        <w:rPr>
          <w:sz w:val="20"/>
        </w:rPr>
        <w:t xml:space="preserve">4) Организация не является получателем средств из краевого бюджета на основании иных нормативных правовых актов Камчатского края на цели, установленные настоящим Порядком;</w:t>
      </w:r>
    </w:p>
    <w:bookmarkStart w:id="81" w:name="P81"/>
    <w:bookmarkEnd w:id="81"/>
    <w:p>
      <w:pPr>
        <w:pStyle w:val="0"/>
        <w:spacing w:before="200" w:lineRule="auto"/>
        <w:ind w:firstLine="540"/>
        <w:jc w:val="both"/>
      </w:pPr>
      <w:r>
        <w:rPr>
          <w:sz w:val="20"/>
        </w:rPr>
        <w:t xml:space="preserve">5) у Организации отсутствует просроченная задолженность по возврату в краевой бюджет иных субсидий, бюджетных инвестиций, а также иная просроченная (неурегулированная) задолженность по денежным обязательствам перед Камчатским краем;</w:t>
      </w:r>
    </w:p>
    <w:bookmarkStart w:id="82" w:name="P82"/>
    <w:bookmarkEnd w:id="82"/>
    <w:p>
      <w:pPr>
        <w:pStyle w:val="0"/>
        <w:spacing w:before="200" w:lineRule="auto"/>
        <w:ind w:firstLine="540"/>
        <w:jc w:val="both"/>
      </w:pPr>
      <w:r>
        <w:rPr>
          <w:sz w:val="20"/>
        </w:rPr>
        <w:t xml:space="preserve">6) Организация не является иностранным агентом в соответствии с Федеральным </w:t>
      </w:r>
      <w:hyperlink w:history="0" r:id="rId1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83" w:name="P83"/>
    <w:bookmarkEnd w:id="83"/>
    <w:p>
      <w:pPr>
        <w:pStyle w:val="0"/>
        <w:spacing w:before="200" w:lineRule="auto"/>
        <w:ind w:firstLine="540"/>
        <w:jc w:val="both"/>
      </w:pPr>
      <w:r>
        <w:rPr>
          <w:sz w:val="20"/>
        </w:rPr>
        <w:t xml:space="preserve">7)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bookmarkStart w:id="84" w:name="P84"/>
    <w:bookmarkEnd w:id="84"/>
    <w:p>
      <w:pPr>
        <w:pStyle w:val="0"/>
        <w:spacing w:before="200" w:lineRule="auto"/>
        <w:ind w:firstLine="540"/>
        <w:jc w:val="both"/>
      </w:pPr>
      <w:r>
        <w:rPr>
          <w:sz w:val="20"/>
        </w:rPr>
        <w:t xml:space="preserve">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bookmarkStart w:id="85" w:name="P85"/>
    <w:bookmarkEnd w:id="85"/>
    <w:p>
      <w:pPr>
        <w:pStyle w:val="0"/>
        <w:spacing w:before="200" w:lineRule="auto"/>
        <w:ind w:firstLine="540"/>
        <w:jc w:val="both"/>
      </w:pPr>
      <w:r>
        <w:rPr>
          <w:sz w:val="20"/>
        </w:rPr>
        <w:t xml:space="preserve">9) у Организации на едином налоговом счете отсутствует или не превышает размер, определенный </w:t>
      </w:r>
      <w:hyperlink w:history="0" r:id="rId20"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8. Субсидия предоставляется Организации в соответствии с Соглашением, заключаемым Министерством с Организацией на текущий финансовый год.</w:t>
      </w:r>
    </w:p>
    <w:p>
      <w:pPr>
        <w:pStyle w:val="0"/>
        <w:spacing w:before="200" w:lineRule="auto"/>
        <w:ind w:firstLine="540"/>
        <w:jc w:val="both"/>
      </w:pPr>
      <w:r>
        <w:rPr>
          <w:sz w:val="20"/>
        </w:rPr>
        <w:t xml:space="preserve">Соглашение, дополнительное соглашение к Соглашению, в том числе дополнительное соглашение о расторжении Соглашения (при необходимости) заключаются в соответствии с типовыми формами, утвержденными Министерством финансов Камчатского края.</w:t>
      </w:r>
    </w:p>
    <w:p>
      <w:pPr>
        <w:pStyle w:val="0"/>
        <w:spacing w:before="200" w:lineRule="auto"/>
        <w:ind w:firstLine="540"/>
        <w:jc w:val="both"/>
      </w:pPr>
      <w:r>
        <w:rPr>
          <w:sz w:val="20"/>
        </w:rPr>
        <w:t xml:space="preserve">Министерство в течение 7 рабочих дней со дня принятия решения о заключении дополнительного соглашения к Соглашению (дополнительного соглашения о расторжении Соглашения) направляет Организации уведомление о данном намерении с приложением дополнительного соглашения к Соглашению (дополнительного соглашения о расторжении Соглашения) посредством электронной связи, почтового отправления, нарочно или иным способом, обеспечивающим подтверждение получения уведомления.</w:t>
      </w:r>
    </w:p>
    <w:p>
      <w:pPr>
        <w:pStyle w:val="0"/>
        <w:spacing w:before="200" w:lineRule="auto"/>
        <w:ind w:firstLine="540"/>
        <w:jc w:val="both"/>
      </w:pPr>
      <w:r>
        <w:rPr>
          <w:sz w:val="20"/>
        </w:rPr>
        <w:t xml:space="preserve">Организация в течение 10 рабочих дней со дня получения уведомления, указанного в абзаце третьем настоящей части, но не позднее 20 декабря соответствующего финансового года, подписывает дополнительное соглашение к Соглашению (дополнительное соглашение о расторжении Соглашения) на бумажном носителе и направляет его в Министерство посредством почтового отправления, нарочно или иным способом, обеспечивающим подтверждение получения дополнительного соглашения к Соглашению (дополнительного соглашения о расторжении Соглашения).</w:t>
      </w:r>
    </w:p>
    <w:p>
      <w:pPr>
        <w:pStyle w:val="0"/>
        <w:spacing w:before="200" w:lineRule="auto"/>
        <w:ind w:firstLine="540"/>
        <w:jc w:val="both"/>
      </w:pPr>
      <w:r>
        <w:rPr>
          <w:sz w:val="20"/>
        </w:rPr>
        <w:t xml:space="preserve">Министерство в течение 5 рабочих дней со дня получения подписанного Организацией дополнительного соглашения к Соглашению (дополнительного соглашения о расторжении Соглашения) подписывает его на бумажном носителе и направляет один экземпляр дополнительного соглашения к Соглашению (дополнительного соглашения о расторжении Соглашения) в адрес Организации посредством почтового отправления, нарочно или иным способом, обеспечивающим подтверждение получения дополнительного соглашения к Соглашению (дополнительного соглашения о расторжении Соглашения).</w:t>
      </w:r>
    </w:p>
    <w:bookmarkStart w:id="91" w:name="P91"/>
    <w:bookmarkEnd w:id="91"/>
    <w:p>
      <w:pPr>
        <w:pStyle w:val="0"/>
        <w:spacing w:before="200" w:lineRule="auto"/>
        <w:ind w:firstLine="540"/>
        <w:jc w:val="both"/>
      </w:pPr>
      <w:r>
        <w:rPr>
          <w:sz w:val="20"/>
        </w:rPr>
        <w:t xml:space="preserve">9. Для получения субсидии Организация в срок до 1 октября 2025 года представляет в Министерство следующие документы:</w:t>
      </w:r>
    </w:p>
    <w:p>
      <w:pPr>
        <w:pStyle w:val="0"/>
        <w:spacing w:before="200" w:lineRule="auto"/>
        <w:ind w:firstLine="540"/>
        <w:jc w:val="both"/>
      </w:pPr>
      <w:r>
        <w:rPr>
          <w:sz w:val="20"/>
        </w:rPr>
        <w:t xml:space="preserve">1) заявку на предоставление субсидии с указанием реквизитов расчетного или корреспондентского счета Организации, открытого в учреждениях Центрального банка Российской Федерации или кредитной организации, по форме, утвержденной Министерством (далее - заявка);</w:t>
      </w:r>
    </w:p>
    <w:p>
      <w:pPr>
        <w:pStyle w:val="0"/>
        <w:spacing w:before="200" w:lineRule="auto"/>
        <w:ind w:firstLine="540"/>
        <w:jc w:val="both"/>
      </w:pPr>
      <w:r>
        <w:rPr>
          <w:sz w:val="20"/>
        </w:rPr>
        <w:t xml:space="preserve">2) копии учредительных документов с одновременным представлением оригиналов для сверки и заверения;</w:t>
      </w:r>
    </w:p>
    <w:p>
      <w:pPr>
        <w:pStyle w:val="0"/>
        <w:spacing w:before="200" w:lineRule="auto"/>
        <w:ind w:firstLine="540"/>
        <w:jc w:val="both"/>
      </w:pPr>
      <w:r>
        <w:rPr>
          <w:sz w:val="20"/>
        </w:rPr>
        <w:t xml:space="preserve">3) справку, подписанную руководителем Организации, подтверждающую соответствие Организации требованиям, указанным в </w:t>
      </w:r>
      <w:hyperlink w:history="0" w:anchor="P77" w:tooltip="1)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
        <w:r>
          <w:rPr>
            <w:sz w:val="20"/>
            <w:color w:val="0000ff"/>
          </w:rPr>
          <w:t xml:space="preserve">пунктах 1</w:t>
        </w:r>
      </w:hyperlink>
      <w:r>
        <w:rPr>
          <w:sz w:val="20"/>
        </w:rPr>
        <w:t xml:space="preserve"> - </w:t>
      </w:r>
      <w:hyperlink w:history="0" w:anchor="P84" w:tooltip="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w:r>
          <w:rPr>
            <w:sz w:val="20"/>
            <w:color w:val="0000ff"/>
          </w:rPr>
          <w:t xml:space="preserve">8 части 7</w:t>
        </w:r>
      </w:hyperlink>
      <w:r>
        <w:rPr>
          <w:sz w:val="20"/>
        </w:rPr>
        <w:t xml:space="preserve"> настоящего Порядка.</w:t>
      </w:r>
    </w:p>
    <w:p>
      <w:pPr>
        <w:pStyle w:val="0"/>
        <w:spacing w:before="200" w:lineRule="auto"/>
        <w:ind w:firstLine="540"/>
        <w:jc w:val="both"/>
      </w:pPr>
      <w:r>
        <w:rPr>
          <w:sz w:val="20"/>
        </w:rPr>
        <w:t xml:space="preserve">4) документ, подтверждающий соответствие Организации требованию, установленному </w:t>
      </w:r>
      <w:hyperlink w:history="0" w:anchor="P85" w:tooltip="9) у Организаци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пунктом 9 части 7</w:t>
        </w:r>
      </w:hyperlink>
      <w:r>
        <w:rPr>
          <w:sz w:val="20"/>
        </w:rPr>
        <w:t xml:space="preserve"> настоящего Порядка, выданный налоговым органом;</w:t>
      </w:r>
    </w:p>
    <w:p>
      <w:pPr>
        <w:pStyle w:val="0"/>
        <w:spacing w:before="200" w:lineRule="auto"/>
        <w:ind w:firstLine="540"/>
        <w:jc w:val="both"/>
      </w:pPr>
      <w:r>
        <w:rPr>
          <w:sz w:val="20"/>
        </w:rPr>
        <w:t xml:space="preserve">5) смету по направлениям расходов, предусмотренных </w:t>
      </w:r>
      <w:hyperlink w:history="0" w:anchor="P62" w:tooltip="4. Субсидии предоставляются по следующим направлениям расходов:">
        <w:r>
          <w:rPr>
            <w:sz w:val="20"/>
            <w:color w:val="0000ff"/>
          </w:rPr>
          <w:t xml:space="preserve">частью 4</w:t>
        </w:r>
      </w:hyperlink>
      <w:r>
        <w:rPr>
          <w:sz w:val="20"/>
        </w:rPr>
        <w:t xml:space="preserve"> настоящего Порядка;</w:t>
      </w:r>
    </w:p>
    <w:p>
      <w:pPr>
        <w:pStyle w:val="0"/>
        <w:spacing w:before="200" w:lineRule="auto"/>
        <w:ind w:firstLine="540"/>
        <w:jc w:val="both"/>
      </w:pPr>
      <w:r>
        <w:rPr>
          <w:sz w:val="20"/>
        </w:rPr>
        <w:t xml:space="preserve">6) программу мероприятий (план мероприятий), согласованную Министерством, включаемую в Соглашение.</w:t>
      </w:r>
    </w:p>
    <w:p>
      <w:pPr>
        <w:pStyle w:val="0"/>
        <w:spacing w:before="200" w:lineRule="auto"/>
        <w:ind w:firstLine="540"/>
        <w:jc w:val="both"/>
      </w:pPr>
      <w:r>
        <w:rPr>
          <w:sz w:val="20"/>
        </w:rPr>
        <w:t xml:space="preserve">7) общественно полезную программу.</w:t>
      </w:r>
    </w:p>
    <w:p>
      <w:pPr>
        <w:pStyle w:val="0"/>
        <w:jc w:val="both"/>
      </w:pPr>
      <w:r>
        <w:rPr>
          <w:sz w:val="20"/>
        </w:rPr>
        <w:t xml:space="preserve">(п. 7 введен </w:t>
      </w:r>
      <w:hyperlink w:history="0" r:id="rId21"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10. Документы, указанные в </w:t>
      </w:r>
      <w:hyperlink w:history="0" w:anchor="P91" w:tooltip="9. Для получения субсидии Организация в срок до 1 октября 2025 года представляет в Министерство следующие документы:">
        <w:r>
          <w:rPr>
            <w:sz w:val="20"/>
            <w:color w:val="0000ff"/>
          </w:rPr>
          <w:t xml:space="preserve">части 9</w:t>
        </w:r>
      </w:hyperlink>
      <w:r>
        <w:rPr>
          <w:sz w:val="20"/>
        </w:rPr>
        <w:t xml:space="preserve"> настоящего Порядка, подлежат регистрации в день их поступления в Министерство.</w:t>
      </w:r>
    </w:p>
    <w:p>
      <w:pPr>
        <w:pStyle w:val="0"/>
        <w:spacing w:before="200" w:lineRule="auto"/>
        <w:ind w:firstLine="540"/>
        <w:jc w:val="both"/>
      </w:pPr>
      <w:r>
        <w:rPr>
          <w:sz w:val="20"/>
        </w:rPr>
        <w:t xml:space="preserve">11. Министерство в течение 10 рабочих дней со дня регистрации документов, указанных в </w:t>
      </w:r>
      <w:hyperlink w:history="0" w:anchor="P91" w:tooltip="9. Для получения субсидии Организация в срок до 1 октября 2025 года представляет в Министерство следующие документы:">
        <w:r>
          <w:rPr>
            <w:sz w:val="20"/>
            <w:color w:val="0000ff"/>
          </w:rPr>
          <w:t xml:space="preserve">части 9</w:t>
        </w:r>
      </w:hyperlink>
      <w:r>
        <w:rPr>
          <w:sz w:val="20"/>
        </w:rPr>
        <w:t xml:space="preserve"> настоящего Порядка, рассматривает их, проводит проверку Организации на соответствие требованиям, установленным </w:t>
      </w:r>
      <w:hyperlink w:history="0" w:anchor="P76" w:tooltip="7. Условием предоставления субсидии является соответствие Организации на первое число месяца, в котором планируется заключение соглашения о предоставлении субсидии (далее - Соглашение), следующим требованиям:">
        <w:r>
          <w:rPr>
            <w:sz w:val="20"/>
            <w:color w:val="0000ff"/>
          </w:rPr>
          <w:t xml:space="preserve">частью 7</w:t>
        </w:r>
      </w:hyperlink>
      <w:r>
        <w:rPr>
          <w:sz w:val="20"/>
        </w:rPr>
        <w:t xml:space="preserve"> настоящего Порядка, в том числе устанавливает полноту и достоверность сведений, содержащихся в прилагаемых документах, а также получает в отношении Организации:</w:t>
      </w:r>
    </w:p>
    <w:p>
      <w:pPr>
        <w:pStyle w:val="0"/>
        <w:spacing w:before="200" w:lineRule="auto"/>
        <w:ind w:firstLine="540"/>
        <w:jc w:val="both"/>
      </w:pPr>
      <w:r>
        <w:rPr>
          <w:sz w:val="20"/>
        </w:rPr>
        <w:t xml:space="preserve">1) сведения о соответствии Организации требованиям </w:t>
      </w:r>
      <w:hyperlink w:history="0" w:anchor="P77" w:tooltip="1)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
        <w:r>
          <w:rPr>
            <w:sz w:val="20"/>
            <w:color w:val="0000ff"/>
          </w:rPr>
          <w:t xml:space="preserve">пунктов 1</w:t>
        </w:r>
      </w:hyperlink>
      <w:r>
        <w:rPr>
          <w:sz w:val="20"/>
        </w:rPr>
        <w:t xml:space="preserve"> и </w:t>
      </w:r>
      <w:hyperlink w:history="0" w:anchor="P84" w:tooltip="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w:r>
          <w:rPr>
            <w:sz w:val="20"/>
            <w:color w:val="0000ff"/>
          </w:rPr>
          <w:t xml:space="preserve">8 части 7</w:t>
        </w:r>
      </w:hyperlink>
      <w:r>
        <w:rPr>
          <w:sz w:val="20"/>
        </w:rPr>
        <w:t xml:space="preserve"> настоящего Порядка из Единого государственного реестра юридических лиц. Организация вправе самостоятельно представить в Министерство выписку из Единого государственного реестра юридических лиц и из реестра дисквалифицированных лиц;</w:t>
      </w:r>
    </w:p>
    <w:p>
      <w:pPr>
        <w:pStyle w:val="0"/>
        <w:spacing w:before="200" w:lineRule="auto"/>
        <w:ind w:firstLine="540"/>
        <w:jc w:val="both"/>
      </w:pPr>
      <w:r>
        <w:rPr>
          <w:sz w:val="20"/>
        </w:rPr>
        <w:t xml:space="preserve">2) информацию о соответствии Организации требованиям </w:t>
      </w:r>
      <w:hyperlink w:history="0" w:anchor="P78" w:tooltip="2)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пункта 2 части 7</w:t>
        </w:r>
      </w:hyperlink>
      <w:r>
        <w:rPr>
          <w:sz w:val="20"/>
        </w:rPr>
        <w:t xml:space="preserve"> настоящего Порядка на официальном сайте Росфинмониторинга на странице "Перечень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3) информацию о соответствии Организации требованиям </w:t>
      </w:r>
      <w:hyperlink w:history="0" w:anchor="P79" w:tooltip="3) Организация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пункта 3 части 7</w:t>
        </w:r>
      </w:hyperlink>
      <w:r>
        <w:rPr>
          <w:sz w:val="20"/>
        </w:rPr>
        <w:t xml:space="preserve"> настоящего Порядка на официальном сайте Росфинмониторинга на странице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spacing w:before="200" w:lineRule="auto"/>
        <w:ind w:firstLine="540"/>
        <w:jc w:val="both"/>
      </w:pPr>
      <w:r>
        <w:rPr>
          <w:sz w:val="20"/>
        </w:rPr>
        <w:t xml:space="preserve">4) информацию о соответствии Организации требованиям </w:t>
      </w:r>
      <w:hyperlink w:history="0" w:anchor="P80" w:tooltip="4) Организация не является получателем средств из краевого бюджета на основании иных нормативных правовых актов Камчатского края на цели, установленные настоящим Порядком;">
        <w:r>
          <w:rPr>
            <w:sz w:val="20"/>
            <w:color w:val="0000ff"/>
          </w:rPr>
          <w:t xml:space="preserve">пунктов 4</w:t>
        </w:r>
      </w:hyperlink>
      <w:r>
        <w:rPr>
          <w:sz w:val="20"/>
        </w:rPr>
        <w:t xml:space="preserve"> и </w:t>
      </w:r>
      <w:hyperlink w:history="0" w:anchor="P81" w:tooltip="5) у Организации отсутствует просроченная задолженность по возврату в краевой бюджет иных субсидий, бюджетных инвестиций, а также иная просроченная (неурегулированная) задолженность по денежным обязательствам перед Камчатским краем;">
        <w:r>
          <w:rPr>
            <w:sz w:val="20"/>
            <w:color w:val="0000ff"/>
          </w:rPr>
          <w:t xml:space="preserve">5 части 7</w:t>
        </w:r>
      </w:hyperlink>
      <w:r>
        <w:rPr>
          <w:sz w:val="20"/>
        </w:rPr>
        <w:t xml:space="preserve"> настоящего Порядка в исполнительных органах Камчатского края;</w:t>
      </w:r>
    </w:p>
    <w:p>
      <w:pPr>
        <w:pStyle w:val="0"/>
        <w:spacing w:before="200" w:lineRule="auto"/>
        <w:ind w:firstLine="540"/>
        <w:jc w:val="both"/>
      </w:pPr>
      <w:r>
        <w:rPr>
          <w:sz w:val="20"/>
        </w:rPr>
        <w:t xml:space="preserve">5) информацию о соответствии Организации требованиям </w:t>
      </w:r>
      <w:hyperlink w:history="0" w:anchor="P82" w:tooltip="6) Организация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пункта 6 части 7</w:t>
        </w:r>
      </w:hyperlink>
      <w:r>
        <w:rPr>
          <w:sz w:val="20"/>
        </w:rPr>
        <w:t xml:space="preserve"> настоящего Порядка на официальном сайте Министерства юстиции Российской Федерации на странице "Реестр иностранных агентов";</w:t>
      </w:r>
    </w:p>
    <w:p>
      <w:pPr>
        <w:pStyle w:val="0"/>
        <w:spacing w:before="200" w:lineRule="auto"/>
        <w:ind w:firstLine="540"/>
        <w:jc w:val="both"/>
      </w:pPr>
      <w:r>
        <w:rPr>
          <w:sz w:val="20"/>
        </w:rPr>
        <w:t xml:space="preserve">6) информацию о соответствии Организации требованиям </w:t>
      </w:r>
      <w:hyperlink w:history="0" w:anchor="P83" w:tooltip="7)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
        <w:r>
          <w:rPr>
            <w:sz w:val="20"/>
            <w:color w:val="0000ff"/>
          </w:rPr>
          <w:t xml:space="preserve">пунктов 7</w:t>
        </w:r>
      </w:hyperlink>
      <w:r>
        <w:rPr>
          <w:sz w:val="20"/>
        </w:rPr>
        <w:t xml:space="preserve"> и </w:t>
      </w:r>
      <w:hyperlink w:history="0" w:anchor="P85" w:tooltip="9) у Организаци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9 части 7</w:t>
        </w:r>
      </w:hyperlink>
      <w:r>
        <w:rPr>
          <w:sz w:val="20"/>
        </w:rPr>
        <w:t xml:space="preserve"> настоящего Порядка на официальном сайте Федеральной налоговой службы.</w:t>
      </w:r>
    </w:p>
    <w:p>
      <w:pPr>
        <w:pStyle w:val="0"/>
        <w:spacing w:before="200" w:lineRule="auto"/>
        <w:ind w:firstLine="540"/>
        <w:jc w:val="both"/>
      </w:pPr>
      <w:r>
        <w:rPr>
          <w:sz w:val="20"/>
        </w:rPr>
        <w:t xml:space="preserve">12. Министерство в течение 10 рабочих дней со дня регистрации документов, указанных в </w:t>
      </w:r>
      <w:hyperlink w:history="0" w:anchor="P91" w:tooltip="9. Для получения субсидии Организация в срок до 1 октября 2025 года представляет в Министерство следующие документы:">
        <w:r>
          <w:rPr>
            <w:sz w:val="20"/>
            <w:color w:val="0000ff"/>
          </w:rPr>
          <w:t xml:space="preserve">части 9</w:t>
        </w:r>
      </w:hyperlink>
      <w:r>
        <w:rPr>
          <w:sz w:val="20"/>
        </w:rPr>
        <w:t xml:space="preserve"> настоящего Порядка, принимает решение о предоставлении субсидии или об отказе в предоставлении субсидии Организации.</w:t>
      </w:r>
    </w:p>
    <w:p>
      <w:pPr>
        <w:pStyle w:val="0"/>
        <w:spacing w:before="200" w:lineRule="auto"/>
        <w:ind w:firstLine="540"/>
        <w:jc w:val="both"/>
      </w:pPr>
      <w:r>
        <w:rPr>
          <w:sz w:val="20"/>
        </w:rPr>
        <w:t xml:space="preserve">13. Субсидии предоставляются в следующих размерах:</w:t>
      </w:r>
    </w:p>
    <w:p>
      <w:pPr>
        <w:pStyle w:val="0"/>
        <w:spacing w:before="200" w:lineRule="auto"/>
        <w:ind w:firstLine="540"/>
        <w:jc w:val="both"/>
      </w:pPr>
      <w:r>
        <w:rPr>
          <w:sz w:val="20"/>
        </w:rPr>
        <w:t xml:space="preserve">1) Общественной организации Камчатская краевая детско-юношеская Федерация "Киокусинкай" - 300 000,0 рублей по направлению расходов, указанному в </w:t>
      </w:r>
      <w:hyperlink w:history="0" w:anchor="P64" w:tooltip="а) на материально-техническое обеспечение спортивных залов;">
        <w:r>
          <w:rPr>
            <w:sz w:val="20"/>
            <w:color w:val="0000ff"/>
          </w:rPr>
          <w:t xml:space="preserve">подпункте "а" пункта 1 части 4</w:t>
        </w:r>
      </w:hyperlink>
      <w:r>
        <w:rPr>
          <w:sz w:val="20"/>
        </w:rPr>
        <w:t xml:space="preserve"> настоящего Порядка, и 100 000,0 рублей по направлению расходов, указанному в </w:t>
      </w:r>
      <w:hyperlink w:history="0" w:anchor="P65" w:tooltip="б) на организацию тиражирования книги, посвященной развитию киокусинкай в Камчатском крае;">
        <w:r>
          <w:rPr>
            <w:sz w:val="20"/>
            <w:color w:val="0000ff"/>
          </w:rPr>
          <w:t xml:space="preserve">подпункте "б" пункта 1 части 4</w:t>
        </w:r>
      </w:hyperlink>
      <w:r>
        <w:rPr>
          <w:sz w:val="20"/>
        </w:rPr>
        <w:t xml:space="preserve"> настоящего Порядка;</w:t>
      </w:r>
    </w:p>
    <w:p>
      <w:pPr>
        <w:pStyle w:val="0"/>
        <w:jc w:val="both"/>
      </w:pPr>
      <w:r>
        <w:rPr>
          <w:sz w:val="20"/>
        </w:rPr>
        <w:t xml:space="preserve">(в ред. </w:t>
      </w:r>
      <w:hyperlink w:history="0" r:id="rId22"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Постановления</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2) Краевой общественной организации "Камчатская федерация плавания" - 100 000,0 рублей;</w:t>
      </w:r>
    </w:p>
    <w:p>
      <w:pPr>
        <w:pStyle w:val="0"/>
        <w:spacing w:before="200" w:lineRule="auto"/>
        <w:ind w:firstLine="540"/>
        <w:jc w:val="both"/>
      </w:pPr>
      <w:r>
        <w:rPr>
          <w:sz w:val="20"/>
        </w:rPr>
        <w:t xml:space="preserve">3) Региональной общественной организации "Камчатская Федерация Лыжных Гонок" - 200 000,0 рублей;</w:t>
      </w:r>
    </w:p>
    <w:p>
      <w:pPr>
        <w:pStyle w:val="0"/>
        <w:spacing w:before="200" w:lineRule="auto"/>
        <w:ind w:firstLine="540"/>
        <w:jc w:val="both"/>
      </w:pPr>
      <w:r>
        <w:rPr>
          <w:sz w:val="20"/>
        </w:rPr>
        <w:t xml:space="preserve">4) Камчатской региональной организации общественно-государственного объединения "Всероссийское физкультурно-спортивное общество "Динамо" - 200 000,0 рублей;</w:t>
      </w:r>
    </w:p>
    <w:p>
      <w:pPr>
        <w:pStyle w:val="0"/>
        <w:spacing w:before="200" w:lineRule="auto"/>
        <w:ind w:firstLine="540"/>
        <w:jc w:val="both"/>
      </w:pPr>
      <w:r>
        <w:rPr>
          <w:sz w:val="20"/>
        </w:rPr>
        <w:t xml:space="preserve">5) Региональной общественной организации "Федерация смешанного боевого единоборства (ММА) Камчатского края" - 300 000,0 рублей;</w:t>
      </w:r>
    </w:p>
    <w:p>
      <w:pPr>
        <w:pStyle w:val="0"/>
        <w:spacing w:before="200" w:lineRule="auto"/>
        <w:ind w:firstLine="540"/>
        <w:jc w:val="both"/>
      </w:pPr>
      <w:r>
        <w:rPr>
          <w:sz w:val="20"/>
        </w:rPr>
        <w:t xml:space="preserve">6) Автономной некоммерческой организации "Детско-юношеский спортивный клуб "Камчатка" - 300 000,0 рублей;</w:t>
      </w:r>
    </w:p>
    <w:p>
      <w:pPr>
        <w:pStyle w:val="0"/>
        <w:spacing w:before="200" w:lineRule="auto"/>
        <w:ind w:firstLine="540"/>
        <w:jc w:val="both"/>
      </w:pPr>
      <w:r>
        <w:rPr>
          <w:sz w:val="20"/>
        </w:rPr>
        <w:t xml:space="preserve">7) Региональной общественной молодежной организации "Федерация пауэрлифтинга Камчатского края" - 250 000,0 рублей.</w:t>
      </w:r>
    </w:p>
    <w:p>
      <w:pPr>
        <w:pStyle w:val="0"/>
        <w:spacing w:before="200" w:lineRule="auto"/>
        <w:ind w:firstLine="540"/>
        <w:jc w:val="both"/>
      </w:pPr>
      <w:r>
        <w:rPr>
          <w:sz w:val="20"/>
        </w:rPr>
        <w:t xml:space="preserve">8) Общественной организации "Камчатская Краевая Федерация Кикбоксинга" - 100 000,0 рублей.</w:t>
      </w:r>
    </w:p>
    <w:p>
      <w:pPr>
        <w:pStyle w:val="0"/>
        <w:jc w:val="both"/>
      </w:pPr>
      <w:r>
        <w:rPr>
          <w:sz w:val="20"/>
        </w:rPr>
        <w:t xml:space="preserve">(п. 8 введен </w:t>
      </w:r>
      <w:hyperlink w:history="0" r:id="rId23"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14. Основаниями для отказа в предоставлении Организации субсидии являются:</w:t>
      </w:r>
    </w:p>
    <w:p>
      <w:pPr>
        <w:pStyle w:val="0"/>
        <w:spacing w:before="200" w:lineRule="auto"/>
        <w:ind w:firstLine="540"/>
        <w:jc w:val="both"/>
      </w:pPr>
      <w:r>
        <w:rPr>
          <w:sz w:val="20"/>
        </w:rPr>
        <w:t xml:space="preserve">1) несоответствие Организации требованиям, установленным </w:t>
      </w:r>
      <w:hyperlink w:history="0" w:anchor="P76" w:tooltip="7. Условием предоставления субсидии является соответствие Организации на первое число месяца, в котором планируется заключение соглашения о предоставлении субсидии (далее - Соглашение), следующим требованиям:">
        <w:r>
          <w:rPr>
            <w:sz w:val="20"/>
            <w:color w:val="0000ff"/>
          </w:rPr>
          <w:t xml:space="preserve">частью 7</w:t>
        </w:r>
      </w:hyperlink>
      <w:r>
        <w:rPr>
          <w:sz w:val="20"/>
        </w:rPr>
        <w:t xml:space="preserve"> настоящего Порядка;</w:t>
      </w:r>
    </w:p>
    <w:p>
      <w:pPr>
        <w:pStyle w:val="0"/>
        <w:spacing w:before="200" w:lineRule="auto"/>
        <w:ind w:firstLine="540"/>
        <w:jc w:val="both"/>
      </w:pPr>
      <w:r>
        <w:rPr>
          <w:sz w:val="20"/>
        </w:rPr>
        <w:t xml:space="preserve">2) несоответствие представленных Организацией документов требованиям, установленным </w:t>
      </w:r>
      <w:hyperlink w:history="0" w:anchor="P91" w:tooltip="9. Для получения субсидии Организация в срок до 1 октября 2025 года представляет в Министерство следующие документы:">
        <w:r>
          <w:rPr>
            <w:sz w:val="20"/>
            <w:color w:val="0000ff"/>
          </w:rPr>
          <w:t xml:space="preserve">частью 9</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установление факта недостоверности представленной Организацией информации.</w:t>
      </w:r>
    </w:p>
    <w:p>
      <w:pPr>
        <w:pStyle w:val="0"/>
        <w:spacing w:before="200" w:lineRule="auto"/>
        <w:ind w:firstLine="540"/>
        <w:jc w:val="both"/>
      </w:pPr>
      <w:r>
        <w:rPr>
          <w:sz w:val="20"/>
        </w:rPr>
        <w:t xml:space="preserve">15. В случае принятия решения о предоставлении субсидии Министерство заключает с Организацией Соглашение в следующем порядке и сроки:</w:t>
      </w:r>
    </w:p>
    <w:p>
      <w:pPr>
        <w:pStyle w:val="0"/>
        <w:spacing w:before="200" w:lineRule="auto"/>
        <w:ind w:firstLine="540"/>
        <w:jc w:val="both"/>
      </w:pPr>
      <w:r>
        <w:rPr>
          <w:sz w:val="20"/>
        </w:rPr>
        <w:t xml:space="preserve">1) Министерство в течение 10 рабочих дней со дня принятия решения о предоставлении субсидии направляет Организации уведомление и проект Соглашения в двух экземплярах для подписания посредством электронной связи, почтовым отправлением, нарочным способом или иным способом, обеспечивающим подтверждение получения Организацией уведомления и проекта Соглашения;</w:t>
      </w:r>
    </w:p>
    <w:p>
      <w:pPr>
        <w:pStyle w:val="0"/>
        <w:spacing w:before="200" w:lineRule="auto"/>
        <w:ind w:firstLine="540"/>
        <w:jc w:val="both"/>
      </w:pPr>
      <w:r>
        <w:rPr>
          <w:sz w:val="20"/>
        </w:rPr>
        <w:t xml:space="preserve">2) Организация в течение 10 рабочих дней со дня получения уведомления и проекта Соглашения подписывает и возвращает в адрес Министерства два экземпляра проекта Соглашения посредством почтового отправления или нарочно;</w:t>
      </w:r>
    </w:p>
    <w:p>
      <w:pPr>
        <w:pStyle w:val="0"/>
        <w:spacing w:before="200" w:lineRule="auto"/>
        <w:ind w:firstLine="540"/>
        <w:jc w:val="both"/>
      </w:pPr>
      <w:r>
        <w:rPr>
          <w:sz w:val="20"/>
        </w:rPr>
        <w:t xml:space="preserve">3) в случае непоступления в Министерство двух экземпляров подписанного проекта Соглашения в течение 10 рабочих дней со дня получения Организацией проекта Соглашения Организация признается уклонившейся от заключения Соглашения;</w:t>
      </w:r>
    </w:p>
    <w:p>
      <w:pPr>
        <w:pStyle w:val="0"/>
        <w:spacing w:before="200" w:lineRule="auto"/>
        <w:ind w:firstLine="540"/>
        <w:jc w:val="both"/>
      </w:pPr>
      <w:r>
        <w:rPr>
          <w:sz w:val="20"/>
        </w:rPr>
        <w:t xml:space="preserve">4) Министерство в течение 10 рабочих дней со дня получения двух экземпляров проекта Соглашения подписывает их со своей стороны, регистрирует и направляет один экземпляр Соглашения Организации посредством почтового отправления или нарочно;</w:t>
      </w:r>
    </w:p>
    <w:p>
      <w:pPr>
        <w:pStyle w:val="0"/>
        <w:spacing w:before="200" w:lineRule="auto"/>
        <w:ind w:firstLine="540"/>
        <w:jc w:val="both"/>
      </w:pPr>
      <w:r>
        <w:rPr>
          <w:sz w:val="20"/>
        </w:rPr>
        <w:t xml:space="preserve">5) Соглашение считается заключенным после подписания его Министерством и Организацией и регистрации в Министерстве.</w:t>
      </w:r>
    </w:p>
    <w:p>
      <w:pPr>
        <w:pStyle w:val="0"/>
        <w:spacing w:before="200" w:lineRule="auto"/>
        <w:ind w:firstLine="540"/>
        <w:jc w:val="both"/>
      </w:pPr>
      <w:r>
        <w:rPr>
          <w:sz w:val="20"/>
        </w:rPr>
        <w:t xml:space="preserve">16. В случае принятия решения об отказе в предоставлении субсидии Министерство в течение 5 рабочих дней со дня принятия такого решения направляет Организации уведомление о принятом решении с обоснованием причин отказа способом, обеспечивающим подтверждение получения указанного уведомления Организацией.</w:t>
      </w:r>
    </w:p>
    <w:p>
      <w:pPr>
        <w:pStyle w:val="0"/>
        <w:spacing w:before="200" w:lineRule="auto"/>
        <w:ind w:firstLine="540"/>
        <w:jc w:val="both"/>
      </w:pPr>
      <w:r>
        <w:rPr>
          <w:sz w:val="20"/>
        </w:rPr>
        <w:t xml:space="preserve">17. Обязательными условиями предоставления субсидии, включаемыми соответственно в Соглашение и в договоры (соглашения), заключенные в целях исполнения обязательств по Соглашению, являются:</w:t>
      </w:r>
    </w:p>
    <w:p>
      <w:pPr>
        <w:pStyle w:val="0"/>
        <w:spacing w:before="200" w:lineRule="auto"/>
        <w:ind w:firstLine="540"/>
        <w:jc w:val="both"/>
      </w:pPr>
      <w:r>
        <w:rPr>
          <w:sz w:val="20"/>
        </w:rPr>
        <w:t xml:space="preserve">1) согласие Организации, лиц, получающих средства на основании договоров (соглашений), заключенных с Организацией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проверок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проверок органами государственного финансового контроля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2) запрет приобретения Организацией, а также иными юридическими лицами, получающими средства на основании договоров (соглашений), заключенных с Организацией,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18. Обязательным условием предоставления субсидии, включаемым в Соглашение, является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19. Министерство перечисляет субсидию на расчетный или корреспондентский счет Организации, открытый в учреждениях Центрального банка Российской Федерации или кредитной организации, реквизиты которого указаны в заявке, в течение 15 рабочих дней со дня заключения Соглашения.</w:t>
      </w:r>
    </w:p>
    <w:p>
      <w:pPr>
        <w:pStyle w:val="0"/>
        <w:spacing w:before="200" w:lineRule="auto"/>
        <w:ind w:firstLine="540"/>
        <w:jc w:val="both"/>
      </w:pPr>
      <w:r>
        <w:rPr>
          <w:sz w:val="20"/>
        </w:rPr>
        <w:t xml:space="preserve">20. При реорганизации Организации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Организации в форме разделения, выделения, а также при ликвидации Организации,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Организацией обязательствах, источником финансового обеспечения которых является субсидия, и возврате неиспользованного остатка субсидии в краевой бюджет.</w:t>
      </w:r>
    </w:p>
    <w:bookmarkStart w:id="138" w:name="P138"/>
    <w:bookmarkEnd w:id="138"/>
    <w:p>
      <w:pPr>
        <w:pStyle w:val="0"/>
        <w:spacing w:before="200" w:lineRule="auto"/>
        <w:ind w:firstLine="540"/>
        <w:jc w:val="both"/>
      </w:pPr>
      <w:r>
        <w:rPr>
          <w:sz w:val="20"/>
        </w:rPr>
        <w:t xml:space="preserve">21. Результатами предоставления субсидии по состоянию на 31 декабря 2025 года являются:</w:t>
      </w:r>
    </w:p>
    <w:p>
      <w:pPr>
        <w:pStyle w:val="0"/>
        <w:spacing w:before="200" w:lineRule="auto"/>
        <w:ind w:firstLine="540"/>
        <w:jc w:val="both"/>
      </w:pPr>
      <w:r>
        <w:rPr>
          <w:sz w:val="20"/>
        </w:rPr>
        <w:t xml:space="preserve">1) по </w:t>
      </w:r>
      <w:hyperlink w:history="0" w:anchor="P64" w:tooltip="а) на материально-техническое обеспечение спортивных залов;">
        <w:r>
          <w:rPr>
            <w:sz w:val="20"/>
            <w:color w:val="0000ff"/>
          </w:rPr>
          <w:t xml:space="preserve">подпункту "а" пункта 1 части 4</w:t>
        </w:r>
      </w:hyperlink>
      <w:r>
        <w:rPr>
          <w:sz w:val="20"/>
        </w:rPr>
        <w:t xml:space="preserve"> настоящего Порядка - количество приобретенного спортивного инвентаря;</w:t>
      </w:r>
    </w:p>
    <w:p>
      <w:pPr>
        <w:pStyle w:val="0"/>
        <w:spacing w:before="200" w:lineRule="auto"/>
        <w:ind w:firstLine="540"/>
        <w:jc w:val="both"/>
      </w:pPr>
      <w:r>
        <w:rPr>
          <w:sz w:val="20"/>
        </w:rPr>
        <w:t xml:space="preserve">2) по </w:t>
      </w:r>
      <w:hyperlink w:history="0" w:anchor="P65" w:tooltip="б) на организацию тиражирования книги, посвященной развитию киокусинкай в Камчатском крае;">
        <w:r>
          <w:rPr>
            <w:sz w:val="20"/>
            <w:color w:val="0000ff"/>
          </w:rPr>
          <w:t xml:space="preserve">подпункту "б" пункта 1 части 4</w:t>
        </w:r>
      </w:hyperlink>
      <w:r>
        <w:rPr>
          <w:sz w:val="20"/>
        </w:rPr>
        <w:t xml:space="preserve"> настоящего Порядка - количество изданных экземпляров книги;</w:t>
      </w:r>
    </w:p>
    <w:p>
      <w:pPr>
        <w:pStyle w:val="0"/>
        <w:spacing w:before="200" w:lineRule="auto"/>
        <w:ind w:firstLine="540"/>
        <w:jc w:val="both"/>
      </w:pPr>
      <w:r>
        <w:rPr>
          <w:sz w:val="20"/>
        </w:rPr>
        <w:t xml:space="preserve">3) по </w:t>
      </w:r>
      <w:hyperlink w:history="0" w:anchor="P66" w:tooltip="2) Краевой общественной организации &quot;Камчатская федерация плавания&quot; - на командирование членов спортивной сборной команды Камчатского края по плаванию для участия в Межрегиональных соревнованиях по плаванию &quot;Амурские тигрята&quot; в город Хабаровск;">
        <w:r>
          <w:rPr>
            <w:sz w:val="20"/>
            <w:color w:val="0000ff"/>
          </w:rPr>
          <w:t xml:space="preserve">пункту 2 части 4</w:t>
        </w:r>
      </w:hyperlink>
      <w:r>
        <w:rPr>
          <w:sz w:val="20"/>
        </w:rPr>
        <w:t xml:space="preserve"> настоящего Порядка - количество спортсменов, принявших участие в соревнованиях;</w:t>
      </w:r>
    </w:p>
    <w:p>
      <w:pPr>
        <w:pStyle w:val="0"/>
        <w:spacing w:before="200" w:lineRule="auto"/>
        <w:ind w:firstLine="540"/>
        <w:jc w:val="both"/>
      </w:pPr>
      <w:r>
        <w:rPr>
          <w:sz w:val="20"/>
        </w:rPr>
        <w:t xml:space="preserve">4) по </w:t>
      </w:r>
      <w:hyperlink w:history="0" w:anchor="P67" w:tooltip="3) Региональной общественной организации &quot;Камчатская Федерация Лыжных Гонок&quot; - на приобретение спортивного оборудования (лыжных тренажеров) для подготовки членов сборной команды Камчатского края по лыжным гонкам к Всероссийским соревнованиям;">
        <w:r>
          <w:rPr>
            <w:sz w:val="20"/>
            <w:color w:val="0000ff"/>
          </w:rPr>
          <w:t xml:space="preserve">пункту 3 части 4</w:t>
        </w:r>
      </w:hyperlink>
      <w:r>
        <w:rPr>
          <w:sz w:val="20"/>
        </w:rPr>
        <w:t xml:space="preserve"> настоящего Порядка - количество приобретенного спортивного оборудования;</w:t>
      </w:r>
    </w:p>
    <w:p>
      <w:pPr>
        <w:pStyle w:val="0"/>
        <w:spacing w:before="200" w:lineRule="auto"/>
        <w:ind w:firstLine="540"/>
        <w:jc w:val="both"/>
      </w:pPr>
      <w:r>
        <w:rPr>
          <w:sz w:val="20"/>
        </w:rPr>
        <w:t xml:space="preserve">5) по </w:t>
      </w:r>
      <w:hyperlink w:history="0" w:anchor="P68" w:tooltip="4) Камчатской региональной организации общественно-государственного объединения &quot;Всероссийское физкультурно-спортивное общество &quot;Динамо&quot; - на приобретение спортивного инвентаря и спортивной формы;">
        <w:r>
          <w:rPr>
            <w:sz w:val="20"/>
            <w:color w:val="0000ff"/>
          </w:rPr>
          <w:t xml:space="preserve">пункту 4 части 4</w:t>
        </w:r>
      </w:hyperlink>
      <w:r>
        <w:rPr>
          <w:sz w:val="20"/>
        </w:rPr>
        <w:t xml:space="preserve"> настоящего Порядка - количество приобретенного спортивного инвентаря и спортивной формы;</w:t>
      </w:r>
    </w:p>
    <w:p>
      <w:pPr>
        <w:pStyle w:val="0"/>
        <w:spacing w:before="200" w:lineRule="auto"/>
        <w:ind w:firstLine="540"/>
        <w:jc w:val="both"/>
      </w:pPr>
      <w:r>
        <w:rPr>
          <w:sz w:val="20"/>
        </w:rPr>
        <w:t xml:space="preserve">6) по </w:t>
      </w:r>
      <w:hyperlink w:history="0" w:anchor="P69" w:tooltip="5) Региональной общественной организации &quot;Федерация смешанного боевого единоборства (ММА) Камчатского края&quot; - на оснащение материально-технической базы организации;">
        <w:r>
          <w:rPr>
            <w:sz w:val="20"/>
            <w:color w:val="0000ff"/>
          </w:rPr>
          <w:t xml:space="preserve">пункту 5 части 4</w:t>
        </w:r>
      </w:hyperlink>
      <w:r>
        <w:rPr>
          <w:sz w:val="20"/>
        </w:rPr>
        <w:t xml:space="preserve"> настоящего Порядка - количество приобретенного спортивного оборудования;</w:t>
      </w:r>
    </w:p>
    <w:p>
      <w:pPr>
        <w:pStyle w:val="0"/>
        <w:spacing w:before="200" w:lineRule="auto"/>
        <w:ind w:firstLine="540"/>
        <w:jc w:val="both"/>
      </w:pPr>
      <w:r>
        <w:rPr>
          <w:sz w:val="20"/>
        </w:rPr>
        <w:t xml:space="preserve">7) по </w:t>
      </w:r>
      <w:hyperlink w:history="0" w:anchor="P70" w:tooltip="6) Автономной некоммерческой организации &quot;Детско-юношеский спортивный клуб &quot;Камчатка&quot; - на организацию и проведение спортивных соревнований на территории Камчатского края &quot;Традиционный турнир по эстетической гимнастике и художественной гимнастике &quot;Победа&quot;. Организация и проведение судейского семинара;">
        <w:r>
          <w:rPr>
            <w:sz w:val="20"/>
            <w:color w:val="0000ff"/>
          </w:rPr>
          <w:t xml:space="preserve">пункту 6 части 4</w:t>
        </w:r>
      </w:hyperlink>
      <w:r>
        <w:rPr>
          <w:sz w:val="20"/>
        </w:rPr>
        <w:t xml:space="preserve"> настоящего Порядка - количество проведенных мероприятий, включая судейский семинар;</w:t>
      </w:r>
    </w:p>
    <w:p>
      <w:pPr>
        <w:pStyle w:val="0"/>
        <w:spacing w:before="200" w:lineRule="auto"/>
        <w:ind w:firstLine="540"/>
        <w:jc w:val="both"/>
      </w:pPr>
      <w:r>
        <w:rPr>
          <w:sz w:val="20"/>
        </w:rPr>
        <w:t xml:space="preserve">8) по </w:t>
      </w:r>
      <w:hyperlink w:history="0" w:anchor="P71" w:tooltip="7) Региональной общественной молодежной организации &quot;Федерация пауэрлифтинга Камчатского края&quot; - на закупку спортивного инвентаря.">
        <w:r>
          <w:rPr>
            <w:sz w:val="20"/>
            <w:color w:val="0000ff"/>
          </w:rPr>
          <w:t xml:space="preserve">пункту 7 части 4</w:t>
        </w:r>
      </w:hyperlink>
      <w:r>
        <w:rPr>
          <w:sz w:val="20"/>
        </w:rPr>
        <w:t xml:space="preserve"> настоящего Порядка - количество приобретенного спортивного инвентаря.</w:t>
      </w:r>
    </w:p>
    <w:p>
      <w:pPr>
        <w:pStyle w:val="0"/>
        <w:spacing w:before="200" w:lineRule="auto"/>
        <w:ind w:firstLine="540"/>
        <w:jc w:val="both"/>
      </w:pPr>
      <w:r>
        <w:rPr>
          <w:sz w:val="20"/>
        </w:rPr>
        <w:t xml:space="preserve">9) по </w:t>
      </w:r>
      <w:hyperlink w:history="0" w:anchor="P72" w:tooltip="8) Общественной организации &quot;Камчатская Краевая Федерация Кикбоксинга&quot; - на приобретение наградной и сувенирной атрибутики для проведения турнира по кикбоксингу, посвященного памяти погибшим воинам на СВО, в Елизовском районе.">
        <w:r>
          <w:rPr>
            <w:sz w:val="20"/>
            <w:color w:val="0000ff"/>
          </w:rPr>
          <w:t xml:space="preserve">пункту 8 части 4</w:t>
        </w:r>
      </w:hyperlink>
      <w:r>
        <w:rPr>
          <w:sz w:val="20"/>
        </w:rPr>
        <w:t xml:space="preserve"> настоящего Порядка - количество приобретенной наградной и сувенирной атрибутики.</w:t>
      </w:r>
    </w:p>
    <w:p>
      <w:pPr>
        <w:pStyle w:val="0"/>
        <w:jc w:val="both"/>
      </w:pPr>
      <w:r>
        <w:rPr>
          <w:sz w:val="20"/>
        </w:rPr>
        <w:t xml:space="preserve">(п. 9 введен </w:t>
      </w:r>
      <w:hyperlink w:history="0" r:id="rId26"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Постановлением</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22. Значения результатов предоставления субсидии, указанных в </w:t>
      </w:r>
      <w:hyperlink w:history="0" w:anchor="P138" w:tooltip="21. Результатами предоставления субсидии по состоянию на 31 декабря 2025 года являются:">
        <w:r>
          <w:rPr>
            <w:sz w:val="20"/>
            <w:color w:val="0000ff"/>
          </w:rPr>
          <w:t xml:space="preserve">части 21</w:t>
        </w:r>
      </w:hyperlink>
      <w:r>
        <w:rPr>
          <w:sz w:val="20"/>
        </w:rPr>
        <w:t xml:space="preserve"> настоящего Порядка, устанавливаются Соглашением.</w:t>
      </w:r>
    </w:p>
    <w:bookmarkStart w:id="150" w:name="P150"/>
    <w:bookmarkEnd w:id="150"/>
    <w:p>
      <w:pPr>
        <w:pStyle w:val="0"/>
        <w:spacing w:before="200" w:lineRule="auto"/>
        <w:ind w:firstLine="540"/>
        <w:jc w:val="both"/>
      </w:pPr>
      <w:r>
        <w:rPr>
          <w:sz w:val="20"/>
        </w:rPr>
        <w:t xml:space="preserve">23. Организация представляет в Министерство посредством почтового отправления или нарочно ежеквартально, не позднее 10 числа месяца, следующего за отчетным кварталом нарастающим итогом, отчеты по формам, определенным типовыми формами, установленными Министерством финансов Камчатского края для Соглашения:</w:t>
      </w:r>
    </w:p>
    <w:p>
      <w:pPr>
        <w:pStyle w:val="0"/>
        <w:spacing w:before="200" w:lineRule="auto"/>
        <w:ind w:firstLine="540"/>
        <w:jc w:val="both"/>
      </w:pPr>
      <w:r>
        <w:rPr>
          <w:sz w:val="20"/>
        </w:rPr>
        <w:t xml:space="preserve">1) о достижении значений результатов предоставления субсидии;</w:t>
      </w:r>
    </w:p>
    <w:p>
      <w:pPr>
        <w:pStyle w:val="0"/>
        <w:spacing w:before="200" w:lineRule="auto"/>
        <w:ind w:firstLine="540"/>
        <w:jc w:val="both"/>
      </w:pPr>
      <w:r>
        <w:rPr>
          <w:sz w:val="20"/>
        </w:rPr>
        <w:t xml:space="preserve">2)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24. Отчеты, указанные в </w:t>
      </w:r>
      <w:hyperlink w:history="0" w:anchor="P150" w:tooltip="23. Организация представляет в Министерство посредством почтового отправления или нарочно ежеквартально, не позднее 10 числа месяца, следующего за отчетным кварталом нарастающим итогом, отчеты по формам, определенным типовыми формами, установленными Министерством финансов Камчатского края для Соглашения:">
        <w:r>
          <w:rPr>
            <w:sz w:val="20"/>
            <w:color w:val="0000ff"/>
          </w:rPr>
          <w:t xml:space="preserve">части 23</w:t>
        </w:r>
      </w:hyperlink>
      <w:r>
        <w:rPr>
          <w:sz w:val="20"/>
        </w:rPr>
        <w:t xml:space="preserve"> настоящего Порядка, представленные Организацией в Министерство (далее - отчеты), подлежат регистрации в день их поступления.</w:t>
      </w:r>
    </w:p>
    <w:p>
      <w:pPr>
        <w:pStyle w:val="0"/>
        <w:spacing w:before="200" w:lineRule="auto"/>
        <w:ind w:firstLine="540"/>
        <w:jc w:val="both"/>
      </w:pPr>
      <w:r>
        <w:rPr>
          <w:sz w:val="20"/>
        </w:rPr>
        <w:t xml:space="preserve">Министерство в течение 5 рабочих дней со дня регистрации отчетов рассматривает отчеты, осуществляет их проверку, устанавливает полноту и достоверность сведений, содержащихся в отчетах и прилагаемых к ним документах (при наличии).</w:t>
      </w:r>
    </w:p>
    <w:p>
      <w:pPr>
        <w:pStyle w:val="0"/>
        <w:spacing w:before="200" w:lineRule="auto"/>
        <w:ind w:firstLine="540"/>
        <w:jc w:val="both"/>
      </w:pPr>
      <w:r>
        <w:rPr>
          <w:sz w:val="20"/>
        </w:rPr>
        <w:t xml:space="preserve">Отчеты считаются принятыми после подписания их руководителем Министерства (уполномоченным им лицом) в течение 5 рабочих дней со дня окончания срока, указанного в абзаце втором настоящей части.</w:t>
      </w:r>
    </w:p>
    <w:p>
      <w:pPr>
        <w:pStyle w:val="0"/>
        <w:spacing w:before="200" w:lineRule="auto"/>
        <w:ind w:firstLine="540"/>
        <w:jc w:val="both"/>
      </w:pPr>
      <w:r>
        <w:rPr>
          <w:sz w:val="20"/>
        </w:rPr>
        <w:t xml:space="preserve">Министерство в течение 5 рабочих дней со дня принятия отчетов направляет Организации уведомление о принятии отчетов посредством электронной связи, почтового отправления, нарочным способом или иным способом, обеспечивающим подтверждение получения Организацией уведомления.</w:t>
      </w:r>
    </w:p>
    <w:p>
      <w:pPr>
        <w:pStyle w:val="0"/>
        <w:spacing w:before="200" w:lineRule="auto"/>
        <w:ind w:firstLine="540"/>
        <w:jc w:val="both"/>
      </w:pPr>
      <w:r>
        <w:rPr>
          <w:sz w:val="20"/>
        </w:rPr>
        <w:t xml:space="preserve">Отчеты считаются непринятыми после направления Министерством уведомления Организации о непринятии отчетов в течение 5 рабочих дней со дня окончания срока, указанного в абзаце втором настоящей части, посредством электронной связи, почтового отправления, нарочным способом или иным способом, обеспечивающим подтверждение получения Организацией уведомления, содержащего требование о направлении скорректированного отчета (отчетов) в срок, установленный в уведомлении, а также с указанием причин отказа в принятии отчета (отчетов) по следующим основаниям:</w:t>
      </w:r>
    </w:p>
    <w:p>
      <w:pPr>
        <w:pStyle w:val="0"/>
        <w:spacing w:before="200" w:lineRule="auto"/>
        <w:ind w:firstLine="540"/>
        <w:jc w:val="both"/>
      </w:pPr>
      <w:r>
        <w:rPr>
          <w:sz w:val="20"/>
        </w:rPr>
        <w:t xml:space="preserve">1) некорректное заполнение (не заполнение) Организацией всех обязательных для заполнения граф, предусмотренных в отчетах;</w:t>
      </w:r>
    </w:p>
    <w:p>
      <w:pPr>
        <w:pStyle w:val="0"/>
        <w:spacing w:before="200" w:lineRule="auto"/>
        <w:ind w:firstLine="540"/>
        <w:jc w:val="both"/>
      </w:pPr>
      <w:r>
        <w:rPr>
          <w:sz w:val="20"/>
        </w:rPr>
        <w:t xml:space="preserve">2) недостоверность информации, содержащейся в отчетах.</w:t>
      </w:r>
    </w:p>
    <w:p>
      <w:pPr>
        <w:pStyle w:val="0"/>
        <w:spacing w:before="200" w:lineRule="auto"/>
        <w:ind w:firstLine="540"/>
        <w:jc w:val="both"/>
      </w:pPr>
      <w:r>
        <w:rPr>
          <w:sz w:val="20"/>
        </w:rPr>
        <w:t xml:space="preserve">25. Министерство осуществляет в отношении Организации и лиц, получивших средства на основании договоров (соглашений), заключенных с Организацией в целях исполнения обязательств по Соглашению, проверки соблюдения ими порядка и условий предоставления субсидий, в том числе в части достижения результатов ее предоставления, а органы государственного финансового контроля осуществляют проверки в соответствии со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Министерство оформляет результаты проверок в порядке, установленном </w:t>
      </w:r>
      <w:hyperlink w:history="0" r:id="rId29" w:tooltip="Постановление Правительства РФ от 17.08.2020 N 1235 (ред. от 15.10.2025) &quot;Об утверждении федерального стандарта внутреннего государственного (муниципального) финансового контроля &quot;Проведение проверок, ревизий и обследований и оформление их результатов&quot; {КонсультантПлюс}">
        <w:r>
          <w:rPr>
            <w:sz w:val="20"/>
            <w:color w:val="0000ff"/>
          </w:rPr>
          <w:t xml:space="preserve">пунктами 48</w:t>
        </w:r>
      </w:hyperlink>
      <w:r>
        <w:rPr>
          <w:sz w:val="20"/>
        </w:rPr>
        <w:t xml:space="preserve"> - </w:t>
      </w:r>
      <w:hyperlink w:history="0" r:id="rId30" w:tooltip="Постановление Правительства РФ от 17.08.2020 N 1235 (ред. от 15.10.2025) &quot;Об утверждении федерального стандарта внутреннего государственного (муниципального) финансового контроля &quot;Проведение проверок, ревизий и обследований и оформление их результатов&quot; {КонсультантПлюс}">
        <w:r>
          <w:rPr>
            <w:sz w:val="20"/>
            <w:color w:val="0000ff"/>
          </w:rPr>
          <w:t xml:space="preserve">59</w:t>
        </w:r>
      </w:hyperlink>
      <w:r>
        <w:rPr>
          <w:sz w:val="20"/>
        </w:rPr>
        <w:t xml:space="preserve">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N 1235.</w:t>
      </w:r>
    </w:p>
    <w:p>
      <w:pPr>
        <w:pStyle w:val="0"/>
        <w:jc w:val="both"/>
      </w:pPr>
      <w:r>
        <w:rPr>
          <w:sz w:val="20"/>
        </w:rPr>
        <w:t xml:space="preserve">(в ред. </w:t>
      </w:r>
      <w:hyperlink w:history="0" r:id="rId31"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Постановления</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26. Министерство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получении результата предоставления субсидии (контрольная точка), в порядке и по формам, установленным Министерством финансов Российской Федерации.</w:t>
      </w:r>
    </w:p>
    <w:p>
      <w:pPr>
        <w:pStyle w:val="0"/>
        <w:spacing w:before="200" w:lineRule="auto"/>
        <w:ind w:firstLine="540"/>
        <w:jc w:val="both"/>
      </w:pPr>
      <w:r>
        <w:rPr>
          <w:sz w:val="20"/>
        </w:rPr>
        <w:t xml:space="preserve">27. Остаток субсидии, неиспользованной в отчетном финансовом году, подлежит возврату в краевой бюджет на лицевой счет Министерства не позднее 15 февраля очередного финансового года (за исключением субсидий, предоставленных в пределах суммы, необходимой для оплаты денежных обязательств Организации, источником финансового обеспечения которых являются указанные субсидии).</w:t>
      </w:r>
    </w:p>
    <w:bookmarkStart w:id="165" w:name="P165"/>
    <w:bookmarkEnd w:id="165"/>
    <w:p>
      <w:pPr>
        <w:pStyle w:val="0"/>
        <w:spacing w:before="200" w:lineRule="auto"/>
        <w:ind w:firstLine="540"/>
        <w:jc w:val="both"/>
      </w:pPr>
      <w:r>
        <w:rPr>
          <w:sz w:val="20"/>
        </w:rPr>
        <w:t xml:space="preserve">28. В случае нарушения Организацией условий и порядка, установленных при предоставлении субсидии, выявленного в том числе по фактам проверок, проведенных Министерством и (или) органами государственного финансового контроля, а также в случае недостижения значений результатов предоставления субсидии, субсидия подлежит возврату Организацией в краевой бюджет в следующем порядке и сроки:</w:t>
      </w:r>
    </w:p>
    <w:p>
      <w:pPr>
        <w:pStyle w:val="0"/>
        <w:spacing w:before="200" w:lineRule="auto"/>
        <w:ind w:firstLine="540"/>
        <w:jc w:val="both"/>
      </w:pPr>
      <w:r>
        <w:rPr>
          <w:sz w:val="20"/>
        </w:rPr>
        <w:t xml:space="preserve">1) в случае выявления нарушения органами государственного финансового контроля - на основании представления и (или) предписания органа государственного финансового контроля в сроки, указанные в представлении и (или) предписании;</w:t>
      </w:r>
    </w:p>
    <w:p>
      <w:pPr>
        <w:pStyle w:val="0"/>
        <w:spacing w:before="200" w:lineRule="auto"/>
        <w:ind w:firstLine="540"/>
        <w:jc w:val="both"/>
      </w:pPr>
      <w:r>
        <w:rPr>
          <w:sz w:val="20"/>
        </w:rPr>
        <w:t xml:space="preserve">2) в случае выявления нарушения Министерством - в течение 20 рабочих дней со дня получения требования Министерства;</w:t>
      </w:r>
    </w:p>
    <w:p>
      <w:pPr>
        <w:pStyle w:val="0"/>
        <w:spacing w:before="200" w:lineRule="auto"/>
        <w:ind w:firstLine="540"/>
        <w:jc w:val="both"/>
      </w:pPr>
      <w:r>
        <w:rPr>
          <w:sz w:val="20"/>
        </w:rPr>
        <w:t xml:space="preserve">3) в иных случаях - в течение 20 рабочих дней со дня нарушения.</w:t>
      </w:r>
    </w:p>
    <w:p>
      <w:pPr>
        <w:pStyle w:val="0"/>
        <w:spacing w:before="200" w:lineRule="auto"/>
        <w:ind w:firstLine="540"/>
        <w:jc w:val="both"/>
      </w:pPr>
      <w:r>
        <w:rPr>
          <w:sz w:val="20"/>
        </w:rPr>
        <w:t xml:space="preserve">29. Организация обязана возвратить субсидию в краевой бюджет в следующих размерах:</w:t>
      </w:r>
    </w:p>
    <w:p>
      <w:pPr>
        <w:pStyle w:val="0"/>
        <w:spacing w:before="200" w:lineRule="auto"/>
        <w:ind w:firstLine="540"/>
        <w:jc w:val="both"/>
      </w:pPr>
      <w:r>
        <w:rPr>
          <w:sz w:val="20"/>
        </w:rPr>
        <w:t xml:space="preserve">1) в случае нарушения целей предоставления субсидии - в размере нецелевого использования денежных средств;</w:t>
      </w:r>
    </w:p>
    <w:p>
      <w:pPr>
        <w:pStyle w:val="0"/>
        <w:spacing w:before="200" w:lineRule="auto"/>
        <w:ind w:firstLine="540"/>
        <w:jc w:val="both"/>
      </w:pPr>
      <w:r>
        <w:rPr>
          <w:sz w:val="20"/>
        </w:rPr>
        <w:t xml:space="preserve">2) в случае нарушения условий и порядка, установленных при предоставлении субсидии - в полном объеме;</w:t>
      </w:r>
    </w:p>
    <w:p>
      <w:pPr>
        <w:pStyle w:val="0"/>
        <w:spacing w:before="200" w:lineRule="auto"/>
        <w:ind w:firstLine="540"/>
        <w:jc w:val="both"/>
      </w:pPr>
      <w:r>
        <w:rPr>
          <w:sz w:val="20"/>
        </w:rPr>
        <w:t xml:space="preserve">3) в случае недостижения значений результатов предоставления субсидии, определенных Соглашением, - в размере, определенном по формуле:</w:t>
      </w:r>
    </w:p>
    <w:p>
      <w:pPr>
        <w:pStyle w:val="0"/>
        <w:ind w:firstLine="54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субсидии</w:t>
      </w:r>
      <w:r>
        <w:rPr>
          <w:sz w:val="20"/>
        </w:rPr>
        <w:t xml:space="preserve"> х SUM (1 - Ф</w:t>
      </w:r>
      <w:r>
        <w:rPr>
          <w:sz w:val="20"/>
          <w:vertAlign w:val="subscript"/>
        </w:rPr>
        <w:t xml:space="preserve">i</w:t>
      </w:r>
      <w:r>
        <w:rPr>
          <w:sz w:val="20"/>
        </w:rPr>
        <w:t xml:space="preserve"> / П</w:t>
      </w:r>
      <w:r>
        <w:rPr>
          <w:sz w:val="20"/>
          <w:vertAlign w:val="subscript"/>
        </w:rPr>
        <w:t xml:space="preserve">i</w:t>
      </w:r>
      <w:r>
        <w:rPr>
          <w:sz w:val="20"/>
        </w:rPr>
        <w:t xml:space="preserve">) / n, где:</w:t>
      </w:r>
    </w:p>
    <w:p>
      <w:pPr>
        <w:pStyle w:val="0"/>
        <w:ind w:firstLine="540"/>
        <w:jc w:val="both"/>
      </w:pPr>
      <w:r>
        <w:rPr>
          <w:sz w:val="20"/>
        </w:rPr>
      </w:r>
    </w:p>
    <w:p>
      <w:pPr>
        <w:pStyle w:val="0"/>
        <w:ind w:firstLine="540"/>
        <w:jc w:val="both"/>
      </w:pPr>
      <w:r>
        <w:rPr>
          <w:sz w:val="20"/>
        </w:rPr>
        <w:t xml:space="preserve">V</w:t>
      </w:r>
      <w:r>
        <w:rPr>
          <w:sz w:val="20"/>
          <w:vertAlign w:val="subscript"/>
        </w:rPr>
        <w:t xml:space="preserve">возврата</w:t>
      </w:r>
      <w:r>
        <w:rPr>
          <w:sz w:val="20"/>
        </w:rPr>
        <w:t xml:space="preserve"> - размер средств, подлежащих возврату Организацией в связи с недостижением значений результатов предоставления субсидии;</w:t>
      </w:r>
    </w:p>
    <w:p>
      <w:pPr>
        <w:pStyle w:val="0"/>
        <w:spacing w:before="200" w:lineRule="auto"/>
        <w:ind w:firstLine="540"/>
        <w:jc w:val="both"/>
      </w:pPr>
      <w:r>
        <w:rPr>
          <w:sz w:val="20"/>
        </w:rPr>
        <w:t xml:space="preserve">V</w:t>
      </w:r>
      <w:r>
        <w:rPr>
          <w:sz w:val="20"/>
          <w:vertAlign w:val="subscript"/>
        </w:rPr>
        <w:t xml:space="preserve">субсидии</w:t>
      </w:r>
      <w:r>
        <w:rPr>
          <w:sz w:val="20"/>
        </w:rPr>
        <w:t xml:space="preserve"> - размер субсидии, предоставленной Организации;</w:t>
      </w:r>
    </w:p>
    <w:p>
      <w:pPr>
        <w:pStyle w:val="0"/>
        <w:spacing w:before="200" w:lineRule="auto"/>
        <w:ind w:firstLine="540"/>
        <w:jc w:val="both"/>
      </w:pPr>
      <w:r>
        <w:rPr>
          <w:sz w:val="20"/>
        </w:rPr>
        <w:t xml:space="preserve">Ф</w:t>
      </w:r>
      <w:r>
        <w:rPr>
          <w:sz w:val="20"/>
          <w:vertAlign w:val="subscript"/>
        </w:rPr>
        <w:t xml:space="preserve">i</w:t>
      </w:r>
      <w:r>
        <w:rPr>
          <w:sz w:val="20"/>
        </w:rPr>
        <w:t xml:space="preserve"> - фактически достигнутое значение i-го результата предоставления субсидии на отчетную дату;</w:t>
      </w:r>
    </w:p>
    <w:p>
      <w:pPr>
        <w:pStyle w:val="0"/>
        <w:spacing w:before="200" w:lineRule="auto"/>
        <w:ind w:firstLine="540"/>
        <w:jc w:val="both"/>
      </w:pPr>
      <w:r>
        <w:rPr>
          <w:sz w:val="20"/>
        </w:rPr>
        <w:t xml:space="preserve">П</w:t>
      </w:r>
      <w:r>
        <w:rPr>
          <w:sz w:val="20"/>
          <w:vertAlign w:val="subscript"/>
        </w:rPr>
        <w:t xml:space="preserve">i</w:t>
      </w:r>
      <w:r>
        <w:rPr>
          <w:sz w:val="20"/>
        </w:rPr>
        <w:t xml:space="preserve"> - плановое значение i-го результата предоставления субсидии, установленное Соглашением;</w:t>
      </w:r>
    </w:p>
    <w:p>
      <w:pPr>
        <w:pStyle w:val="0"/>
        <w:spacing w:before="200" w:lineRule="auto"/>
        <w:ind w:firstLine="540"/>
        <w:jc w:val="both"/>
      </w:pPr>
      <w:r>
        <w:rPr>
          <w:sz w:val="20"/>
        </w:rPr>
        <w:t xml:space="preserve">n - общее количество результатов предоставления субсидии, установленных Соглашением.</w:t>
      </w:r>
    </w:p>
    <w:p>
      <w:pPr>
        <w:pStyle w:val="0"/>
        <w:spacing w:before="200" w:lineRule="auto"/>
        <w:ind w:firstLine="540"/>
        <w:jc w:val="both"/>
      </w:pPr>
      <w:r>
        <w:rPr>
          <w:sz w:val="20"/>
        </w:rPr>
        <w:t xml:space="preserve">30. Письменное требование о возврате субсидии в краевой бюджет направляется Министерством Организации в течение 20 рабочих дней со дня выявления нарушений по фактам проверок, проведенных Министерством и (или) органами государственного финансового контроля, посредством почтового отправления, нарочным способом, на адрес электронной почты или иным способом, обеспечивающим подтверждение получения указанного требования.</w:t>
      </w:r>
    </w:p>
    <w:p>
      <w:pPr>
        <w:pStyle w:val="0"/>
        <w:spacing w:before="200" w:lineRule="auto"/>
        <w:ind w:firstLine="540"/>
        <w:jc w:val="both"/>
      </w:pPr>
      <w:r>
        <w:rPr>
          <w:sz w:val="20"/>
        </w:rPr>
        <w:t xml:space="preserve">31. При невозврате субсидии в сроки, установленные </w:t>
      </w:r>
      <w:hyperlink w:history="0" w:anchor="P165" w:tooltip="28. В случае нарушения Организацией условий и порядка, установленных при предоставлении субсидии, выявленного в том числе по фактам проверок, проведенных Министерством и (или) органами государственного финансового контроля, а также в случае недостижения значений результатов предоставления субсидии, субсидия подлежит возврату Организацией в краевой бюджет в следующем порядке и сроки:">
        <w:r>
          <w:rPr>
            <w:sz w:val="20"/>
            <w:color w:val="0000ff"/>
          </w:rPr>
          <w:t xml:space="preserve">частью 28</w:t>
        </w:r>
      </w:hyperlink>
      <w:r>
        <w:rPr>
          <w:sz w:val="20"/>
        </w:rPr>
        <w:t xml:space="preserve"> настоящего Порядка, Министерство принимает необходимые меры по взысканию подлежащей возврату в краевой бюджет субсидии в судебном порядке в срок не позднее 30 рабочих дней со дня, когда Министерству стало известно о неисполнении Организацией обязанности возвратить средства субсидии в краевой бюджет.</w:t>
      </w:r>
    </w:p>
    <w:p>
      <w:pPr>
        <w:pStyle w:val="0"/>
        <w:spacing w:before="200" w:lineRule="auto"/>
        <w:ind w:firstLine="540"/>
        <w:jc w:val="both"/>
      </w:pPr>
      <w:r>
        <w:rPr>
          <w:sz w:val="20"/>
        </w:rPr>
        <w:t xml:space="preserve">32. В случае нарушения, в том числе выявленного по фактам проверок, проведенных Министерством и (или) органами государственного финансового контроля, лица, получившие средства на основании договоров (соглашений), заключенных с Организацией, обязаны возвратить в сроки, не превышающие сроки, указанные в </w:t>
      </w:r>
      <w:hyperlink w:history="0" w:anchor="P165" w:tooltip="28. В случае нарушения Организацией условий и порядка, установленных при предоставлении субсидии, выявленного в том числе по фактам проверок, проведенных Министерством и (или) органами государственного финансового контроля, а также в случае недостижения значений результатов предоставления субсидии, субсидия подлежит возврату Организацией в краевой бюджет в следующем порядке и сроки:">
        <w:r>
          <w:rPr>
            <w:sz w:val="20"/>
            <w:color w:val="0000ff"/>
          </w:rPr>
          <w:t xml:space="preserve">части 28</w:t>
        </w:r>
      </w:hyperlink>
      <w:r>
        <w:rPr>
          <w:sz w:val="20"/>
        </w:rPr>
        <w:t xml:space="preserve"> настоящего Порядка, средства на счет Организации в целях последующего возврата указанных средств Организацией в краевой бюджет в срок не позднее 10 рабочих дней со дня поступления денежных средств на ее счет.</w:t>
      </w:r>
    </w:p>
    <w:p>
      <w:pPr>
        <w:pStyle w:val="0"/>
        <w:jc w:val="both"/>
      </w:pPr>
      <w:r>
        <w:rPr>
          <w:sz w:val="20"/>
        </w:rPr>
        <w:t xml:space="preserve">(в ред. </w:t>
      </w:r>
      <w:hyperlink w:history="0" r:id="rId32" w:tooltip="Постановление Правительства Камчатского края от 19.05.2025 N 227-П &quot;О внесении изменений в приложение к Постановлению Правительства Камчатского края от 11.12.2024 N 600-П &quot;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quot; {КонсультантПлюс}">
        <w:r>
          <w:rPr>
            <w:sz w:val="20"/>
            <w:color w:val="0000ff"/>
          </w:rPr>
          <w:t xml:space="preserve">Постановления</w:t>
        </w:r>
      </w:hyperlink>
      <w:r>
        <w:rPr>
          <w:sz w:val="20"/>
        </w:rPr>
        <w:t xml:space="preserve"> Правительства Камчатского края от 19.05.2025 N 227-П)</w:t>
      </w:r>
    </w:p>
    <w:p>
      <w:pPr>
        <w:pStyle w:val="0"/>
        <w:spacing w:before="200" w:lineRule="auto"/>
        <w:ind w:firstLine="540"/>
        <w:jc w:val="both"/>
      </w:pPr>
      <w:r>
        <w:rPr>
          <w:sz w:val="20"/>
        </w:rPr>
        <w:t xml:space="preserve">В случае невозврата лицами, указанными в абзаце первом настоящей части, средств, полученных за счет средств субсидии, на счет Организации Организация принимает необходимые меры по взысканию подлежащих возврату в краевой бюджет средств, полученных за счет средств субсидии, в судебном порядке в срок, не позднее 30 рабочих дней со дня, когда Организации стало известно о неисполнении лицами, указанными в абзаце первом настоящей части, обязанности возвратить средства, полученные на основании договоров (соглашений), заключенных с Организацией, на счет Организации.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Камчатского края от 11.12.2024 N 600-П</w:t>
            <w:br/>
            <w:t>(ред. от 19.05.2025)</w:t>
            <w:br/>
            <w:t>"Об утверждении Порядка предоста...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96&amp;n=216364&amp;dst=100005" TargetMode = "External"/><Relationship Id="rId9" Type="http://schemas.openxmlformats.org/officeDocument/2006/relationships/hyperlink" Target="https://login.consultant.ru/link/?req=doc&amp;base=LAW&amp;n=520154&amp;dst=103575" TargetMode = "External"/><Relationship Id="rId10" Type="http://schemas.openxmlformats.org/officeDocument/2006/relationships/hyperlink" Target="https://login.consultant.ru/link/?req=doc&amp;base=LAW&amp;n=520154&amp;dst=7616" TargetMode = "External"/><Relationship Id="rId11" Type="http://schemas.openxmlformats.org/officeDocument/2006/relationships/hyperlink" Target="https://login.consultant.ru/link/?req=doc&amp;base=LAW&amp;n=490805&amp;dst=100019" TargetMode = "External"/><Relationship Id="rId12" Type="http://schemas.openxmlformats.org/officeDocument/2006/relationships/hyperlink" Target="https://login.consultant.ru/link/?req=doc&amp;base=RLAW296&amp;n=216364&amp;dst=100005" TargetMode = "External"/><Relationship Id="rId13" Type="http://schemas.openxmlformats.org/officeDocument/2006/relationships/hyperlink" Target="https://login.consultant.ru/link/?req=doc&amp;base=RLAW296&amp;n=220073&amp;dst=100011" TargetMode = "External"/><Relationship Id="rId14" Type="http://schemas.openxmlformats.org/officeDocument/2006/relationships/hyperlink" Target="https://login.consultant.ru/link/?req=doc&amp;base=RLAW296&amp;n=216364&amp;dst=100006" TargetMode = "External"/><Relationship Id="rId15" Type="http://schemas.openxmlformats.org/officeDocument/2006/relationships/hyperlink" Target="https://login.consultant.ru/link/?req=doc&amp;base=RLAW296&amp;n=220615" TargetMode = "External"/><Relationship Id="rId16" Type="http://schemas.openxmlformats.org/officeDocument/2006/relationships/hyperlink" Target="https://login.consultant.ru/link/?req=doc&amp;base=RLAW296&amp;n=216364&amp;dst=100008" TargetMode = "External"/><Relationship Id="rId17" Type="http://schemas.openxmlformats.org/officeDocument/2006/relationships/hyperlink" Target="https://login.consultant.ru/link/?req=doc&amp;base=RLAW296&amp;n=216364&amp;dst=100010" TargetMode = "External"/><Relationship Id="rId18" Type="http://schemas.openxmlformats.org/officeDocument/2006/relationships/hyperlink" Target="https://login.consultant.ru/link/?req=doc&amp;base=LAW&amp;n=121087&amp;dst=100142" TargetMode = "External"/><Relationship Id="rId19" Type="http://schemas.openxmlformats.org/officeDocument/2006/relationships/hyperlink" Target="https://login.consultant.ru/link/?req=doc&amp;base=LAW&amp;n=503698" TargetMode = "External"/><Relationship Id="rId20" Type="http://schemas.openxmlformats.org/officeDocument/2006/relationships/hyperlink" Target="https://login.consultant.ru/link/?req=doc&amp;base=LAW&amp;n=520119&amp;dst=5769" TargetMode = "External"/><Relationship Id="rId21" Type="http://schemas.openxmlformats.org/officeDocument/2006/relationships/hyperlink" Target="https://login.consultant.ru/link/?req=doc&amp;base=RLAW296&amp;n=216364&amp;dst=100012" TargetMode = "External"/><Relationship Id="rId22" Type="http://schemas.openxmlformats.org/officeDocument/2006/relationships/hyperlink" Target="https://login.consultant.ru/link/?req=doc&amp;base=RLAW296&amp;n=216364&amp;dst=100015" TargetMode = "External"/><Relationship Id="rId23" Type="http://schemas.openxmlformats.org/officeDocument/2006/relationships/hyperlink" Target="https://login.consultant.ru/link/?req=doc&amp;base=RLAW296&amp;n=216364&amp;dst=100016" TargetMode = "External"/><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 Id="rId26" Type="http://schemas.openxmlformats.org/officeDocument/2006/relationships/hyperlink" Target="https://login.consultant.ru/link/?req=doc&amp;base=RLAW296&amp;n=216364&amp;dst=100018" TargetMode = "External"/><Relationship Id="rId27" Type="http://schemas.openxmlformats.org/officeDocument/2006/relationships/hyperlink" Target="https://login.consultant.ru/link/?req=doc&amp;base=LAW&amp;n=520154&amp;dst=3704" TargetMode = "External"/><Relationship Id="rId28" Type="http://schemas.openxmlformats.org/officeDocument/2006/relationships/hyperlink" Target="https://login.consultant.ru/link/?req=doc&amp;base=LAW&amp;n=520154&amp;dst=3722" TargetMode = "External"/><Relationship Id="rId29" Type="http://schemas.openxmlformats.org/officeDocument/2006/relationships/hyperlink" Target="https://login.consultant.ru/link/?req=doc&amp;base=LAW&amp;n=516723&amp;dst=100155" TargetMode = "External"/><Relationship Id="rId30" Type="http://schemas.openxmlformats.org/officeDocument/2006/relationships/hyperlink" Target="https://login.consultant.ru/link/?req=doc&amp;base=LAW&amp;n=516723&amp;dst=100190" TargetMode = "External"/><Relationship Id="rId31" Type="http://schemas.openxmlformats.org/officeDocument/2006/relationships/hyperlink" Target="https://login.consultant.ru/link/?req=doc&amp;base=RLAW296&amp;n=216364&amp;dst=100020" TargetMode = "External"/><Relationship Id="rId32" Type="http://schemas.openxmlformats.org/officeDocument/2006/relationships/hyperlink" Target="https://login.consultant.ru/link/?req=doc&amp;base=RLAW296&amp;n=216364&amp;dst=10002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Камчатского края от 11.12.2024 N 600-П
(ред. от 19.05.2025)
"Об утверждении Порядка предоставления из краевого бюджета в 2025 году субсидий социально ориентированным некоммерческим организациям в Камчатском крае на финансовое обеспечение затрат, связанных с оказанием услуг в сфере физической культуры и спорта"</dc:title>
  <dcterms:created xsi:type="dcterms:W3CDTF">2026-01-04T08:32:16Z</dcterms:created>
</cp:coreProperties>
</file>