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Карачаево-Черкесской Республики от 24.06.2021 N 38-РЗ</w:t>
              <w:br/>
              <w:t xml:space="preserve">(ред. от 02.05.2025)</w:t>
              <w:br/>
              <w:t xml:space="preserve">"Об отдельных вопросах в сфере молодежной политики на территории Карачаево-Черкесской Республики"</w:t>
              <w:br/>
              <w:t xml:space="preserve">(принят Народным Собранием (Парламентом) КЧР 08.06.2021)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 июня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38-РЗ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КАРАЧАЕВО-ЧЕРКЕССКОЙ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В СФЕРЕ МОЛОДЕЖНОЙ ПОЛИТИКИ</w:t>
      </w:r>
    </w:p>
    <w:p>
      <w:pPr>
        <w:pStyle w:val="2"/>
        <w:jc w:val="center"/>
      </w:pPr>
      <w:r>
        <w:rPr>
          <w:sz w:val="20"/>
        </w:rPr>
        <w:t xml:space="preserve">НА ТЕРРИТОРИИ КАРАЧАЕВО-ЧЕРКЕССКОЙ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Народным Собранием (Парламентом)</w:t>
      </w:r>
    </w:p>
    <w:p>
      <w:pPr>
        <w:pStyle w:val="0"/>
        <w:jc w:val="right"/>
      </w:pPr>
      <w:r>
        <w:rPr>
          <w:sz w:val="20"/>
        </w:rPr>
        <w:t xml:space="preserve">Карачаево-Черкесской Республики</w:t>
      </w:r>
    </w:p>
    <w:p>
      <w:pPr>
        <w:pStyle w:val="0"/>
        <w:jc w:val="right"/>
      </w:pPr>
      <w:r>
        <w:rPr>
          <w:sz w:val="20"/>
        </w:rPr>
        <w:t xml:space="preserve">8 июня 2021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КЧР от 23.12.2024 </w:t>
            </w:r>
            <w:hyperlink w:history="0" r:id="rId7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      <w:r>
                <w:rPr>
                  <w:sz w:val="20"/>
                  <w:color w:val="0000ff"/>
                </w:rPr>
                <w:t xml:space="preserve">N 87-РЗ</w:t>
              </w:r>
            </w:hyperlink>
            <w:r>
              <w:rPr>
                <w:sz w:val="20"/>
                <w:color w:val="392c69"/>
              </w:rPr>
              <w:t xml:space="preserve">, от 02.05.2025 </w:t>
            </w:r>
            <w:hyperlink w:history="0" r:id="rId8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      <w:r>
                <w:rPr>
                  <w:sz w:val="20"/>
                  <w:color w:val="0000ff"/>
                </w:rPr>
                <w:t xml:space="preserve">N 32-РЗ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9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полномочия органов государственной власти Карачаево-Черкесской Республики в сфере молодежной политики на территории Карачаево-Черкесской Республики и направлен на реализацию положений, установленных Федеральным </w:t>
      </w:r>
      <w:hyperlink w:history="0" r:id="rId10" w:tooltip="Федеральный закон от 30.12.2020 N 489-ФЗ (ред. от 28.12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г. N 489-ФЗ "О молодежной политике в Российской Федерации" (далее - Федеральный закон о молодежной политике).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том же значении, что и в Федеральном </w:t>
      </w:r>
      <w:hyperlink w:history="0" r:id="rId11" w:tooltip="Федеральный закон от 30.12.2020 N 489-ФЗ (ред. от 28.12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 молодежной политике.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Правовая основа регулирования отношений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Карачаево-Черкесской Республики о молодежной политике основывается на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принципах и нормах международного права, международных договорах, федеральных </w:t>
      </w:r>
      <w:hyperlink w:history="0" r:id="rId14" w:tooltip="Федеральный закон от 30.12.2020 N 489-ФЗ (ред. от 28.12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законах</w:t>
        </w:r>
      </w:hyperlink>
      <w:r>
        <w:rPr>
          <w:sz w:val="20"/>
        </w:rPr>
        <w:t xml:space="preserve"> и иных нормативных актах Российской Федерации, </w:t>
      </w:r>
      <w:hyperlink w:history="0" r:id="rId15" w:tooltip="&quot;Конституция Карачаево-Черкесской Республики&quot; (принята Народным Собранием КЧР 05.03.1996) (ред. от 04.04.2025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Карачаево-Черкесской Республики и состоит из настоящего Закона и принимаемых в соответствии с ним иных нормативных правовых актов Карачаево-Черкесской Республики, содержащих нормы, регулирующие отношения в сфере реализации прав молодежи.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Народного Собрания (Парламента) Карачаево-Черкесской Республики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молодежной политики на территории Карачаево-Черкесской Республики Народное Собрание (Парламент) Карачаево-Черкесской Республики: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республиканские законы в сфере молодежной политики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закон о республиканском бюджете на соответствующий финансовый год и плановый период с учетом расходов по основным направлениям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иные полномочия в соответствии с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</w:t>
      </w:r>
      <w:hyperlink w:history="0" r:id="rId17" w:tooltip="&quot;Конституция Карачаево-Черкесской Республики&quot; (принята Народным Собранием КЧР 05.03.1996) (ред. от 04.04.2025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Карачаево-Черкесской Республики, федеральным законодательством и республиканским законодательством в сфере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Главы Карачаево-Черкесской Республики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8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Главы Карачаево-Черкесской Республики в сфере молодежной политики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указов и распоряжений в сфере молодежной политики в рамках федерального и республиканского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деятельности по осуществлению переданных полномочий в соответствии с федеральными законами и иными нормативными правовыми актами Российской Федерации, а также нормативными правовыми актами по вопросам осуществления переданных полномочий, обязательными для исполнения методическими указаниями и инструктивными материалами по осуществлению переданных полномочий, принимаемых федеральным органом исполнительной власти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уполномоченного исполнительного органа Карачаево-Черкесской Республики по реализации молодежной политики на территории Карачаево-Черкесской Республики (далее - уполномоченный исполнительный орган Карачаево-Черкесской Республики в сфере молодежной политики);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утверждение порядка межведомственного взаимодействия органов государственной власти Карачаево-Черкесской Республики при реализации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утверждение порядка создания координационного органа в сфере молодежной политики при Главе Карачаево-Черкесской Республики в целях, определенных </w:t>
      </w:r>
      <w:hyperlink w:history="0" r:id="rId19" w:tooltip="Федеральный закон от 30.12.2020 N 489-ФЗ (ред. от 28.12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статьей 9.1</w:t>
        </w:r>
      </w:hyperlink>
      <w:r>
        <w:rPr>
          <w:sz w:val="20"/>
        </w:rPr>
        <w:t xml:space="preserve"> Федерального закона о молодежной политике;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иные полномочия в сфере молодежной политики в соответствии с федеральным и республиканским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Правительства Карачаево-Черкесской Республики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Карачаево-Черкесской Республики в сфере молодежной политики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реализация молодежной политики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региональных и межмуниципальных программ по основным направлениям молодежной политики с учетом социально-экономических, экологических, демографических, этнокультурных особенностей Карачаево-Черкесской Республики;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координация деятельности исполнительных органов Карачаево-Черкесской Республики в сфере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23.12.2024 N 87-РЗ)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3.1) утверждение регионального комплекса мер по патриотическому воспитанию молодежи и духовно-нравственному воспитанию молодежи с учетом положений, предусмотренных комплексом мер по патриотическому воспитанию молодежи и духовно-нравственному воспитанию молодежи в Российской Федерации, социальных потребностей молодежи, национальных традиций, региональных, местных и этнокультурных особенностей Карачаево-Черкесской Республики;</w:t>
      </w:r>
    </w:p>
    <w:p>
      <w:pPr>
        <w:pStyle w:val="0"/>
        <w:jc w:val="both"/>
      </w:pPr>
      <w:r>
        <w:rPr>
          <w:sz w:val="20"/>
        </w:rPr>
        <w:t xml:space="preserve">(п. 3.1 введен </w:t>
      </w:r>
      <w:hyperlink w:history="0" r:id="rId22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3.2) нормативно-правовое регулирование в сфере молодежной политики с учетом социальных потребностей молодежи, национальных традиций, региональных, местных и этнокультурных особенностей Карачаево-Черкесской Республики;</w:t>
      </w:r>
    </w:p>
    <w:p>
      <w:pPr>
        <w:pStyle w:val="0"/>
        <w:jc w:val="both"/>
      </w:pPr>
      <w:r>
        <w:rPr>
          <w:sz w:val="20"/>
        </w:rPr>
        <w:t xml:space="preserve">(п. 3.2 введен </w:t>
      </w:r>
      <w:hyperlink w:history="0" r:id="rId23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3.3) содействие развитию инфраструктуры молодежной политики, в том числе создание и обеспечение функционирования учреждений молодежной политики, на территории Карачаево-Черкесской Республики;</w:t>
      </w:r>
    </w:p>
    <w:p>
      <w:pPr>
        <w:pStyle w:val="0"/>
        <w:jc w:val="both"/>
      </w:pPr>
      <w:r>
        <w:rPr>
          <w:sz w:val="20"/>
        </w:rPr>
        <w:t xml:space="preserve">(п. 3.3 введен </w:t>
      </w:r>
      <w:hyperlink w:history="0" r:id="rId24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формирование республиканского бюджета Карачаево-Черкесской Республики на соответствующий финансовый год и плановый период в части расходов на молодежную политику;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 иных полномочий в соответствии с федеральным и республиканским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уполномоченного исполнительного органа Карачаево-Черкесской Республики в сфере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5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уполномоченного исполнительного органа Карачаево-Черкесской Республики в сфере молодежной политики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реализации регионального комплекса мер по патриотическому воспитанию молодежи и духовно-нравственному воспитанию молодежи, утвержденного Правительством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деятельности специалистов по работе с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разработка и реализация региональных и межмуниципальных программ по основным направлениям молодежной политики с учетом региональных социально-экономических, экологических, демографических, этнокультурных и других особенностей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содействие занятости молодежи, формированию ценности труда и получению практических навыков, в том числе посредством студенческих отрядов,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содействие реализации выдвигаемых инициатив, в том числе инициативных проектов, молодежи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иные полномочия, обеспечивающие реализацию основных направлений молодежной политики, установленных в </w:t>
      </w:r>
      <w:hyperlink w:history="0" r:id="rId26" w:tooltip="Федеральный закон от 30.12.2020 N 489-ФЗ (ред. от 28.12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статье 6</w:t>
        </w:r>
      </w:hyperlink>
      <w:r>
        <w:rPr>
          <w:sz w:val="20"/>
        </w:rPr>
        <w:t xml:space="preserve"> Федерального закона о молодежной политике.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7.1. Участие в реализации молодежной политики Уполномоченного по правам человека в Карачаево-Черкесской Республике, Уполномоченного по правам ребенка в Карачаево-Черкесской Республике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7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Уполномоченный по правам человека в Карачаево-Черкесской Республике, Уполномоченный по правам ребенка в Карачаево-Черкесской Республике участвуют в реализации молодежной политики в пределах своих полномочий.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7.2. Информационное обеспечение реализации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8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Карачаево-Черкесской Республики, учреждения молодежной политики и организации, подведомственные субъектам, осуществляющим деятельность в сфере молодежной политики, обеспечивают открытость и доступность информации о реализации молодежной политики в порядке, установленном </w:t>
      </w:r>
      <w:hyperlink w:history="0" r:id="rId29" w:tooltip="Федеральный закон от 30.12.2020 N 489-ФЗ (ред. от 28.12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Федерального закона о молодежной политике.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7.3. Международное сотрудничество в сфере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0" w:tooltip="Закон Карачаево-Черкесской Республики от 02.05.2025 N 32-РЗ &quot;О внесении изменений в Закон Карачаево-Черкесской Республики &quot;Об отдельных вопросах в сфере молодежной политики на территории Карачаево-Черкесской Республики&quot; (принят Народным Собранием (Парламентом) КЧР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КЧР от 02.05.2025 N 32-РЗ)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Карачаево-Черкесской Республики и иные государственные органы Карачаево-Черкесской Республики осуществляют взаимодействие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пределах своей компетенции в порядке и формах, установленных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31" w:tooltip="Закон Карачаево-Черкесской Республики от 29.07.2004 N 17-РЗ (ред. от 17.12.2009) &quot;О молодежной политике в Карачаево-Черкесской Республике&quot; (принят Народным Собранием (Парламентом) КЧР от 16.07.2004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Карачаево-Черкесской Республики от 29 июля 2004 г. N 17-РЗ "О молодежной политике в Карачаево-Черкесской Республике";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32" w:tooltip="Закон Карачаево-Черкесской Республики от 05.07.2005 N 52-РЗ &quot;О внесении изменений в Закон Карачаево-Черкесской Республики &quot;О молодежной политике в Карачаево-Черкесской Республике&quot; (принят Народным Собранием (Парламентом) КЧР 17.06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Карачаево-Черкесской Республики от 5 июля 2005 г. N 52-РЗ "О внесении изменений в Закон Карачаево-Черкесской Республики "О молодежной политике в Карачаево-Черкесской Республике";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33" w:tooltip="Закон Карачаево-Черкесской Республики от 17.12.2009 N 81-РЗ &quot;О внесении изменений в Закон Карачаево-Черкесской Республики &quot;О молодежной политике в Карачаево-Черкесской Республике&quot; (принят Народным Собранием (Парламентом) КЧР 03.12.2009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Карачаево-Черкесской Республики от 17 декабря 2009 г. N 81-РЗ "О внесении изменений в Закон Карачаево-Черкесской Республики "О молодежной политике в Карачаево-Черкесской Республике".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Карачаево-Черкесской Республики</w:t>
      </w:r>
    </w:p>
    <w:p>
      <w:pPr>
        <w:pStyle w:val="0"/>
        <w:jc w:val="right"/>
      </w:pPr>
      <w:r>
        <w:rPr>
          <w:sz w:val="20"/>
        </w:rPr>
        <w:t xml:space="preserve">Р.Б.ТЕМРЕЗОВ</w:t>
      </w:r>
    </w:p>
    <w:p>
      <w:pPr>
        <w:pStyle w:val="0"/>
      </w:pPr>
      <w:r>
        <w:rPr>
          <w:sz w:val="20"/>
        </w:rPr>
        <w:t xml:space="preserve">город Черкесск</w:t>
      </w:r>
    </w:p>
    <w:p>
      <w:pPr>
        <w:pStyle w:val="0"/>
        <w:spacing w:before="200" w:line-rule="auto"/>
      </w:pPr>
      <w:r>
        <w:rPr>
          <w:sz w:val="20"/>
        </w:rPr>
        <w:t xml:space="preserve">24 июня 2021 года</w:t>
      </w:r>
    </w:p>
    <w:p>
      <w:pPr>
        <w:pStyle w:val="0"/>
        <w:spacing w:before="200" w:line-rule="auto"/>
      </w:pPr>
      <w:r>
        <w:rPr>
          <w:sz w:val="20"/>
        </w:rPr>
        <w:t xml:space="preserve">N 38-РЗ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Карачаево-Черкесской Республики от 24.06.2021 N 38-РЗ</w:t>
            <w:br/>
            <w:t>(ред. от 02.05.2025)</w:t>
            <w:br/>
            <w:t>"Об отдельных вопросах в сфере молодежн...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72&amp;n=44784&amp;dst=100099" TargetMode = "External"/>
	<Relationship Id="rId8" Type="http://schemas.openxmlformats.org/officeDocument/2006/relationships/hyperlink" Target="https://login.consultant.ru/link/?req=doc&amp;base=RLAW272&amp;n=45888&amp;dst=100007" TargetMode = "External"/>
	<Relationship Id="rId9" Type="http://schemas.openxmlformats.org/officeDocument/2006/relationships/hyperlink" Target="https://login.consultant.ru/link/?req=doc&amp;base=RLAW272&amp;n=45888&amp;dst=100008" TargetMode = "External"/>
	<Relationship Id="rId10" Type="http://schemas.openxmlformats.org/officeDocument/2006/relationships/hyperlink" Target="https://login.consultant.ru/link/?req=doc&amp;base=LAW&amp;n=495007&amp;dst=100243" TargetMode = "External"/>
	<Relationship Id="rId11" Type="http://schemas.openxmlformats.org/officeDocument/2006/relationships/hyperlink" Target="https://login.consultant.ru/link/?req=doc&amp;base=LAW&amp;n=495007" TargetMode = "External"/>
	<Relationship Id="rId12" Type="http://schemas.openxmlformats.org/officeDocument/2006/relationships/hyperlink" Target="https://login.consultant.ru/link/?req=doc&amp;base=RLAW272&amp;n=45888&amp;dst=100011" TargetMode = "External"/>
	<Relationship Id="rId13" Type="http://schemas.openxmlformats.org/officeDocument/2006/relationships/hyperlink" Target="https://login.consultant.ru/link/?req=doc&amp;base=LAW&amp;n=2875" TargetMode = "External"/>
	<Relationship Id="rId14" Type="http://schemas.openxmlformats.org/officeDocument/2006/relationships/hyperlink" Target="https://login.consultant.ru/link/?req=doc&amp;base=LAW&amp;n=495007&amp;dst=100082" TargetMode = "External"/>
	<Relationship Id="rId15" Type="http://schemas.openxmlformats.org/officeDocument/2006/relationships/hyperlink" Target="https://login.consultant.ru/link/?req=doc&amp;base=RLAW272&amp;n=45674" TargetMode = "External"/>
	<Relationship Id="rId16" Type="http://schemas.openxmlformats.org/officeDocument/2006/relationships/hyperlink" Target="https://login.consultant.ru/link/?req=doc&amp;base=LAW&amp;n=2875" TargetMode = "External"/>
	<Relationship Id="rId17" Type="http://schemas.openxmlformats.org/officeDocument/2006/relationships/hyperlink" Target="https://login.consultant.ru/link/?req=doc&amp;base=RLAW272&amp;n=45674" TargetMode = "External"/>
	<Relationship Id="rId18" Type="http://schemas.openxmlformats.org/officeDocument/2006/relationships/hyperlink" Target="https://login.consultant.ru/link/?req=doc&amp;base=RLAW272&amp;n=45888&amp;dst=100012" TargetMode = "External"/>
	<Relationship Id="rId19" Type="http://schemas.openxmlformats.org/officeDocument/2006/relationships/hyperlink" Target="https://login.consultant.ru/link/?req=doc&amp;base=LAW&amp;n=495007&amp;dst=100255" TargetMode = "External"/>
	<Relationship Id="rId20" Type="http://schemas.openxmlformats.org/officeDocument/2006/relationships/hyperlink" Target="https://login.consultant.ru/link/?req=doc&amp;base=RLAW272&amp;n=45888&amp;dst=100022" TargetMode = "External"/>
	<Relationship Id="rId21" Type="http://schemas.openxmlformats.org/officeDocument/2006/relationships/hyperlink" Target="https://login.consultant.ru/link/?req=doc&amp;base=RLAW272&amp;n=44784&amp;dst=100100" TargetMode = "External"/>
	<Relationship Id="rId22" Type="http://schemas.openxmlformats.org/officeDocument/2006/relationships/hyperlink" Target="https://login.consultant.ru/link/?req=doc&amp;base=RLAW272&amp;n=45888&amp;dst=100023" TargetMode = "External"/>
	<Relationship Id="rId23" Type="http://schemas.openxmlformats.org/officeDocument/2006/relationships/hyperlink" Target="https://login.consultant.ru/link/?req=doc&amp;base=RLAW272&amp;n=45888&amp;dst=100025" TargetMode = "External"/>
	<Relationship Id="rId24" Type="http://schemas.openxmlformats.org/officeDocument/2006/relationships/hyperlink" Target="https://login.consultant.ru/link/?req=doc&amp;base=RLAW272&amp;n=45888&amp;dst=100026" TargetMode = "External"/>
	<Relationship Id="rId25" Type="http://schemas.openxmlformats.org/officeDocument/2006/relationships/hyperlink" Target="https://login.consultant.ru/link/?req=doc&amp;base=RLAW272&amp;n=45888&amp;dst=100027" TargetMode = "External"/>
	<Relationship Id="rId26" Type="http://schemas.openxmlformats.org/officeDocument/2006/relationships/hyperlink" Target="https://login.consultant.ru/link/?req=doc&amp;base=LAW&amp;n=495007&amp;dst=100155" TargetMode = "External"/>
	<Relationship Id="rId27" Type="http://schemas.openxmlformats.org/officeDocument/2006/relationships/hyperlink" Target="https://login.consultant.ru/link/?req=doc&amp;base=RLAW272&amp;n=45888&amp;dst=100038" TargetMode = "External"/>
	<Relationship Id="rId28" Type="http://schemas.openxmlformats.org/officeDocument/2006/relationships/hyperlink" Target="https://login.consultant.ru/link/?req=doc&amp;base=RLAW272&amp;n=45888&amp;dst=100041" TargetMode = "External"/>
	<Relationship Id="rId29" Type="http://schemas.openxmlformats.org/officeDocument/2006/relationships/hyperlink" Target="https://login.consultant.ru/link/?req=doc&amp;base=LAW&amp;n=495007&amp;dst=100097" TargetMode = "External"/>
	<Relationship Id="rId30" Type="http://schemas.openxmlformats.org/officeDocument/2006/relationships/hyperlink" Target="https://login.consultant.ru/link/?req=doc&amp;base=RLAW272&amp;n=45888&amp;dst=100043" TargetMode = "External"/>
	<Relationship Id="rId31" Type="http://schemas.openxmlformats.org/officeDocument/2006/relationships/hyperlink" Target="https://login.consultant.ru/link/?req=doc&amp;base=RLAW272&amp;n=4077" TargetMode = "External"/>
	<Relationship Id="rId32" Type="http://schemas.openxmlformats.org/officeDocument/2006/relationships/hyperlink" Target="https://login.consultant.ru/link/?req=doc&amp;base=RLAW272&amp;n=627" TargetMode = "External"/>
	<Relationship Id="rId33" Type="http://schemas.openxmlformats.org/officeDocument/2006/relationships/hyperlink" Target="https://login.consultant.ru/link/?req=doc&amp;base=RLAW272&amp;n=405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Карачаево-Черкесской Республики от 24.06.2021 N 38-РЗ
(ред. от 02.05.2025)
"Об отдельных вопросах в сфере молодежной политики на территории Карачаево-Черкесской Республики"
(принят Народным Собранием (Парламентом) КЧР 08.06.2021)</dc:title>
  <dcterms:created xsi:type="dcterms:W3CDTF">2025-05-30T16:48:01Z</dcterms:created>
</cp:coreProperties>
</file>