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Кировской области от 24.07.2025 N 401-П</w:t>
              <w:br/>
              <w:t xml:space="preserve">"О мерах финансовой поддержки межрегиональных, региональных и местных молодежных и детских общественных объединений в 2025 году"</w:t>
              <w:br/>
              <w:t xml:space="preserve">(вместе с "Порядком предоставления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в 2025 году", "Порядком предоставления грантов в форме субсидий из областного бюджета межрегиональным, региональным и местным молодежным и детским общественным объединениям на реализацию проектов (программ)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24 июля 2025 г. N 401-П</w:t>
      </w:r>
    </w:p>
    <w:p>
      <w:pPr>
        <w:pStyle w:val="2"/>
        <w:jc w:val="both"/>
      </w:pPr>
      <w:r>
        <w:rPr>
          <w:sz w:val="20"/>
        </w:rPr>
      </w:r>
    </w:p>
    <w:p>
      <w:pPr>
        <w:pStyle w:val="2"/>
        <w:jc w:val="center"/>
      </w:pPr>
      <w:r>
        <w:rPr>
          <w:sz w:val="20"/>
        </w:rPr>
        <w:t xml:space="preserve">О МЕРАХ ФИНАНСОВОЙ ПОДДЕРЖКИ МЕЖРЕГИОНАЛЬНЫХ, РЕГИОНАЛЬНЫХ</w:t>
      </w:r>
    </w:p>
    <w:p>
      <w:pPr>
        <w:pStyle w:val="2"/>
        <w:jc w:val="center"/>
      </w:pPr>
      <w:r>
        <w:rPr>
          <w:sz w:val="20"/>
        </w:rPr>
        <w:t xml:space="preserve">И МЕСТНЫХ МОЛОДЕЖНЫХ И ДЕТСКИХ ОБЩЕСТВЕННЫХ ОБЪЕДИНЕНИЙ</w:t>
      </w:r>
    </w:p>
    <w:p>
      <w:pPr>
        <w:pStyle w:val="2"/>
        <w:jc w:val="center"/>
      </w:pPr>
      <w:r>
        <w:rPr>
          <w:sz w:val="20"/>
        </w:rPr>
        <w:t xml:space="preserve">В 2025 ГОДУ</w:t>
      </w:r>
    </w:p>
    <w:p>
      <w:pPr>
        <w:pStyle w:val="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и с </w:t>
      </w:r>
      <w:hyperlink w:history="0" r:id="rId9" w:tooltip="Закон Кировской области от 02.03.2005 N 312-ЗО (ред. от 05.05.2025) &quot;О государственной поддержке молодежных и детских общественных объединений в Кировской области&quot; (принят постановлением Законодательного Собрания Кировской области от 24.02.2005 N 45/40) {КонсультантПлюс}">
        <w:r>
          <w:rPr>
            <w:sz w:val="20"/>
            <w:color w:val="0000ff"/>
          </w:rPr>
          <w:t xml:space="preserve">Законом</w:t>
        </w:r>
      </w:hyperlink>
      <w:r>
        <w:rPr>
          <w:sz w:val="20"/>
        </w:rPr>
        <w:t xml:space="preserve"> Кировской области от 02.03.2005 N 312-ЗО "О государственной поддержке молодежных и детских общественных объединений в Кировской области" Правительство Кировской области постановляет:</w:t>
      </w:r>
    </w:p>
    <w:p>
      <w:pPr>
        <w:pStyle w:val="0"/>
        <w:spacing w:before="200" w:lineRule="auto"/>
        <w:ind w:firstLine="540"/>
        <w:jc w:val="both"/>
      </w:pPr>
      <w:r>
        <w:rPr>
          <w:sz w:val="20"/>
        </w:rPr>
        <w:t xml:space="preserve">1. Утвердить </w:t>
      </w:r>
      <w:hyperlink w:history="0" w:anchor="P32" w:tooltip="ПОРЯДОК">
        <w:r>
          <w:rPr>
            <w:sz w:val="20"/>
            <w:color w:val="0000ff"/>
          </w:rPr>
          <w:t xml:space="preserve">Порядок</w:t>
        </w:r>
      </w:hyperlink>
      <w:r>
        <w:rPr>
          <w:sz w:val="20"/>
        </w:rPr>
        <w:t xml:space="preserve"> предоставления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в 2025 году согласно приложению N 1.</w:t>
      </w:r>
    </w:p>
    <w:p>
      <w:pPr>
        <w:pStyle w:val="0"/>
        <w:spacing w:before="200" w:lineRule="auto"/>
        <w:ind w:firstLine="540"/>
        <w:jc w:val="both"/>
      </w:pPr>
      <w:r>
        <w:rPr>
          <w:sz w:val="20"/>
        </w:rPr>
        <w:t xml:space="preserve">2. Утвердить </w:t>
      </w:r>
      <w:hyperlink w:history="0" w:anchor="P742" w:tooltip="ПОРЯДОК">
        <w:r>
          <w:rPr>
            <w:sz w:val="20"/>
            <w:color w:val="0000ff"/>
          </w:rPr>
          <w:t xml:space="preserve">Порядок</w:t>
        </w:r>
      </w:hyperlink>
      <w:r>
        <w:rPr>
          <w:sz w:val="20"/>
        </w:rPr>
        <w:t xml:space="preserve"> предоставления грантов в форме субсидий из областного бюджета межрегиональным, региональным и местным молодежным и детским общественным объединениям на реализацию проектов (программ) в 2025 году согласно приложению N 2.</w:t>
      </w:r>
    </w:p>
    <w:p>
      <w:pPr>
        <w:pStyle w:val="0"/>
        <w:spacing w:before="200" w:lineRule="auto"/>
        <w:ind w:firstLine="540"/>
        <w:jc w:val="both"/>
      </w:pPr>
      <w:r>
        <w:rPr>
          <w:sz w:val="20"/>
        </w:rPr>
        <w:t xml:space="preserve">3. Установить, что отбор получателей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и грантов в форме субсидий из областного бюджета межрегиональным, региональным и местным молодежным и детским общественным объединениям на реализацию проектов (программ) осуществляется в порядке, определенном настоящим постановлением.</w:t>
      </w:r>
    </w:p>
    <w:p>
      <w:pPr>
        <w:pStyle w:val="0"/>
        <w:spacing w:before="200" w:lineRule="auto"/>
        <w:ind w:firstLine="540"/>
        <w:jc w:val="both"/>
      </w:pPr>
      <w:r>
        <w:rPr>
          <w:sz w:val="20"/>
        </w:rPr>
        <w:t xml:space="preserve">4. Контроль за выполнением постановления возложить на заместителя Председателя Правительства Кировской области Шумайлову С.В.</w:t>
      </w:r>
    </w:p>
    <w:p>
      <w:pPr>
        <w:pStyle w:val="0"/>
        <w:spacing w:before="200" w:lineRule="auto"/>
        <w:ind w:firstLine="540"/>
        <w:jc w:val="both"/>
      </w:pPr>
      <w:r>
        <w:rPr>
          <w:sz w:val="20"/>
        </w:rPr>
        <w:t xml:space="preserve">5.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Кировской области</w:t>
      </w:r>
    </w:p>
    <w:p>
      <w:pPr>
        <w:pStyle w:val="0"/>
        <w:jc w:val="right"/>
      </w:pPr>
      <w:r>
        <w:rPr>
          <w:sz w:val="20"/>
        </w:rPr>
        <w:t xml:space="preserve">М.А.САНДАЛОВ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24 июля 2025 г. N 401-П</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СУБСИДИЙ ИЗ ОБЛАСТНОГО БЮДЖЕТА</w:t>
      </w:r>
    </w:p>
    <w:p>
      <w:pPr>
        <w:pStyle w:val="2"/>
        <w:jc w:val="center"/>
      </w:pPr>
      <w:r>
        <w:rPr>
          <w:sz w:val="20"/>
        </w:rPr>
        <w:t xml:space="preserve">МЕЖРЕГИОНАЛЬНЫМ, РЕГИОНАЛЬНЫМ И МЕСТНЫМ МОЛОДЕЖНЫМ И ДЕТСКИМ</w:t>
      </w:r>
    </w:p>
    <w:p>
      <w:pPr>
        <w:pStyle w:val="2"/>
        <w:jc w:val="center"/>
      </w:pPr>
      <w:r>
        <w:rPr>
          <w:sz w:val="20"/>
        </w:rPr>
        <w:t xml:space="preserve">ОБЩЕСТВЕННЫМ ОБЪЕДИНЕНИЯМ НА ОСУЩЕСТВЛЕНИЕ УСТАВНОЙ</w:t>
      </w:r>
    </w:p>
    <w:p>
      <w:pPr>
        <w:pStyle w:val="2"/>
        <w:jc w:val="center"/>
      </w:pPr>
      <w:r>
        <w:rPr>
          <w:sz w:val="20"/>
        </w:rPr>
        <w:t xml:space="preserve">ДЕЯТЕЛЬНОСТИ, НАПРАВЛЕННОЙ НА УДОВЛЕТВОРЕНИЕ ИНТЕРЕСОВ ДЕТЕЙ</w:t>
      </w:r>
    </w:p>
    <w:p>
      <w:pPr>
        <w:pStyle w:val="2"/>
        <w:jc w:val="center"/>
      </w:pPr>
      <w:r>
        <w:rPr>
          <w:sz w:val="20"/>
        </w:rPr>
        <w:t xml:space="preserve">И (ИЛИ) МОЛОДЕЖИ, В 2025 ГОДУ</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в 2025 году (далее - Порядок) устанавливает порядок проведения отбора межрегиональных, региональных и местных молодежных и детских общественных объединений на осуществление уставной деятельности, направленной на удовлетворение интересов детей и (или) молодежи, для предоставления в 2025 году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(далее - субсидии), цель, условия и порядок предоставления субсидий, а также требования к отчетности, к осуществлению контроля (мониторинга) за соблюдением условий и порядка предоставления субсидий и ответственность за их нарушение.</w:t>
      </w:r>
    </w:p>
    <w:p>
      <w:pPr>
        <w:pStyle w:val="0"/>
        <w:spacing w:before="200" w:lineRule="auto"/>
        <w:ind w:firstLine="540"/>
        <w:jc w:val="both"/>
      </w:pPr>
      <w:r>
        <w:rPr>
          <w:sz w:val="20"/>
        </w:rPr>
        <w:t xml:space="preserve">1.2. Субсидии предоставляются в рамках реализации комплекса процессных мероприятий "Совершенствование молодежной политики Кировской области", входящего в состав государственной </w:t>
      </w:r>
      <w:hyperlink w:history="0" r:id="rId10" w:tooltip="Постановление Правительства Кировской области от 15.12.2023 N 684-П (ред. от 07.11.2025) &quot;Об утверждении государственной программы Кировской области &quot;Реализация молодежной политики&quot; {КонсультантПлюс}">
        <w:r>
          <w:rPr>
            <w:sz w:val="20"/>
            <w:color w:val="0000ff"/>
          </w:rPr>
          <w:t xml:space="preserve">программы</w:t>
        </w:r>
      </w:hyperlink>
      <w:r>
        <w:rPr>
          <w:sz w:val="20"/>
        </w:rPr>
        <w:t xml:space="preserve"> Кировской области "Реализация молодежной политики" (далее - Государственная программа), утвержденной постановлением Правительства Кировской области от 15.12.2023 N 684-П "Об утверждении государственной программы Кировской области "Реализация молодежной политики", направленной на достижение показателя Государственной программы "Доля молодых граждан в возрасте от 14 до 35 лет, проживающих на территории Кировской области, получивших услуги в рамках реализации молодежных программ (проектов), от общей численности молодых граждан в возрасте от 14 до 35 лет, проживающих на территории Кировской области".</w:t>
      </w:r>
    </w:p>
    <w:bookmarkStart w:id="43" w:name="P43"/>
    <w:bookmarkEnd w:id="43"/>
    <w:p>
      <w:pPr>
        <w:pStyle w:val="0"/>
        <w:spacing w:before="200" w:lineRule="auto"/>
        <w:ind w:firstLine="540"/>
        <w:jc w:val="both"/>
      </w:pPr>
      <w:r>
        <w:rPr>
          <w:sz w:val="20"/>
        </w:rPr>
        <w:t xml:space="preserve">1.3. Субсидии предоставляются с целью создания условий для вовлечения молодежи в процессы социально-экономического, общественно-политического и культурного развития Кировской области.</w:t>
      </w:r>
    </w:p>
    <w:p>
      <w:pPr>
        <w:pStyle w:val="0"/>
        <w:spacing w:before="200" w:lineRule="auto"/>
        <w:ind w:firstLine="540"/>
        <w:jc w:val="both"/>
      </w:pPr>
      <w:r>
        <w:rPr>
          <w:sz w:val="20"/>
        </w:rPr>
        <w:t xml:space="preserve">1.4. Получателями субсидий являются межрегиональные, региональные и местные молодежные и детские общественные объединения, включенные в перечень молодежных и детских общественных объединений Кировской области, имеющих право на получение государственной поддержки, утвержденный приказом министерства молодежной политики Кировской области от 25.02.2025 N 32-од "Об утверждении перечня молодежных и детских общественных объединений Кировской области, имеющих право на получение государственной поддержки" (далее - получатели субсидий).</w:t>
      </w:r>
    </w:p>
    <w:bookmarkStart w:id="45" w:name="P45"/>
    <w:bookmarkEnd w:id="45"/>
    <w:p>
      <w:pPr>
        <w:pStyle w:val="0"/>
        <w:spacing w:before="200" w:lineRule="auto"/>
        <w:ind w:firstLine="540"/>
        <w:jc w:val="both"/>
      </w:pPr>
      <w:r>
        <w:rPr>
          <w:sz w:val="20"/>
        </w:rPr>
        <w:t xml:space="preserve">1.5. Субсидии предоставляются получателям субсидий на финансовое обеспечение затрат, связанных с осуществлением уставной деятельности, направленной на удовлетворение интересов детей и (или) молодежи и предусмотренной учредительными документами, на осуществление следующих расходов:</w:t>
      </w:r>
    </w:p>
    <w:p>
      <w:pPr>
        <w:pStyle w:val="0"/>
        <w:spacing w:before="200" w:lineRule="auto"/>
        <w:ind w:firstLine="540"/>
        <w:jc w:val="both"/>
      </w:pPr>
      <w:r>
        <w:rPr>
          <w:sz w:val="20"/>
        </w:rPr>
        <w:t xml:space="preserve">оплату труда сотрудников с начислениями (за исключением руководителя получателя субсидии);</w:t>
      </w:r>
    </w:p>
    <w:p>
      <w:pPr>
        <w:pStyle w:val="0"/>
        <w:spacing w:before="200" w:lineRule="auto"/>
        <w:ind w:firstLine="540"/>
        <w:jc w:val="both"/>
      </w:pPr>
      <w:r>
        <w:rPr>
          <w:sz w:val="20"/>
        </w:rPr>
        <w:t xml:space="preserve">расходы на оплату коммунальных услуг, ремонт и обслуживание компьютерной и организационной техники, расходы на горюче-смазочные материалы и обслуживание транспортных средств;</w:t>
      </w:r>
    </w:p>
    <w:p>
      <w:pPr>
        <w:pStyle w:val="0"/>
        <w:spacing w:before="200" w:lineRule="auto"/>
        <w:ind w:firstLine="540"/>
        <w:jc w:val="both"/>
      </w:pPr>
      <w:r>
        <w:rPr>
          <w:sz w:val="20"/>
        </w:rPr>
        <w:t xml:space="preserve">аренду и (или) страхование помещений, транспортных и технических средств, а также звукового, светового, мультимедийного, коммуникативного и декорационно-постановочного оборудования, необходимого для осуществления уставной деятельности, в том числе для проведения мероприятий;</w:t>
      </w:r>
    </w:p>
    <w:p>
      <w:pPr>
        <w:pStyle w:val="0"/>
        <w:spacing w:before="200" w:lineRule="auto"/>
        <w:ind w:firstLine="540"/>
        <w:jc w:val="both"/>
      </w:pPr>
      <w:r>
        <w:rPr>
          <w:sz w:val="20"/>
        </w:rPr>
        <w:t xml:space="preserve">оплату юридических, образовательных, аудиторских, бухгалтерских, нотариальных, банковских и информационно-консультационных услуг, услуг по поддержке и обновлению правовых баз данных у получателей субсидии, приобретение лицензионного программного обеспечения и оплату лицензии;</w:t>
      </w:r>
    </w:p>
    <w:p>
      <w:pPr>
        <w:pStyle w:val="0"/>
        <w:spacing w:before="200" w:lineRule="auto"/>
        <w:ind w:firstLine="540"/>
        <w:jc w:val="both"/>
      </w:pPr>
      <w:r>
        <w:rPr>
          <w:sz w:val="20"/>
        </w:rPr>
        <w:t xml:space="preserve">оплату услуг по созданию, графическому оформлению и подготовке макетов информационных и справочных материалов и методической литературы, необходимой для осуществления уставной деятельности;</w:t>
      </w:r>
    </w:p>
    <w:p>
      <w:pPr>
        <w:pStyle w:val="0"/>
        <w:spacing w:before="200" w:lineRule="auto"/>
        <w:ind w:firstLine="540"/>
        <w:jc w:val="both"/>
      </w:pPr>
      <w:r>
        <w:rPr>
          <w:sz w:val="20"/>
        </w:rPr>
        <w:t xml:space="preserve">оплату услуг связи (почты, телефона, информационно-телекоммуникационной сети "Интернет", телематических услуг связи);</w:t>
      </w:r>
    </w:p>
    <w:p>
      <w:pPr>
        <w:pStyle w:val="0"/>
        <w:spacing w:before="200" w:lineRule="auto"/>
        <w:ind w:firstLine="540"/>
        <w:jc w:val="both"/>
      </w:pPr>
      <w:r>
        <w:rPr>
          <w:sz w:val="20"/>
        </w:rPr>
        <w:t xml:space="preserve">оплату услуг по созданию и изготовлению рекламных материалов для размещения социальной рекламы;</w:t>
      </w:r>
    </w:p>
    <w:p>
      <w:pPr>
        <w:pStyle w:val="0"/>
        <w:spacing w:before="200" w:lineRule="auto"/>
        <w:ind w:firstLine="540"/>
        <w:jc w:val="both"/>
      </w:pPr>
      <w:r>
        <w:rPr>
          <w:sz w:val="20"/>
        </w:rPr>
        <w:t xml:space="preserve">оплату услуг по созданию и обслуживанию интернет-сайтов, трафика, хостинга и расходов по техническому поддержанию сайтов получателей субсидии, администрированию в информационно-телекоммуникационной сети "Интернет", а также СММ-услуг, направленных на продвижение информации о получателе субсидий в социальных сетях.</w:t>
      </w:r>
    </w:p>
    <w:bookmarkStart w:id="54" w:name="P54"/>
    <w:bookmarkEnd w:id="54"/>
    <w:p>
      <w:pPr>
        <w:pStyle w:val="0"/>
        <w:spacing w:before="200" w:lineRule="auto"/>
        <w:ind w:firstLine="540"/>
        <w:jc w:val="both"/>
      </w:pPr>
      <w:r>
        <w:rPr>
          <w:sz w:val="20"/>
        </w:rPr>
        <w:t xml:space="preserve">1.6. Субсидии предоставляются министерством молодежной политики Кировской области (далее - министерство) в пределах бюджетных ассигнований, предусмотренных в областном бюджете, и лимитов бюджетных обязательств, доведенных в установленном порядке министерству на 2025 год на предоставление субсидий.</w:t>
      </w:r>
    </w:p>
    <w:p>
      <w:pPr>
        <w:pStyle w:val="0"/>
        <w:spacing w:before="200" w:lineRule="auto"/>
        <w:ind w:firstLine="540"/>
        <w:jc w:val="both"/>
      </w:pPr>
      <w:r>
        <w:rPr>
          <w:sz w:val="20"/>
        </w:rPr>
        <w:t xml:space="preserve">1.7.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pPr>
        <w:pStyle w:val="0"/>
        <w:jc w:val="both"/>
      </w:pPr>
      <w:r>
        <w:rPr>
          <w:sz w:val="20"/>
        </w:rPr>
      </w:r>
    </w:p>
    <w:p>
      <w:pPr>
        <w:pStyle w:val="2"/>
        <w:outlineLvl w:val="1"/>
        <w:ind w:firstLine="540"/>
        <w:jc w:val="both"/>
      </w:pPr>
      <w:r>
        <w:rPr>
          <w:sz w:val="20"/>
        </w:rPr>
        <w:t xml:space="preserve">2. Порядок проведения отбора получателей субсидий</w:t>
      </w:r>
    </w:p>
    <w:p>
      <w:pPr>
        <w:pStyle w:val="0"/>
        <w:jc w:val="both"/>
      </w:pPr>
      <w:r>
        <w:rPr>
          <w:sz w:val="20"/>
        </w:rPr>
      </w:r>
    </w:p>
    <w:p>
      <w:pPr>
        <w:pStyle w:val="0"/>
        <w:ind w:firstLine="540"/>
        <w:jc w:val="both"/>
      </w:pPr>
      <w:r>
        <w:rPr>
          <w:sz w:val="20"/>
        </w:rPr>
        <w:t xml:space="preserve">2.1. Субсидии предоставляются по результатам отбора получателей субсидий в виде запроса предложений, проводимого министерством (далее - отбор), на основании заявок, направленных участниками отбора (далее - заявки).</w:t>
      </w:r>
    </w:p>
    <w:p>
      <w:pPr>
        <w:pStyle w:val="0"/>
        <w:spacing w:before="200" w:lineRule="auto"/>
        <w:ind w:firstLine="540"/>
        <w:jc w:val="both"/>
      </w:pPr>
      <w:r>
        <w:rPr>
          <w:sz w:val="20"/>
        </w:rPr>
        <w:t xml:space="preserve">2.2.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2.3. Взаимодействие министерства с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Объявление о проведении отбора размещается министерством на едином портале не позднее чем за 2 рабочих дня до начала приема заявок и включает в себя:</w:t>
      </w:r>
    </w:p>
    <w:p>
      <w:pPr>
        <w:pStyle w:val="0"/>
        <w:spacing w:before="200" w:lineRule="auto"/>
        <w:ind w:firstLine="540"/>
        <w:jc w:val="both"/>
      </w:pPr>
      <w:r>
        <w:rPr>
          <w:sz w:val="20"/>
        </w:rPr>
        <w:t xml:space="preserve">2.4.1. Срок проведения отбора.</w:t>
      </w:r>
    </w:p>
    <w:p>
      <w:pPr>
        <w:pStyle w:val="0"/>
        <w:spacing w:before="200" w:lineRule="auto"/>
        <w:ind w:firstLine="540"/>
        <w:jc w:val="both"/>
      </w:pPr>
      <w:r>
        <w:rPr>
          <w:sz w:val="20"/>
        </w:rPr>
        <w:t xml:space="preserve">2.4.2. Дату начала и дату окончания приема заявок,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2.4.3. Наименование, местонахождение, почтовый адрес, адрес электронной почты министерства.</w:t>
      </w:r>
    </w:p>
    <w:p>
      <w:pPr>
        <w:pStyle w:val="0"/>
        <w:spacing w:before="200" w:lineRule="auto"/>
        <w:ind w:firstLine="540"/>
        <w:jc w:val="both"/>
      </w:pPr>
      <w:r>
        <w:rPr>
          <w:sz w:val="20"/>
        </w:rPr>
        <w:t xml:space="preserve">2.4.4. Результаты и характеристики результатов предоставления субсидий, указанные в </w:t>
      </w:r>
      <w:hyperlink w:history="0" w:anchor="P197" w:tooltip="3.7. Результатами предоставления субсидий являются:">
        <w:r>
          <w:rPr>
            <w:sz w:val="20"/>
            <w:color w:val="0000ff"/>
          </w:rPr>
          <w:t xml:space="preserve">пункте 3.7</w:t>
        </w:r>
      </w:hyperlink>
      <w:r>
        <w:rPr>
          <w:sz w:val="20"/>
        </w:rPr>
        <w:t xml:space="preserve"> настоящего Порядка.</w:t>
      </w:r>
    </w:p>
    <w:p>
      <w:pPr>
        <w:pStyle w:val="0"/>
        <w:spacing w:before="200" w:lineRule="auto"/>
        <w:ind w:firstLine="540"/>
        <w:jc w:val="both"/>
      </w:pPr>
      <w:r>
        <w:rPr>
          <w:sz w:val="20"/>
        </w:rPr>
        <w:t xml:space="preserve">2.4.5. Доменное имя и (или) указатели страниц государственной информационной системы в информационно-телекоммуникационной сети "Интернет".</w:t>
      </w:r>
    </w:p>
    <w:p>
      <w:pPr>
        <w:pStyle w:val="0"/>
        <w:spacing w:before="200" w:lineRule="auto"/>
        <w:ind w:firstLine="540"/>
        <w:jc w:val="both"/>
      </w:pPr>
      <w:r>
        <w:rPr>
          <w:sz w:val="20"/>
        </w:rPr>
        <w:t xml:space="preserve">2.4.6. Перечень документов и требования к документам, представляемым участниками отбора для подтверждения соответствия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w:t>
      </w:r>
    </w:p>
    <w:p>
      <w:pPr>
        <w:pStyle w:val="0"/>
        <w:spacing w:before="200" w:lineRule="auto"/>
        <w:ind w:firstLine="540"/>
        <w:jc w:val="both"/>
      </w:pPr>
      <w:r>
        <w:rPr>
          <w:sz w:val="20"/>
        </w:rPr>
        <w:t xml:space="preserve">2.4.7. Критерии отбора в соответствии с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пунктом 2.8</w:t>
        </w:r>
      </w:hyperlink>
      <w:r>
        <w:rPr>
          <w:sz w:val="20"/>
        </w:rPr>
        <w:t xml:space="preserve"> настоящего Порядка.</w:t>
      </w:r>
    </w:p>
    <w:p>
      <w:pPr>
        <w:pStyle w:val="0"/>
        <w:spacing w:before="200" w:lineRule="auto"/>
        <w:ind w:firstLine="540"/>
        <w:jc w:val="both"/>
      </w:pPr>
      <w:r>
        <w:rPr>
          <w:sz w:val="20"/>
        </w:rPr>
        <w:t xml:space="preserve">2.4.8. Порядок подачи заявок и требования, предъявляемые к содержанию и форме </w:t>
      </w:r>
      <w:hyperlink w:history="0" w:anchor="P262" w:tooltip="ЗАЯВКА">
        <w:r>
          <w:rPr>
            <w:sz w:val="20"/>
            <w:color w:val="0000ff"/>
          </w:rPr>
          <w:t xml:space="preserve">заявки</w:t>
        </w:r>
      </w:hyperlink>
      <w:r>
        <w:rPr>
          <w:sz w:val="20"/>
        </w:rPr>
        <w:t xml:space="preserve"> согласно приложению.</w:t>
      </w:r>
    </w:p>
    <w:p>
      <w:pPr>
        <w:pStyle w:val="0"/>
        <w:spacing w:before="200" w:lineRule="auto"/>
        <w:ind w:firstLine="540"/>
        <w:jc w:val="both"/>
      </w:pPr>
      <w:r>
        <w:rPr>
          <w:sz w:val="20"/>
        </w:rPr>
        <w:t xml:space="preserve">2.4.9. Порядок отзыва заявок участниками отбора в соответствии с </w:t>
      </w:r>
      <w:hyperlink w:history="0" w:anchor="P127" w:tooltip="2.20. Заявки могут быть отозваны в системе &quot;Электронный бюджет&quot; участниками отбора до окончания срока приема заявок, указанного в объявлении о проведении отбора.">
        <w:r>
          <w:rPr>
            <w:sz w:val="20"/>
            <w:color w:val="0000ff"/>
          </w:rPr>
          <w:t xml:space="preserve">пунктом 2.20</w:t>
        </w:r>
      </w:hyperlink>
      <w:r>
        <w:rPr>
          <w:sz w:val="20"/>
        </w:rPr>
        <w:t xml:space="preserve"> настоящего Порядка, порядок возврата заявок на доработку участникам отбора, определяющий в том числе основания для возврата заявок участникам отбора, порядок внесения изменений в заявки в соответствии с </w:t>
      </w:r>
      <w:hyperlink w:history="0" w:anchor="P126" w:tooltip="2.19. Возврат заявок на доработку, а также внесение изменений в заявки не предусмотрены, за исключением случая, указанного в абзаце четвертом пункта 2.5 настоящего Порядка.">
        <w:r>
          <w:rPr>
            <w:sz w:val="20"/>
            <w:color w:val="0000ff"/>
          </w:rPr>
          <w:t xml:space="preserve">пунктом 2.19</w:t>
        </w:r>
      </w:hyperlink>
      <w:r>
        <w:rPr>
          <w:sz w:val="20"/>
        </w:rPr>
        <w:t xml:space="preserve"> настоящего Порядка.</w:t>
      </w:r>
    </w:p>
    <w:p>
      <w:pPr>
        <w:pStyle w:val="0"/>
        <w:spacing w:before="200" w:lineRule="auto"/>
        <w:ind w:firstLine="540"/>
        <w:jc w:val="both"/>
      </w:pPr>
      <w:r>
        <w:rPr>
          <w:sz w:val="20"/>
        </w:rPr>
        <w:t xml:space="preserve">2.4.10. Порядок рассмотрения заявок министерством в соответствии с </w:t>
      </w:r>
      <w:hyperlink w:history="0" w:anchor="P131" w:tooltip="2.22. Министерство не позднее 10-го рабочего дня, следующего за днем окончания срока подачи заявок, рассматривает заявки, осуществляет проверку полноты и достоверности содержащихся в заявках сведений и документов, осуществляет проверку участников отбора на соответствие критериям отбора, указанным в пункте 2.8 настоящего Порядка, и требованиям к участникам отбора, указанным в пунктах 2.9 и 2.10 настоящего Порядка.">
        <w:r>
          <w:rPr>
            <w:sz w:val="20"/>
            <w:color w:val="0000ff"/>
          </w:rPr>
          <w:t xml:space="preserve">пунктом 2.22</w:t>
        </w:r>
      </w:hyperlink>
      <w:r>
        <w:rPr>
          <w:sz w:val="20"/>
        </w:rPr>
        <w:t xml:space="preserve"> настоящего Порядка.</w:t>
      </w:r>
    </w:p>
    <w:p>
      <w:pPr>
        <w:pStyle w:val="0"/>
        <w:spacing w:before="200" w:lineRule="auto"/>
        <w:ind w:firstLine="540"/>
        <w:jc w:val="both"/>
      </w:pPr>
      <w:r>
        <w:rPr>
          <w:sz w:val="20"/>
        </w:rPr>
        <w:t xml:space="preserve">2.4.11. Порядок отклонения заявок, а также информацию об основаниях для отклонения заявок в соответствии с </w:t>
      </w:r>
      <w:hyperlink w:history="0" w:anchor="P131" w:tooltip="2.22. Министерство не позднее 10-го рабочего дня, следующего за днем окончания срока подачи заявок, рассматривает заявки, осуществляет проверку полноты и достоверности содержащихся в заявках сведений и документов, осуществляет проверку участников отбора на соответствие критериям отбора, указанным в пункте 2.8 настоящего Порядка, и требованиям к участникам отбора, указанным в пунктах 2.9 и 2.10 настоящего Порядка.">
        <w:r>
          <w:rPr>
            <w:sz w:val="20"/>
            <w:color w:val="0000ff"/>
          </w:rPr>
          <w:t xml:space="preserve">пунктами 2.22</w:t>
        </w:r>
      </w:hyperlink>
      <w:r>
        <w:rPr>
          <w:sz w:val="20"/>
        </w:rPr>
        <w:t xml:space="preserve"> - </w:t>
      </w:r>
      <w:hyperlink w:history="0" w:anchor="P141" w:tooltip="2.24. В случае принятия решения об отклонении заявок по основаниям, указанным в пункте 2.23 настоящего Порядка, министерство уведомляет участников отбора об отклонении заявок с указанием причин принятия таких решений в течение 7 рабочих дней со дня принятия указанных решений.">
        <w:r>
          <w:rPr>
            <w:sz w:val="20"/>
            <w:color w:val="0000ff"/>
          </w:rPr>
          <w:t xml:space="preserve">2.24</w:t>
        </w:r>
      </w:hyperlink>
      <w:r>
        <w:rPr>
          <w:sz w:val="20"/>
        </w:rPr>
        <w:t xml:space="preserve"> настоящего Порядка.</w:t>
      </w:r>
    </w:p>
    <w:p>
      <w:pPr>
        <w:pStyle w:val="0"/>
        <w:spacing w:before="200" w:lineRule="auto"/>
        <w:ind w:firstLine="540"/>
        <w:jc w:val="both"/>
      </w:pPr>
      <w:r>
        <w:rPr>
          <w:sz w:val="20"/>
        </w:rPr>
        <w:t xml:space="preserve">2.4.12. Порядок и случаи отмены проведения отбора, случаи признания отбора несостоявшимся в соответствии с </w:t>
      </w:r>
      <w:hyperlink w:history="0" w:anchor="P86" w:tooltip="2.6. Отбор может быть отменен министерством в случае, если решением суда, вступившим в законную силу, установлен факт нарушения процедуры организации и проведения отбора либо наступили обстоятельства непреодолимой силы, препятствующие проведению отбора в установленный настоящим Порядком срок, включая природные катаклизмы, техногенные аварии, массовые заболевания населения, введение военного положения и иные чрезвычайные ситуации.">
        <w:r>
          <w:rPr>
            <w:sz w:val="20"/>
            <w:color w:val="0000ff"/>
          </w:rPr>
          <w:t xml:space="preserve">пунктами 2.6</w:t>
        </w:r>
      </w:hyperlink>
      <w:r>
        <w:rPr>
          <w:sz w:val="20"/>
        </w:rPr>
        <w:t xml:space="preserve"> и </w:t>
      </w:r>
      <w:hyperlink w:history="0" w:anchor="P88" w:tooltip="2.7. Отбор признается несостоявшимся в случае, если не подана ни одна заявка для участия в отборе либо если ни одна из поданных заявок не соответствует критериям отбора, указанным в пункте 2.8 настоящего Порядка, и требованиям к участникам отбора, указанным в пунктах 2.9 и 2.10 настоящего Порядка.">
        <w:r>
          <w:rPr>
            <w:sz w:val="20"/>
            <w:color w:val="0000ff"/>
          </w:rPr>
          <w:t xml:space="preserve">2.7</w:t>
        </w:r>
      </w:hyperlink>
      <w:r>
        <w:rPr>
          <w:sz w:val="20"/>
        </w:rPr>
        <w:t xml:space="preserve"> настоящего Порядка.</w:t>
      </w:r>
    </w:p>
    <w:p>
      <w:pPr>
        <w:pStyle w:val="0"/>
        <w:spacing w:before="200" w:lineRule="auto"/>
        <w:ind w:firstLine="540"/>
        <w:jc w:val="both"/>
      </w:pPr>
      <w:r>
        <w:rPr>
          <w:sz w:val="20"/>
        </w:rPr>
        <w:t xml:space="preserve">2.4.13. Объем распределяемых субсидий в рамках отбора, порядок расчета размера субсидии, правила распределения субсидий по результатам отбора в соответствии с </w:t>
      </w:r>
      <w:hyperlink w:history="0" w:anchor="P166" w:tooltip="3.4. Объем субсидий, предоставляемых получателям субсидий на осуществление уставной деятельности, направленной на удовлетворение интересов детей и (или) молодежи, на текущий год (Vi), определяется по следующей по формуле:">
        <w:r>
          <w:rPr>
            <w:sz w:val="20"/>
            <w:color w:val="0000ff"/>
          </w:rPr>
          <w:t xml:space="preserve">пунктом 3.4</w:t>
        </w:r>
      </w:hyperlink>
      <w:r>
        <w:rPr>
          <w:sz w:val="20"/>
        </w:rPr>
        <w:t xml:space="preserve"> настоящего Порядка.</w:t>
      </w:r>
    </w:p>
    <w:p>
      <w:pPr>
        <w:pStyle w:val="0"/>
        <w:spacing w:before="200" w:lineRule="auto"/>
        <w:ind w:firstLine="540"/>
        <w:jc w:val="both"/>
      </w:pPr>
      <w:r>
        <w:rPr>
          <w:sz w:val="20"/>
        </w:rPr>
        <w:t xml:space="preserve">2.4.14. Порядок предоставления участникам отбора разъяснений положений объявления о проведении отбора, даты начала и окончания срока предоставления таких разъяснений.</w:t>
      </w:r>
    </w:p>
    <w:p>
      <w:pPr>
        <w:pStyle w:val="0"/>
        <w:spacing w:before="200" w:lineRule="auto"/>
        <w:ind w:firstLine="540"/>
        <w:jc w:val="both"/>
      </w:pPr>
      <w:r>
        <w:rPr>
          <w:sz w:val="20"/>
        </w:rPr>
        <w:t xml:space="preserve">2.4.15. Срок, в течение которого победители отбора должны подписать соглашения о предоставлении субсидий в соответствии с </w:t>
      </w:r>
      <w:hyperlink w:history="0" w:anchor="P155" w:tooltip="3.1. Министерство в течение 15 рабочих дней со дня утверждения перечня победителей отбора и распределения субсидий в текущем финансовом году заключает с получателями субсидий соглашения о предоставлении субсидий.">
        <w:r>
          <w:rPr>
            <w:sz w:val="20"/>
            <w:color w:val="0000ff"/>
          </w:rPr>
          <w:t xml:space="preserve">пунктом 3.1</w:t>
        </w:r>
      </w:hyperlink>
      <w:r>
        <w:rPr>
          <w:sz w:val="20"/>
        </w:rPr>
        <w:t xml:space="preserve"> настоящего Порядка.</w:t>
      </w:r>
    </w:p>
    <w:p>
      <w:pPr>
        <w:pStyle w:val="0"/>
        <w:spacing w:before="200" w:lineRule="auto"/>
        <w:ind w:firstLine="540"/>
        <w:jc w:val="both"/>
      </w:pPr>
      <w:r>
        <w:rPr>
          <w:sz w:val="20"/>
        </w:rPr>
        <w:t xml:space="preserve">2.4.16. Условия признания победителей отбора уклонившимися от заключения соглашений о предоставлении субсидий в соответствии с </w:t>
      </w:r>
      <w:hyperlink w:history="0" w:anchor="P155" w:tooltip="3.1. Министерство в течение 15 рабочих дней со дня утверждения перечня победителей отбора и распределения субсидий в текущем финансовом году заключает с получателями субсидий соглашения о предоставлении субсидий.">
        <w:r>
          <w:rPr>
            <w:sz w:val="20"/>
            <w:color w:val="0000ff"/>
          </w:rPr>
          <w:t xml:space="preserve">пунктом 3.1</w:t>
        </w:r>
      </w:hyperlink>
      <w:r>
        <w:rPr>
          <w:sz w:val="20"/>
        </w:rPr>
        <w:t xml:space="preserve"> настоящего Порядка.</w:t>
      </w:r>
    </w:p>
    <w:p>
      <w:pPr>
        <w:pStyle w:val="0"/>
        <w:spacing w:before="200" w:lineRule="auto"/>
        <w:ind w:firstLine="540"/>
        <w:jc w:val="both"/>
      </w:pPr>
      <w:r>
        <w:rPr>
          <w:sz w:val="20"/>
        </w:rPr>
        <w:t xml:space="preserve">2.4.17. Сроки размещения протокола рассмотрения заявок (документа об итогах проведения отбора) на едином портале, которые не могут быть позднее 14-го календарного дня, следующего за днем определения победителей отбора.</w:t>
      </w:r>
    </w:p>
    <w:p>
      <w:pPr>
        <w:pStyle w:val="0"/>
        <w:spacing w:before="200" w:lineRule="auto"/>
        <w:ind w:firstLine="540"/>
        <w:jc w:val="both"/>
      </w:pPr>
      <w:r>
        <w:rPr>
          <w:sz w:val="20"/>
        </w:rPr>
        <w:t xml:space="preserve">2.4.18. Порядок внесения изменений в объявление о проведении отбора в соответствии с пунктом 2.5 настоящего Порядка.</w:t>
      </w:r>
    </w:p>
    <w:p>
      <w:pPr>
        <w:pStyle w:val="0"/>
        <w:spacing w:before="200" w:lineRule="auto"/>
        <w:ind w:firstLine="540"/>
        <w:jc w:val="both"/>
      </w:pPr>
      <w:r>
        <w:rPr>
          <w:sz w:val="20"/>
        </w:rPr>
        <w:t xml:space="preserve">2.5. Внесение изменений в объявление о проведении отбора осуществляется не позднее даты окончания приема заявок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изменение способа отбора получателей субсидий не допускается;</w:t>
      </w:r>
    </w:p>
    <w:bookmarkStart w:id="84" w:name="P84"/>
    <w:bookmarkEnd w:id="84"/>
    <w:p>
      <w:pPr>
        <w:pStyle w:val="0"/>
        <w:spacing w:before="200" w:lineRule="auto"/>
        <w:ind w:firstLine="540"/>
        <w:jc w:val="both"/>
      </w:pPr>
      <w:r>
        <w:rPr>
          <w:sz w:val="20"/>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bookmarkStart w:id="86" w:name="P86"/>
    <w:bookmarkEnd w:id="86"/>
    <w:p>
      <w:pPr>
        <w:pStyle w:val="0"/>
        <w:spacing w:before="200" w:lineRule="auto"/>
        <w:ind w:firstLine="540"/>
        <w:jc w:val="both"/>
      </w:pPr>
      <w:r>
        <w:rPr>
          <w:sz w:val="20"/>
        </w:rPr>
        <w:t xml:space="preserve">2.6. Отбор может быть отменен министерством в случае, если решением суда, вступившим в законную силу, установлен факт нарушения процедуры организации и проведения отбора либо наступили обстоятельства непреодолимой силы, препятствующие проведению отбора в установленный настоящим Порядком срок, включая природные катаклизмы, техногенные аварии, массовые заболевания населения, введение военного положения и иные чрезвычайные ситуации.</w:t>
      </w:r>
    </w:p>
    <w:p>
      <w:pPr>
        <w:pStyle w:val="0"/>
        <w:spacing w:before="200" w:lineRule="auto"/>
        <w:ind w:firstLine="540"/>
        <w:jc w:val="both"/>
      </w:pPr>
      <w:r>
        <w:rPr>
          <w:sz w:val="20"/>
        </w:rPr>
        <w:t xml:space="preserve">Решение об отмене отбора публикуется путем размещения объявления в системе "Электронный бюджет" не позднее чем за 2 рабочих дня до даты окончания приема заявок.</w:t>
      </w:r>
    </w:p>
    <w:bookmarkStart w:id="88" w:name="P88"/>
    <w:bookmarkEnd w:id="88"/>
    <w:p>
      <w:pPr>
        <w:pStyle w:val="0"/>
        <w:spacing w:before="200" w:lineRule="auto"/>
        <w:ind w:firstLine="540"/>
        <w:jc w:val="both"/>
      </w:pPr>
      <w:r>
        <w:rPr>
          <w:sz w:val="20"/>
        </w:rPr>
        <w:t xml:space="preserve">2.7. Отбор признается несостоявшимся в случае, если не подана ни одна заявка для участия в отборе либо если ни одна из поданных заявок не соответствует критериям отбора, указанным в пункте 2.8 настоящего Порядка, и требованиям к участникам отбора, указанным в пунктах 2.9 и 2.10 настоящего Порядка.</w:t>
      </w:r>
    </w:p>
    <w:bookmarkStart w:id="89" w:name="P89"/>
    <w:bookmarkEnd w:id="89"/>
    <w:p>
      <w:pPr>
        <w:pStyle w:val="0"/>
        <w:spacing w:before="200" w:lineRule="auto"/>
        <w:ind w:firstLine="540"/>
        <w:jc w:val="both"/>
      </w:pPr>
      <w:r>
        <w:rPr>
          <w:sz w:val="20"/>
        </w:rPr>
        <w:t xml:space="preserve">2.8. Участники отбора по состоянию на дату подачи заявки должны соответствовать следующим критериям отбора:</w:t>
      </w:r>
    </w:p>
    <w:bookmarkStart w:id="90" w:name="P90"/>
    <w:bookmarkEnd w:id="90"/>
    <w:p>
      <w:pPr>
        <w:pStyle w:val="0"/>
        <w:spacing w:before="200" w:lineRule="auto"/>
        <w:ind w:firstLine="540"/>
        <w:jc w:val="both"/>
      </w:pPr>
      <w:r>
        <w:rPr>
          <w:sz w:val="20"/>
        </w:rPr>
        <w:t xml:space="preserve">2.8.1. Участник отбора является юридическим лицом и действует не менее одного года с момента его государственной регистрации.</w:t>
      </w:r>
    </w:p>
    <w:p>
      <w:pPr>
        <w:pStyle w:val="0"/>
        <w:spacing w:before="200" w:lineRule="auto"/>
        <w:ind w:firstLine="540"/>
        <w:jc w:val="both"/>
      </w:pPr>
      <w:r>
        <w:rPr>
          <w:sz w:val="20"/>
        </w:rPr>
        <w:t xml:space="preserve">2.8.2. У участника отбора насчитывается не менее 50 членов (участников) либо представленный на конкурс проект (программа) участника отбора в интересах детей и (или) молодежи предусматривает проведение мероприятий не менее чем для 100 детей и (или) молодых граждан.</w:t>
      </w:r>
    </w:p>
    <w:p>
      <w:pPr>
        <w:pStyle w:val="0"/>
        <w:spacing w:before="200" w:lineRule="auto"/>
        <w:ind w:firstLine="540"/>
        <w:jc w:val="both"/>
      </w:pPr>
      <w:r>
        <w:rPr>
          <w:sz w:val="20"/>
        </w:rPr>
        <w:t xml:space="preserve">2.8.3. У участника отбора численность совершеннолетних граждан не превышает 25 процентов от общего числа членов (участников) участника отбора (для детского общественного объединения).</w:t>
      </w:r>
    </w:p>
    <w:p>
      <w:pPr>
        <w:pStyle w:val="0"/>
        <w:spacing w:before="200" w:lineRule="auto"/>
        <w:ind w:firstLine="540"/>
        <w:jc w:val="both"/>
      </w:pPr>
      <w:r>
        <w:rPr>
          <w:sz w:val="20"/>
        </w:rPr>
        <w:t xml:space="preserve">2.8.4. У участника отбора численность членов (участников) участника отбора в возрасте старше 35 лет не превышает 25 процентов от общего числа членов (участников) участника отбора (для молодежного общественного объединения).</w:t>
      </w:r>
    </w:p>
    <w:bookmarkStart w:id="94" w:name="P94"/>
    <w:bookmarkEnd w:id="94"/>
    <w:p>
      <w:pPr>
        <w:pStyle w:val="0"/>
        <w:spacing w:before="200" w:lineRule="auto"/>
        <w:ind w:firstLine="540"/>
        <w:jc w:val="both"/>
      </w:pPr>
      <w:r>
        <w:rPr>
          <w:sz w:val="20"/>
        </w:rPr>
        <w:t xml:space="preserve">2.8.5. Участник отбора осуществляет свою деятельность на постоянной основе.</w:t>
      </w:r>
    </w:p>
    <w:p>
      <w:pPr>
        <w:pStyle w:val="0"/>
        <w:spacing w:before="200" w:lineRule="auto"/>
        <w:ind w:firstLine="540"/>
        <w:jc w:val="both"/>
      </w:pPr>
      <w:r>
        <w:rPr>
          <w:sz w:val="20"/>
        </w:rPr>
        <w:t xml:space="preserve">2.8.6. Участник отбора включен в перечень молодежных и детских общественных объединений, имеющих право на получение государственной поддержки, утвержденный приказом министерства молодежной политики Кировской области от 25.02.2025 N 34-од "Об утверждении перечня молодежных и детских общественных объединений Кировской области, имеющих право на получение государственной поддержки", в порядке, установленном Правительством Кировской области.</w:t>
      </w:r>
    </w:p>
    <w:bookmarkStart w:id="96" w:name="P96"/>
    <w:bookmarkEnd w:id="96"/>
    <w:p>
      <w:pPr>
        <w:pStyle w:val="0"/>
        <w:spacing w:before="200" w:lineRule="auto"/>
        <w:ind w:firstLine="540"/>
        <w:jc w:val="both"/>
      </w:pPr>
      <w:r>
        <w:rPr>
          <w:sz w:val="20"/>
        </w:rPr>
        <w:t xml:space="preserve">2.9. Участники отбора по состоянию на 1-е число месяца, предшествующего месяцу подачи документов, должны соответствовать следующим требованиям:</w:t>
      </w:r>
    </w:p>
    <w:p>
      <w:pPr>
        <w:pStyle w:val="0"/>
        <w:spacing w:before="200" w:lineRule="auto"/>
        <w:ind w:firstLine="540"/>
        <w:jc w:val="both"/>
      </w:pPr>
      <w:r>
        <w:rPr>
          <w:sz w:val="20"/>
        </w:rPr>
        <w:t xml:space="preserve">2.9.1. 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pPr>
        <w:pStyle w:val="0"/>
        <w:spacing w:before="200" w:lineRule="auto"/>
        <w:ind w:firstLine="540"/>
        <w:jc w:val="both"/>
      </w:pPr>
      <w:r>
        <w:rPr>
          <w:sz w:val="20"/>
        </w:rPr>
        <w:t xml:space="preserve">2.9.2. Участник отбора не получает средства из областного бюджета на основании иных нормативных правовых актов Правительства Кировской области на цель, указанную в </w:t>
      </w:r>
      <w:hyperlink w:history="0" w:anchor="P43" w:tooltip="1.3. Субсидии предоставляются с целью создания условий для вовлечения молодежи в процессы социально-экономического, общественно-политического и культурного развития Кировской области.">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2.9.3. Участник отбора не имеет просроченной задолженности по возврату в областной бюджет иных субсидий, бюджетных инвестиций, предоставленных в том числе в соответствии с иными правовыми актами Правительства Кировской области, а также иной просроченной (неурегулированной) задолженности по денежным обязательствам перед областным бюджетом.</w:t>
      </w:r>
    </w:p>
    <w:p>
      <w:pPr>
        <w:pStyle w:val="0"/>
        <w:spacing w:before="200" w:lineRule="auto"/>
        <w:ind w:firstLine="540"/>
        <w:jc w:val="both"/>
      </w:pPr>
      <w:r>
        <w:rPr>
          <w:sz w:val="20"/>
        </w:rPr>
        <w:t xml:space="preserve">2.9.4.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2.9.5. Участник отбора не является иностранным агентом в соответствии с Федеральным </w:t>
      </w:r>
      <w:hyperlink w:history="0" r:id="rId1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2.9.6. Участник отбора не находится в составляемых в рамках реализации полномочий, предусмотренных </w:t>
      </w:r>
      <w:hyperlink w:history="0" r:id="rId1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2.9.7. Участник отбора не находится в процессе ликвидации, реорганизации (за исключением реорганизации в форме присоединения к некоммерческой организации, являющейся участником отбора, другого юридического лица), в отношении него не должна быть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2.9.8.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105" w:name="P105"/>
    <w:bookmarkEnd w:id="105"/>
    <w:p>
      <w:pPr>
        <w:pStyle w:val="0"/>
        <w:spacing w:before="200" w:lineRule="auto"/>
        <w:ind w:firstLine="540"/>
        <w:jc w:val="both"/>
      </w:pPr>
      <w:r>
        <w:rPr>
          <w:sz w:val="20"/>
        </w:rPr>
        <w:t xml:space="preserve">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w:t>
      </w:r>
      <w:hyperlink w:history="0" r:id="rId13"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задолженности по уплате налогов, сборов, страховых взносов в бюджеты бюджетной системы Российской Федерации.</w:t>
      </w:r>
    </w:p>
    <w:p>
      <w:pPr>
        <w:pStyle w:val="0"/>
        <w:spacing w:before="200" w:lineRule="auto"/>
        <w:ind w:firstLine="540"/>
        <w:jc w:val="both"/>
      </w:pPr>
      <w:r>
        <w:rPr>
          <w:sz w:val="20"/>
        </w:rPr>
        <w:t xml:space="preserve">2.11. Проверка участников отбора на соответствие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bookmarkStart w:id="107" w:name="P107"/>
    <w:bookmarkEnd w:id="107"/>
    <w:p>
      <w:pPr>
        <w:pStyle w:val="0"/>
        <w:spacing w:before="200" w:lineRule="auto"/>
        <w:ind w:firstLine="540"/>
        <w:jc w:val="both"/>
      </w:pPr>
      <w:r>
        <w:rPr>
          <w:sz w:val="20"/>
        </w:rPr>
        <w:t xml:space="preserve">2.12. Подтверждение соответствия участников отбора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при подаче заявок участниками отбора отметок о соответствии указанным требованиям к участникам отбора посредством заполнения соответствующих экранных форм веб-интерфейса системы "Электронный бюджет" с приложением электронных копий соответствующих справок.</w:t>
      </w:r>
    </w:p>
    <w:p>
      <w:pPr>
        <w:pStyle w:val="0"/>
        <w:spacing w:before="200" w:lineRule="auto"/>
        <w:ind w:firstLine="540"/>
        <w:jc w:val="both"/>
      </w:pPr>
      <w:r>
        <w:rPr>
          <w:sz w:val="20"/>
        </w:rPr>
        <w:t xml:space="preserve">2.13. Запрещается требовать от участников отбора представления документов и информации в целях подтверждения соответствия участников отбора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участники отбора готовы представить указанные документы и информацию министерству по собственной инициативе.</w:t>
      </w:r>
    </w:p>
    <w:bookmarkStart w:id="109" w:name="P109"/>
    <w:bookmarkEnd w:id="109"/>
    <w:p>
      <w:pPr>
        <w:pStyle w:val="0"/>
        <w:spacing w:before="200" w:lineRule="auto"/>
        <w:ind w:firstLine="540"/>
        <w:jc w:val="both"/>
      </w:pPr>
      <w:r>
        <w:rPr>
          <w:sz w:val="20"/>
        </w:rPr>
        <w:t xml:space="preserve">2.14. Участники отбора представляют одновременно с заявкой в систему "Электронный бюджет"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отбора, предусмотренным </w:t>
      </w:r>
      <w:hyperlink w:history="0" w:anchor="P90" w:tooltip="2.8.1. Участник отбора является юридическим лицом и действует не менее одного года с момента его государственной регистрации.">
        <w:r>
          <w:rPr>
            <w:sz w:val="20"/>
            <w:color w:val="0000ff"/>
          </w:rPr>
          <w:t xml:space="preserve">подпунктами 2.8.1</w:t>
        </w:r>
      </w:hyperlink>
      <w:r>
        <w:rPr>
          <w:sz w:val="20"/>
        </w:rPr>
        <w:t xml:space="preserve"> - </w:t>
      </w:r>
      <w:hyperlink w:history="0" w:anchor="P94" w:tooltip="2.8.5. Участник отбора осуществляет свою деятельность на постоянной основе.">
        <w:r>
          <w:rPr>
            <w:sz w:val="20"/>
            <w:color w:val="0000ff"/>
          </w:rPr>
          <w:t xml:space="preserve">2.8.5</w:t>
        </w:r>
      </w:hyperlink>
      <w:r>
        <w:rPr>
          <w:sz w:val="20"/>
        </w:rPr>
        <w:t xml:space="preserve"> настоящего Порядка.</w:t>
      </w:r>
    </w:p>
    <w:p>
      <w:pPr>
        <w:pStyle w:val="0"/>
        <w:spacing w:before="200" w:lineRule="auto"/>
        <w:ind w:firstLine="540"/>
        <w:jc w:val="both"/>
      </w:pPr>
      <w:r>
        <w:rPr>
          <w:sz w:val="20"/>
        </w:rPr>
        <w:t xml:space="preserve">2.15. Участники отбора формируют в электронной форме заявки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 о проведении отбора.</w:t>
      </w:r>
    </w:p>
    <w:p>
      <w:pPr>
        <w:pStyle w:val="0"/>
        <w:spacing w:before="200" w:lineRule="auto"/>
        <w:ind w:firstLine="540"/>
        <w:jc w:val="both"/>
      </w:pPr>
      <w:r>
        <w:rPr>
          <w:sz w:val="20"/>
        </w:rPr>
        <w:t xml:space="preserve">Заявка должна содержать следующие информацию и документы об участнике отбора:</w:t>
      </w:r>
    </w:p>
    <w:p>
      <w:pPr>
        <w:pStyle w:val="0"/>
        <w:spacing w:before="200" w:lineRule="auto"/>
        <w:ind w:firstLine="540"/>
        <w:jc w:val="both"/>
      </w:pPr>
      <w:r>
        <w:rPr>
          <w:sz w:val="20"/>
        </w:rPr>
        <w:t xml:space="preserve">полное и сокращенное наименование;</w:t>
      </w:r>
    </w:p>
    <w:p>
      <w:pPr>
        <w:pStyle w:val="0"/>
        <w:spacing w:before="200" w:lineRule="auto"/>
        <w:ind w:firstLine="540"/>
        <w:jc w:val="both"/>
      </w:pPr>
      <w:r>
        <w:rPr>
          <w:sz w:val="20"/>
        </w:rPr>
        <w:t xml:space="preserve">основной государственный регистрационный номер;</w:t>
      </w:r>
    </w:p>
    <w:p>
      <w:pPr>
        <w:pStyle w:val="0"/>
        <w:spacing w:before="200" w:lineRule="auto"/>
        <w:ind w:firstLine="540"/>
        <w:jc w:val="both"/>
      </w:pPr>
      <w:r>
        <w:rPr>
          <w:sz w:val="20"/>
        </w:rPr>
        <w:t xml:space="preserve">идентификационный номер налогоплательщика;</w:t>
      </w:r>
    </w:p>
    <w:p>
      <w:pPr>
        <w:pStyle w:val="0"/>
        <w:spacing w:before="200" w:lineRule="auto"/>
        <w:ind w:firstLine="540"/>
        <w:jc w:val="both"/>
      </w:pPr>
      <w:r>
        <w:rPr>
          <w:sz w:val="20"/>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00" w:lineRule="auto"/>
        <w:ind w:firstLine="540"/>
        <w:jc w:val="both"/>
      </w:pPr>
      <w:r>
        <w:rPr>
          <w:sz w:val="20"/>
        </w:rPr>
        <w:t xml:space="preserve">информацию о главном бухгалтере (при наличии), учредителях, членах коллегиального исполнительного органа, лице, которое исполняет функции единоличного исполнительного органа (фамилию, имя, отчество (при наличии) и идентификационный номер налогоплательщика);</w:t>
      </w:r>
    </w:p>
    <w:p>
      <w:pPr>
        <w:pStyle w:val="0"/>
        <w:spacing w:before="200" w:lineRule="auto"/>
        <w:ind w:firstLine="540"/>
        <w:jc w:val="both"/>
      </w:pPr>
      <w:r>
        <w:rPr>
          <w:sz w:val="20"/>
        </w:rPr>
        <w:t xml:space="preserve">информацию о руководителе участника отбора (фамилию, имя, отчество (при наличии), идентификационный номер налогоплательщика, должность);</w:t>
      </w:r>
    </w:p>
    <w:p>
      <w:pPr>
        <w:pStyle w:val="0"/>
        <w:spacing w:before="200" w:lineRule="auto"/>
        <w:ind w:firstLine="540"/>
        <w:jc w:val="both"/>
      </w:pPr>
      <w:r>
        <w:rPr>
          <w:sz w:val="20"/>
        </w:rPr>
        <w:t xml:space="preserve">перечень основных и дополнительных видов деятельности, которые участник отбора вправе осуществлять в соответствии с учредительными документами участника отбора;</w:t>
      </w:r>
    </w:p>
    <w:p>
      <w:pPr>
        <w:pStyle w:val="0"/>
        <w:spacing w:before="200" w:lineRule="auto"/>
        <w:ind w:firstLine="540"/>
        <w:jc w:val="both"/>
      </w:pPr>
      <w:r>
        <w:rPr>
          <w:sz w:val="20"/>
        </w:rPr>
        <w:t xml:space="preserve">информацию о лицевом счете для учета операций со средствами участников казначейского сопровождения, открытом участником отбора, не включенным в реестр социально ориентированных некоммерческих организаций, в министерстве финансов Кировской области, либо информацию о расчетном счете, открытом участником отбора, включенным в реестр социально ориентированных некоммерческих организаций, в кредитной организации;</w:t>
      </w:r>
    </w:p>
    <w:p>
      <w:pPr>
        <w:pStyle w:val="0"/>
        <w:spacing w:before="200" w:lineRule="auto"/>
        <w:ind w:firstLine="540"/>
        <w:jc w:val="both"/>
      </w:pPr>
      <w:r>
        <w:rPr>
          <w:sz w:val="20"/>
        </w:rPr>
        <w:t xml:space="preserve">информацию о лице, уполномоченном на подписание соглашения о предоставлении субсидии;</w:t>
      </w:r>
    </w:p>
    <w:p>
      <w:pPr>
        <w:pStyle w:val="0"/>
        <w:spacing w:before="200" w:lineRule="auto"/>
        <w:ind w:firstLine="540"/>
        <w:jc w:val="both"/>
      </w:pPr>
      <w:r>
        <w:rPr>
          <w:sz w:val="20"/>
        </w:rPr>
        <w:t xml:space="preserve">предлагаемое участником отбора значение результатов и характеристики результатов предоставления субсидии, указанных в </w:t>
      </w:r>
      <w:hyperlink w:history="0" w:anchor="P197" w:tooltip="3.7. Результатами предоставления субсидий являются:">
        <w:r>
          <w:rPr>
            <w:sz w:val="20"/>
            <w:color w:val="0000ff"/>
          </w:rPr>
          <w:t xml:space="preserve">пункте 3.7</w:t>
        </w:r>
      </w:hyperlink>
      <w:r>
        <w:rPr>
          <w:sz w:val="20"/>
        </w:rPr>
        <w:t xml:space="preserve"> настоящего Порядка, и запрашиваемый участником отбора размер субсидии согласно </w:t>
      </w:r>
      <w:hyperlink w:history="0" w:anchor="P262" w:tooltip="ЗАЯВКА">
        <w:r>
          <w:rPr>
            <w:sz w:val="20"/>
            <w:color w:val="0000ff"/>
          </w:rPr>
          <w:t xml:space="preserve">приложению</w:t>
        </w:r>
      </w:hyperlink>
      <w:r>
        <w:rPr>
          <w:sz w:val="20"/>
        </w:rPr>
        <w:t xml:space="preserve">.</w:t>
      </w:r>
    </w:p>
    <w:p>
      <w:pPr>
        <w:pStyle w:val="0"/>
        <w:spacing w:before="200" w:lineRule="auto"/>
        <w:ind w:firstLine="540"/>
        <w:jc w:val="both"/>
      </w:pPr>
      <w:r>
        <w:rPr>
          <w:sz w:val="20"/>
        </w:rPr>
        <w:t xml:space="preserve">2.16. Заявки подписываются усиленной квалифицированной электронной подписью руководителей участников отбора или уполномоченных ими лиц.</w:t>
      </w:r>
    </w:p>
    <w:p>
      <w:pPr>
        <w:pStyle w:val="0"/>
        <w:spacing w:before="200" w:lineRule="auto"/>
        <w:ind w:firstLine="540"/>
        <w:jc w:val="both"/>
      </w:pPr>
      <w:r>
        <w:rPr>
          <w:sz w:val="20"/>
        </w:rPr>
        <w:t xml:space="preserve">2.17. Датой представления участниками отбора заявок считается день подписания участниками отбора заявок с присвоением им регистрационного номера в системе "Электронный бюджет".</w:t>
      </w:r>
    </w:p>
    <w:p>
      <w:pPr>
        <w:pStyle w:val="0"/>
        <w:spacing w:before="200" w:lineRule="auto"/>
        <w:ind w:firstLine="540"/>
        <w:jc w:val="both"/>
      </w:pPr>
      <w:r>
        <w:rPr>
          <w:sz w:val="20"/>
        </w:rPr>
        <w:t xml:space="preserve">2.18. Участники отбора вправе в период приема заявок получить разъяснения положений объявления о проведении отбора путем личного обращения или направления письменного обращения о предоставлении разъяснения положений объявления о проведении отбора (далее - обращение) в министерство по месту его нахождения либо обращения в форме электронного документа на адрес электронной почты министерства.</w:t>
      </w:r>
    </w:p>
    <w:p>
      <w:pPr>
        <w:pStyle w:val="0"/>
        <w:spacing w:before="200" w:lineRule="auto"/>
        <w:ind w:firstLine="540"/>
        <w:jc w:val="both"/>
      </w:pPr>
      <w:r>
        <w:rPr>
          <w:sz w:val="20"/>
        </w:rPr>
        <w:t xml:space="preserve">Министерство в течение 5 рабочих дней со дня регистрации обращения рассматривает его и направляет ответ в форме, соответствующей форме обращения, на адрес, указанный в обращении.</w:t>
      </w:r>
    </w:p>
    <w:bookmarkStart w:id="126" w:name="P126"/>
    <w:bookmarkEnd w:id="126"/>
    <w:p>
      <w:pPr>
        <w:pStyle w:val="0"/>
        <w:spacing w:before="200" w:lineRule="auto"/>
        <w:ind w:firstLine="540"/>
        <w:jc w:val="both"/>
      </w:pPr>
      <w:r>
        <w:rPr>
          <w:sz w:val="20"/>
        </w:rPr>
        <w:t xml:space="preserve">2.19. Возврат заявок на доработку, а также внесение изменений в заявки не предусмотрены, за исключением случая, указанного в </w:t>
      </w:r>
      <w:hyperlink w:history="0" w:anchor="P84" w:tooltip="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
        <w:r>
          <w:rPr>
            <w:sz w:val="20"/>
            <w:color w:val="0000ff"/>
          </w:rPr>
          <w:t xml:space="preserve">абзаце четвертом пункта 2.5</w:t>
        </w:r>
      </w:hyperlink>
      <w:r>
        <w:rPr>
          <w:sz w:val="20"/>
        </w:rPr>
        <w:t xml:space="preserve"> настоящего Порядка.</w:t>
      </w:r>
    </w:p>
    <w:bookmarkStart w:id="127" w:name="P127"/>
    <w:bookmarkEnd w:id="127"/>
    <w:p>
      <w:pPr>
        <w:pStyle w:val="0"/>
        <w:spacing w:before="200" w:lineRule="auto"/>
        <w:ind w:firstLine="540"/>
        <w:jc w:val="both"/>
      </w:pPr>
      <w:r>
        <w:rPr>
          <w:sz w:val="20"/>
        </w:rPr>
        <w:t xml:space="preserve">2.20. Заявки могут быть отозваны в системе "Электронный бюджет" участниками отбора до окончания срока приема заявок, указанного в объявлении о проведении отбора.</w:t>
      </w:r>
    </w:p>
    <w:p>
      <w:pPr>
        <w:pStyle w:val="0"/>
        <w:spacing w:before="200" w:lineRule="auto"/>
        <w:ind w:firstLine="540"/>
        <w:jc w:val="both"/>
      </w:pPr>
      <w:r>
        <w:rPr>
          <w:sz w:val="20"/>
        </w:rPr>
        <w:t xml:space="preserve">2.21. Для рассмотрения и оценки заявок в системе "Электронный бюджет":</w:t>
      </w:r>
    </w:p>
    <w:p>
      <w:pPr>
        <w:pStyle w:val="0"/>
        <w:spacing w:before="200" w:lineRule="auto"/>
        <w:ind w:firstLine="540"/>
        <w:jc w:val="both"/>
      </w:pPr>
      <w:r>
        <w:rPr>
          <w:sz w:val="20"/>
        </w:rPr>
        <w:t xml:space="preserve">министерством не позднее 1-го рабочего дня, следующего за днем начала срока подачи заявок, обеспечивается открытие доступа в системе "Электронный бюджет" к заявкам для их рассмотрения;</w:t>
      </w:r>
    </w:p>
    <w:p>
      <w:pPr>
        <w:pStyle w:val="0"/>
        <w:spacing w:before="200" w:lineRule="auto"/>
        <w:ind w:firstLine="540"/>
        <w:jc w:val="both"/>
      </w:pPr>
      <w:r>
        <w:rPr>
          <w:sz w:val="20"/>
        </w:rPr>
        <w:t xml:space="preserve">министерством осуществляется автоматическое формирование протокола вскрытия заявок на едином портале и подписание усиленной квалифицированной подписью министра молодежной политики Кировской области (далее - министр) (заместителя министра молодежной политики Кировской области (далее - заместитель министра))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bookmarkStart w:id="131" w:name="P131"/>
    <w:bookmarkEnd w:id="131"/>
    <w:p>
      <w:pPr>
        <w:pStyle w:val="0"/>
        <w:spacing w:before="200" w:lineRule="auto"/>
        <w:ind w:firstLine="540"/>
        <w:jc w:val="both"/>
      </w:pPr>
      <w:r>
        <w:rPr>
          <w:sz w:val="20"/>
        </w:rPr>
        <w:t xml:space="preserve">2.22. Министерство не позднее 10-го рабочего дня, следующего за днем окончания срока подачи заявок, рассматривает заявки, осуществляет проверку полноты и достоверности содержащихся в заявках сведений и документов, осуществляет проверку участников отбора на соответствие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заявок не позднее 1-го рабочего дня со дня окончания срока рассмотрения заявок автоматически на едином портале формируется протокол рассмотрения заявок, включающий информацию о количестве поступивших и рассмотренных заявок с указанием регистрационного номера каждой заявки, даты и времени поступления заявки, а также информацию по каждому участнику отбора (полное и сокращенное наименование, идентификационный номер налогоплательщика, адрес), запрашиваемый участником отбора размер субсидии, информацию по каждому участнику отбора о признании его заявки надлежащей или об отклонении его заявки с указанием оснований для отклонения, который подписывается усиленной квалифицированной электронной подписью министра (заместителя министра) в системе "Электронный бюджет" и размещается министерством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Решение о соответствии заявок принимается министерством в случае, если участники отбора соответствуют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 указанным в объявлении о проведении отбора, и отсутствуют основания для отклонения заявок, и указывается в протоколе рассмотрения заявок.</w:t>
      </w:r>
    </w:p>
    <w:p>
      <w:pPr>
        <w:pStyle w:val="0"/>
        <w:spacing w:before="200" w:lineRule="auto"/>
        <w:ind w:firstLine="540"/>
        <w:jc w:val="both"/>
      </w:pPr>
      <w:r>
        <w:rPr>
          <w:sz w:val="20"/>
        </w:rPr>
        <w:t xml:space="preserve">Решение об отклонении заявок принимается министерством по основаниям, указанным в </w:t>
      </w:r>
      <w:hyperlink w:history="0" w:anchor="P135" w:tooltip="2.23. Основаниями для отклонения заявок являются:">
        <w:r>
          <w:rPr>
            <w:sz w:val="20"/>
            <w:color w:val="0000ff"/>
          </w:rPr>
          <w:t xml:space="preserve">пункте 2.23</w:t>
        </w:r>
      </w:hyperlink>
      <w:r>
        <w:rPr>
          <w:sz w:val="20"/>
        </w:rPr>
        <w:t xml:space="preserve"> настоящего Порядка, и указывается в протоколе рассмотрения заявок.</w:t>
      </w:r>
    </w:p>
    <w:bookmarkStart w:id="135" w:name="P135"/>
    <w:bookmarkEnd w:id="135"/>
    <w:p>
      <w:pPr>
        <w:pStyle w:val="0"/>
        <w:spacing w:before="200" w:lineRule="auto"/>
        <w:ind w:firstLine="540"/>
        <w:jc w:val="both"/>
      </w:pPr>
      <w:r>
        <w:rPr>
          <w:sz w:val="20"/>
        </w:rPr>
        <w:t xml:space="preserve">2.23. Основаниями для отклонения заявок являются:</w:t>
      </w:r>
    </w:p>
    <w:p>
      <w:pPr>
        <w:pStyle w:val="0"/>
        <w:spacing w:before="200" w:lineRule="auto"/>
        <w:ind w:firstLine="540"/>
        <w:jc w:val="both"/>
      </w:pPr>
      <w:r>
        <w:rPr>
          <w:sz w:val="20"/>
        </w:rPr>
        <w:t xml:space="preserve">несоответствие участников отбора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участниками отбора документов, предусмотренных </w:t>
      </w:r>
      <w:hyperlink w:history="0" w:anchor="P107" w:tooltip="2.12. Подтверждение соответствия участников отбора требованиям к участникам отбора, указанным в пунктах 2.9 и 2.10 настоящего Порядка, в случае отсутствия технической возможности осуществления автоматической проверки в системе &quot;Электронный бюджет&quot; производится путем проставления в электронном виде при подаче заявок участниками отбора отметок о соответствии указанным требованиям к участникам отбора посредством заполнения соответствующих экранных форм веб-интерфейса системы &quot;Электронный бюджет&quot; с приложени...">
        <w:r>
          <w:rPr>
            <w:sz w:val="20"/>
            <w:color w:val="0000ff"/>
          </w:rPr>
          <w:t xml:space="preserve">пунктами 2.12</w:t>
        </w:r>
      </w:hyperlink>
      <w:r>
        <w:rPr>
          <w:sz w:val="20"/>
        </w:rPr>
        <w:t xml:space="preserve"> и </w:t>
      </w:r>
      <w:hyperlink w:history="0" w:anchor="P109" w:tooltip="2.14. Участники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отбора, предусмотренным подпунктами 2.8.1 - 2.8.5 настоящего Порядка.">
        <w:r>
          <w:rPr>
            <w:sz w:val="20"/>
            <w:color w:val="0000ff"/>
          </w:rPr>
          <w:t xml:space="preserve">2.14</w:t>
        </w:r>
      </w:hyperlink>
      <w:r>
        <w:rPr>
          <w:sz w:val="20"/>
        </w:rPr>
        <w:t xml:space="preserve"> настоящего Порядка, в установленные сроки;</w:t>
      </w:r>
    </w:p>
    <w:p>
      <w:pPr>
        <w:pStyle w:val="0"/>
        <w:spacing w:before="200" w:lineRule="auto"/>
        <w:ind w:firstLine="540"/>
        <w:jc w:val="both"/>
      </w:pPr>
      <w:r>
        <w:rPr>
          <w:sz w:val="20"/>
        </w:rPr>
        <w:t xml:space="preserve">несоответствие представленных участниками отбора заявок и (или) документов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 предусмотренных </w:t>
      </w:r>
      <w:hyperlink w:history="0" w:anchor="P107" w:tooltip="2.12. Подтверждение соответствия участников отбора требованиям к участникам отбора, указанным в пунктах 2.9 и 2.10 настоящего Порядка, в случае отсутствия технической возможности осуществления автоматической проверки в системе &quot;Электронный бюджет&quot; производится путем проставления в электронном виде при подаче заявок участниками отбора отметок о соответствии указанным требованиям к участникам отбора посредством заполнения соответствующих экранных форм веб-интерфейса системы &quot;Электронный бюджет&quot; с приложени...">
        <w:r>
          <w:rPr>
            <w:sz w:val="20"/>
            <w:color w:val="0000ff"/>
          </w:rPr>
          <w:t xml:space="preserve">пунктами 2.12</w:t>
        </w:r>
      </w:hyperlink>
      <w:r>
        <w:rPr>
          <w:sz w:val="20"/>
        </w:rPr>
        <w:t xml:space="preserve"> и </w:t>
      </w:r>
      <w:hyperlink w:history="0" w:anchor="P109" w:tooltip="2.14. Участники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отбора, предусмотренным подпунктами 2.8.1 - 2.8.5 настоящего Порядка.">
        <w:r>
          <w:rPr>
            <w:sz w:val="20"/>
            <w:color w:val="0000ff"/>
          </w:rPr>
          <w:t xml:space="preserve">2.14</w:t>
        </w:r>
      </w:hyperlink>
      <w:r>
        <w:rPr>
          <w:sz w:val="20"/>
        </w:rPr>
        <w:t xml:space="preserve"> настоящего Порядка;</w:t>
      </w:r>
    </w:p>
    <w:p>
      <w:pPr>
        <w:pStyle w:val="0"/>
        <w:spacing w:before="200" w:lineRule="auto"/>
        <w:ind w:firstLine="540"/>
        <w:jc w:val="both"/>
      </w:pPr>
      <w:r>
        <w:rPr>
          <w:sz w:val="20"/>
        </w:rPr>
        <w:t xml:space="preserve">недостоверность информации, содержащейся в документах, представленных участниками отбора, предусмотренных </w:t>
      </w:r>
      <w:hyperlink w:history="0" w:anchor="P107" w:tooltip="2.12. Подтверждение соответствия участников отбора требованиям к участникам отбора, указанным в пунктах 2.9 и 2.10 настоящего Порядка, в случае отсутствия технической возможности осуществления автоматической проверки в системе &quot;Электронный бюджет&quot; производится путем проставления в электронном виде при подаче заявок участниками отбора отметок о соответствии указанным требованиям к участникам отбора посредством заполнения соответствующих экранных форм веб-интерфейса системы &quot;Электронный бюджет&quot; с приложени...">
        <w:r>
          <w:rPr>
            <w:sz w:val="20"/>
            <w:color w:val="0000ff"/>
          </w:rPr>
          <w:t xml:space="preserve">пунктами 2.12</w:t>
        </w:r>
      </w:hyperlink>
      <w:r>
        <w:rPr>
          <w:sz w:val="20"/>
        </w:rPr>
        <w:t xml:space="preserve"> и </w:t>
      </w:r>
      <w:hyperlink w:history="0" w:anchor="P109" w:tooltip="2.14. Участники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отбора, предусмотренным подпунктами 2.8.1 - 2.8.5 настоящего Порядка.">
        <w:r>
          <w:rPr>
            <w:sz w:val="20"/>
            <w:color w:val="0000ff"/>
          </w:rPr>
          <w:t xml:space="preserve">2.14</w:t>
        </w:r>
      </w:hyperlink>
      <w:r>
        <w:rPr>
          <w:sz w:val="20"/>
        </w:rPr>
        <w:t xml:space="preserve"> настоящего Порядка;</w:t>
      </w:r>
    </w:p>
    <w:p>
      <w:pPr>
        <w:pStyle w:val="0"/>
        <w:spacing w:before="200" w:lineRule="auto"/>
        <w:ind w:firstLine="540"/>
        <w:jc w:val="both"/>
      </w:pPr>
      <w:r>
        <w:rPr>
          <w:sz w:val="20"/>
        </w:rPr>
        <w:t xml:space="preserve">подача участниками отбора заявок и прилагаемых документов после даты и (или) времени, определенных для подачи заявок в объявлении о проведении отбора.</w:t>
      </w:r>
    </w:p>
    <w:bookmarkStart w:id="141" w:name="P141"/>
    <w:bookmarkEnd w:id="141"/>
    <w:p>
      <w:pPr>
        <w:pStyle w:val="0"/>
        <w:spacing w:before="200" w:lineRule="auto"/>
        <w:ind w:firstLine="540"/>
        <w:jc w:val="both"/>
      </w:pPr>
      <w:r>
        <w:rPr>
          <w:sz w:val="20"/>
        </w:rPr>
        <w:t xml:space="preserve">2.24. В случае принятия решения об отклонении заявок по основаниям, указанным в </w:t>
      </w:r>
      <w:hyperlink w:history="0" w:anchor="P135" w:tooltip="2.23. Основаниями для отклонения заявок являются:">
        <w:r>
          <w:rPr>
            <w:sz w:val="20"/>
            <w:color w:val="0000ff"/>
          </w:rPr>
          <w:t xml:space="preserve">пункте 2.23</w:t>
        </w:r>
      </w:hyperlink>
      <w:r>
        <w:rPr>
          <w:sz w:val="20"/>
        </w:rPr>
        <w:t xml:space="preserve"> настоящего Порядка, министерство уведомляет участников отбора об отклонении заявок с указанием причин принятия таких решений в течение 7 рабочих дней со дня принятия указанных решений.</w:t>
      </w:r>
    </w:p>
    <w:p>
      <w:pPr>
        <w:pStyle w:val="0"/>
        <w:spacing w:before="200" w:lineRule="auto"/>
        <w:ind w:firstLine="540"/>
        <w:jc w:val="both"/>
      </w:pPr>
      <w:r>
        <w:rPr>
          <w:sz w:val="20"/>
        </w:rPr>
        <w:t xml:space="preserve">2.25. Победители отбора определяются на основании сформированных и поступивших в электронной форме в систему "Электронный бюджет" заявок исходя из соответствия участников отбора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w:t>
      </w:r>
    </w:p>
    <w:p>
      <w:pPr>
        <w:pStyle w:val="0"/>
        <w:spacing w:before="200" w:lineRule="auto"/>
        <w:ind w:firstLine="540"/>
        <w:jc w:val="both"/>
      </w:pPr>
      <w:r>
        <w:rPr>
          <w:sz w:val="20"/>
        </w:rPr>
        <w:t xml:space="preserve">2.26. По итогам отбора и определения его победителей формируется протокол подведения итогов отбора, включающий следующую информацию:</w:t>
      </w:r>
    </w:p>
    <w:p>
      <w:pPr>
        <w:pStyle w:val="0"/>
        <w:spacing w:before="200" w:lineRule="auto"/>
        <w:ind w:firstLine="540"/>
        <w:jc w:val="both"/>
      </w:pPr>
      <w:r>
        <w:rPr>
          <w:sz w:val="20"/>
        </w:rPr>
        <w:t xml:space="preserve">дату и время регистрации заявок в системе "Электронный бюджет";</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наименование получателей субсидий, с которыми заключаются соглашения о предоставлении субсидий, и размер предоставляемых им субсидий.</w:t>
      </w:r>
    </w:p>
    <w:p>
      <w:pPr>
        <w:pStyle w:val="0"/>
        <w:spacing w:before="200" w:lineRule="auto"/>
        <w:ind w:firstLine="540"/>
        <w:jc w:val="both"/>
      </w:pPr>
      <w:r>
        <w:rPr>
          <w:sz w:val="20"/>
        </w:rPr>
        <w:t xml:space="preserve">2.27. Протокол подведения итогов отбора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(заместителя министра)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2.28. 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указанного протокола с указанием причин внесения изменений.</w:t>
      </w:r>
    </w:p>
    <w:p>
      <w:pPr>
        <w:pStyle w:val="0"/>
        <w:spacing w:before="200" w:lineRule="auto"/>
        <w:ind w:firstLine="540"/>
        <w:jc w:val="both"/>
      </w:pPr>
      <w:r>
        <w:rPr>
          <w:sz w:val="20"/>
        </w:rPr>
        <w:t xml:space="preserve">2.29. Не позднее 10 рабочих дней со дня подписания протокола подведения итогов отбора правовым актом министерства утверждается перечень победителей отбора и распределение субсидий в текущем финансовом году.</w:t>
      </w:r>
    </w:p>
    <w:p>
      <w:pPr>
        <w:pStyle w:val="0"/>
        <w:jc w:val="both"/>
      </w:pPr>
      <w:r>
        <w:rPr>
          <w:sz w:val="20"/>
        </w:rPr>
      </w:r>
    </w:p>
    <w:p>
      <w:pPr>
        <w:pStyle w:val="2"/>
        <w:outlineLvl w:val="1"/>
        <w:ind w:firstLine="540"/>
        <w:jc w:val="both"/>
      </w:pPr>
      <w:r>
        <w:rPr>
          <w:sz w:val="20"/>
        </w:rPr>
        <w:t xml:space="preserve">3. Условия и порядок предоставления субсидий</w:t>
      </w:r>
    </w:p>
    <w:p>
      <w:pPr>
        <w:pStyle w:val="0"/>
        <w:jc w:val="both"/>
      </w:pPr>
      <w:r>
        <w:rPr>
          <w:sz w:val="20"/>
        </w:rPr>
      </w:r>
    </w:p>
    <w:bookmarkStart w:id="155" w:name="P155"/>
    <w:bookmarkEnd w:id="155"/>
    <w:p>
      <w:pPr>
        <w:pStyle w:val="0"/>
        <w:ind w:firstLine="540"/>
        <w:jc w:val="both"/>
      </w:pPr>
      <w:r>
        <w:rPr>
          <w:sz w:val="20"/>
        </w:rPr>
        <w:t xml:space="preserve">3.1. Министерство в течение 15 рабочих дней со дня утверждения перечня победителей отбора и распределения субсидий в текущем финансовом году заключает с получателями субсидий соглашения о предоставлении субсидий.</w:t>
      </w:r>
    </w:p>
    <w:p>
      <w:pPr>
        <w:pStyle w:val="0"/>
        <w:spacing w:before="200" w:lineRule="auto"/>
        <w:ind w:firstLine="540"/>
        <w:jc w:val="both"/>
      </w:pPr>
      <w:r>
        <w:rPr>
          <w:sz w:val="20"/>
        </w:rPr>
        <w:t xml:space="preserve">В случае незаключения получателями субсидий соглашений о предоставлении субсидий в течение 15 рабочих дней со дня утверждения перечня победителей отбора и распределения субсидий в текущем финансовом году в правовой акт министерства о получателях субсидий и распределении субсидий в текущем финансовом году вносится изменение в части исключения указанных получателей субсидий.</w:t>
      </w:r>
    </w:p>
    <w:p>
      <w:pPr>
        <w:pStyle w:val="0"/>
        <w:spacing w:before="200" w:lineRule="auto"/>
        <w:ind w:firstLine="540"/>
        <w:jc w:val="both"/>
      </w:pPr>
      <w:r>
        <w:rPr>
          <w:sz w:val="20"/>
        </w:rPr>
        <w:t xml:space="preserve">Обязательными условиями, включаемыми в соглашения о предоставлении субсидий, являются:</w:t>
      </w:r>
    </w:p>
    <w:p>
      <w:pPr>
        <w:pStyle w:val="0"/>
        <w:spacing w:before="200" w:lineRule="auto"/>
        <w:ind w:firstLine="540"/>
        <w:jc w:val="both"/>
      </w:pPr>
      <w:r>
        <w:rPr>
          <w:sz w:val="20"/>
        </w:rPr>
        <w:t xml:space="preserve">согласие на осуществление министерством проверки соблюдения порядка и условий предоставления субсидий, в том числе в части достижения значения результатов предоставления субсидий, а также проверки органами государственного финансового контроля в соответствии со </w:t>
      </w:r>
      <w:hyperlink w:history="0" r:id="rId1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1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условие о согласовании новых условий соглашений о предоставлении субсидий или о расторжении соглашений о предоставлении субсидий при недостижении согласия по новым условиям соглашений о предоставлении субсидий в случае уменьшения министерству как главному распорядителю бюджетных средств ранее доведенных лимитов бюджетных обязательств, указанных в </w:t>
      </w:r>
      <w:hyperlink w:history="0" w:anchor="P54" w:tooltip="1.6. Субсидии предоставляются министерством молодежной политики Кировской области (далее - министерство) в пределах бюджетных ассигнований, предусмотренных в областном бюджете, и лимитов бюджетных обязательств, доведенных в установленном порядке министерству на 2025 год на предоставление субсидий.">
        <w:r>
          <w:rPr>
            <w:sz w:val="20"/>
            <w:color w:val="0000ff"/>
          </w:rPr>
          <w:t xml:space="preserve">пункте 1.6</w:t>
        </w:r>
      </w:hyperlink>
      <w:r>
        <w:rPr>
          <w:sz w:val="20"/>
        </w:rPr>
        <w:t xml:space="preserve"> настоящего Порядка, приводящего к невозможности предоставления субсидий в размере, определенном в соглашениях о предоставлении субсидий;</w:t>
      </w:r>
    </w:p>
    <w:p>
      <w:pPr>
        <w:pStyle w:val="0"/>
        <w:spacing w:before="200" w:lineRule="auto"/>
        <w:ind w:firstLine="540"/>
        <w:jc w:val="both"/>
      </w:pPr>
      <w:r>
        <w:rPr>
          <w:sz w:val="20"/>
        </w:rPr>
        <w:t xml:space="preserve">обязательство о внесении изменений в соглашения о предоставлении субсидий в части перемены лиц, являющихся правопреемниками при реорганизации получателей субсидий в форме слияния, присоединения или преобразования путем заключения дополнительных соглашений к соглашениям о предоставлении субсидий;</w:t>
      </w:r>
    </w:p>
    <w:p>
      <w:pPr>
        <w:pStyle w:val="0"/>
        <w:spacing w:before="200" w:lineRule="auto"/>
        <w:ind w:firstLine="540"/>
        <w:jc w:val="both"/>
      </w:pPr>
      <w:r>
        <w:rPr>
          <w:sz w:val="20"/>
        </w:rPr>
        <w:t xml:space="preserve">обязательство о расторжении соглашений о предоставлении субсидий с формированием уведомления о расторжении соглашений о предоставлении субсидий в одностороннем порядке и акта об исполнении обязательств по соглашениям о предоставлении субсидий с отражением информации о не исполненных получателями субсидий обязательствах, источником финансового обеспечения которых являются субсидии, и возврате неиспользованного остатка субсидий в областной бюджет при реорганизации получателей субсидий в форме разделения, выделения, а также при ликвидации получателей субсидий;</w:t>
      </w:r>
    </w:p>
    <w:p>
      <w:pPr>
        <w:pStyle w:val="0"/>
        <w:spacing w:before="200" w:lineRule="auto"/>
        <w:ind w:firstLine="540"/>
        <w:jc w:val="both"/>
      </w:pPr>
      <w:r>
        <w:rPr>
          <w:sz w:val="20"/>
        </w:rPr>
        <w:t xml:space="preserve">запрет приобретения получателями субсидий, а также иными юридическими лицами, получающими средства на основании договоров (соглашений), заключенных с получателями субсидий,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положения о казначейском сопровождении субсидий в соответствии с бюджетным законодательством Российской Федерации, за исключением субсидий, предоставляемых получателям субсидий, включенных в реестр социально ориентированных некоммерческих организаций, сформированный в соответствии с </w:t>
      </w:r>
      <w:hyperlink w:history="0" r:id="rId16"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30.07.2021 N 1290 "О реестре социально ориентированных некоммерческих организаций".</w:t>
      </w:r>
    </w:p>
    <w:p>
      <w:pPr>
        <w:pStyle w:val="0"/>
        <w:spacing w:before="200" w:lineRule="auto"/>
        <w:ind w:firstLine="540"/>
        <w:jc w:val="both"/>
      </w:pPr>
      <w:r>
        <w:rPr>
          <w:sz w:val="20"/>
        </w:rPr>
        <w:t xml:space="preserve">3.2. Соглашения о предоставлении субсидий заключаются при условии соответствия получателей субсидий критериям отбора, указанным в </w:t>
      </w:r>
      <w:hyperlink w:history="0" w:anchor="P89" w:tooltip="2.8. Участники отбора по состоянию на дату подачи заявки должны соответствовать следующим критериям отбора:">
        <w:r>
          <w:rPr>
            <w:sz w:val="20"/>
            <w:color w:val="0000ff"/>
          </w:rPr>
          <w:t xml:space="preserve">пункте 2.8</w:t>
        </w:r>
      </w:hyperlink>
      <w:r>
        <w:rPr>
          <w:sz w:val="20"/>
        </w:rPr>
        <w:t xml:space="preserve"> настоящего Порядка, и требованиям к участникам отбора, указанным в </w:t>
      </w:r>
      <w:hyperlink w:history="0" w:anchor="P96" w:tooltip="2.9. Участники отбора по состоянию на 1-е число месяца, предшествующего месяцу подачи документов, должны соответствовать следующим требованиям:">
        <w:r>
          <w:rPr>
            <w:sz w:val="20"/>
            <w:color w:val="0000ff"/>
          </w:rPr>
          <w:t xml:space="preserve">пунктах 2.9</w:t>
        </w:r>
      </w:hyperlink>
      <w:r>
        <w:rPr>
          <w:sz w:val="20"/>
        </w:rPr>
        <w:t xml:space="preserve"> и </w:t>
      </w:r>
      <w:hyperlink w:history="0" w:anchor="P105" w:tooltip="2.10. На дату формирования справок об исполнении налогоплательщиками (плательщиками сбора, плательщиками страховых взносов, налоговыми агентами) обязанности по уплате налогов, сборов, страховых взносов, пеней, штрафов и процентов у участников отбора на единых налоговых счетах отсутствуют или не превышают размер, определенный пунктом 3 статьи 47 Налогового кодекса Российской Федерации, задолженности по уплате налогов, сборов, страховых взносов в бюджеты бюджетной системы Российской Федерации.">
        <w:r>
          <w:rPr>
            <w:sz w:val="20"/>
            <w:color w:val="0000ff"/>
          </w:rPr>
          <w:t xml:space="preserve">2.10</w:t>
        </w:r>
      </w:hyperlink>
      <w:r>
        <w:rPr>
          <w:sz w:val="20"/>
        </w:rPr>
        <w:t xml:space="preserve"> настоящего Порядка.</w:t>
      </w:r>
    </w:p>
    <w:p>
      <w:pPr>
        <w:pStyle w:val="0"/>
        <w:spacing w:before="200" w:lineRule="auto"/>
        <w:ind w:firstLine="540"/>
        <w:jc w:val="both"/>
      </w:pPr>
      <w:r>
        <w:rPr>
          <w:sz w:val="20"/>
        </w:rPr>
        <w:t xml:space="preserve">3.3. Соглашения о предоставлении субсидий, дополнительные соглашения к соглашениям о предоставлении субсидий, в том числе дополнительное соглашение о расторжении соглашений о предоставлении субсидий (при необходимости), заключаются в электронном виде в автоматизированной системе управления бюджетным процессом Кировской области в соответствии с типовой формой, утвержденной министерством финансов Кировской области.</w:t>
      </w:r>
    </w:p>
    <w:bookmarkStart w:id="166" w:name="P166"/>
    <w:bookmarkEnd w:id="166"/>
    <w:p>
      <w:pPr>
        <w:pStyle w:val="0"/>
        <w:spacing w:before="200" w:lineRule="auto"/>
        <w:ind w:firstLine="540"/>
        <w:jc w:val="both"/>
      </w:pPr>
      <w:r>
        <w:rPr>
          <w:sz w:val="20"/>
        </w:rPr>
        <w:t xml:space="preserve">3.4. Объем субсидий, предоставляемых получателям субсидий на осуществление уставной деятельности, направленной на удовлетворение интересов детей и (или) молодежи, на текущий год (V</w:t>
      </w:r>
      <w:r>
        <w:rPr>
          <w:sz w:val="20"/>
          <w:vertAlign w:val="subscript"/>
        </w:rPr>
        <w:t xml:space="preserve">i</w:t>
      </w:r>
      <w:r>
        <w:rPr>
          <w:sz w:val="20"/>
        </w:rPr>
        <w:t xml:space="preserve">), определяется по следующей по формуле:</w:t>
      </w:r>
    </w:p>
    <w:p>
      <w:pPr>
        <w:pStyle w:val="0"/>
        <w:jc w:val="both"/>
      </w:pPr>
      <w:r>
        <w:rPr>
          <w:sz w:val="20"/>
        </w:rPr>
      </w:r>
    </w:p>
    <w:p>
      <w:pPr>
        <w:pStyle w:val="0"/>
        <w:jc w:val="center"/>
      </w:pPr>
      <w:r>
        <w:rPr>
          <w:sz w:val="20"/>
        </w:rPr>
        <w:t xml:space="preserve">V</w:t>
      </w:r>
      <w:r>
        <w:rPr>
          <w:sz w:val="20"/>
          <w:vertAlign w:val="subscript"/>
        </w:rPr>
        <w:t xml:space="preserve">i</w:t>
      </w:r>
      <w:r>
        <w:rPr>
          <w:sz w:val="20"/>
        </w:rPr>
        <w:t xml:space="preserve"> = S</w:t>
      </w:r>
      <w:r>
        <w:rPr>
          <w:sz w:val="20"/>
          <w:vertAlign w:val="subscript"/>
        </w:rPr>
        <w:t xml:space="preserve">i</w:t>
      </w:r>
      <w:r>
        <w:rPr>
          <w:sz w:val="20"/>
        </w:rPr>
        <w:t xml:space="preserve"> * U</w:t>
      </w:r>
      <w:r>
        <w:rPr>
          <w:sz w:val="20"/>
          <w:vertAlign w:val="subscript"/>
        </w:rPr>
        <w:t xml:space="preserve">i</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Si - размер субсидии, запрашиваемый i-м получателем субсидии, предусмотренный заявкой;</w:t>
      </w:r>
    </w:p>
    <w:p>
      <w:pPr>
        <w:pStyle w:val="0"/>
        <w:spacing w:before="200" w:lineRule="auto"/>
        <w:ind w:firstLine="540"/>
        <w:jc w:val="both"/>
      </w:pPr>
      <w:r>
        <w:rPr>
          <w:sz w:val="20"/>
        </w:rPr>
        <w:t xml:space="preserve">Ui - корректирующий коэффициент.</w:t>
      </w:r>
    </w:p>
    <w:p>
      <w:pPr>
        <w:pStyle w:val="0"/>
        <w:spacing w:before="200" w:lineRule="auto"/>
        <w:ind w:firstLine="540"/>
        <w:jc w:val="both"/>
      </w:pPr>
      <w:r>
        <w:rPr>
          <w:sz w:val="20"/>
        </w:rPr>
        <w:t xml:space="preserve">Корректирующий коэффициент применяется в случае, если общий объем средств, запрашиваемых получателями субсидии, больше объема бюджетных ассигнований на предоставление субсидии на 2025 год.</w:t>
      </w:r>
    </w:p>
    <w:p>
      <w:pPr>
        <w:pStyle w:val="0"/>
        <w:spacing w:before="200" w:lineRule="auto"/>
        <w:ind w:firstLine="540"/>
        <w:jc w:val="both"/>
      </w:pPr>
      <w:r>
        <w:rPr>
          <w:sz w:val="20"/>
        </w:rPr>
        <w:t xml:space="preserve">В случае если общий объем средств, запрашиваемых получателями субсидий, меньше объема бюджетных ассигнований на предоставление субсидии, то корректирующий коэффициент равен 1.</w:t>
      </w:r>
    </w:p>
    <w:p>
      <w:pPr>
        <w:pStyle w:val="0"/>
        <w:spacing w:before="200" w:lineRule="auto"/>
        <w:ind w:firstLine="540"/>
        <w:jc w:val="both"/>
      </w:pPr>
      <w:r>
        <w:rPr>
          <w:sz w:val="20"/>
        </w:rPr>
        <w:t xml:space="preserve">3.5. Размер субсидии, запрашиваемый i-м получателем субсидии, предусмотренный заявкой (S</w:t>
      </w:r>
      <w:r>
        <w:rPr>
          <w:sz w:val="20"/>
          <w:vertAlign w:val="subscript"/>
        </w:rPr>
        <w:t xml:space="preserve">i</w:t>
      </w:r>
      <w:r>
        <w:rPr>
          <w:sz w:val="20"/>
        </w:rPr>
        <w:t xml:space="preserve">), рассчитывается по следующей формуле:</w:t>
      </w:r>
    </w:p>
    <w:p>
      <w:pPr>
        <w:pStyle w:val="0"/>
        <w:jc w:val="both"/>
      </w:pPr>
      <w:r>
        <w:rPr>
          <w:sz w:val="20"/>
        </w:rPr>
      </w:r>
    </w:p>
    <w:p>
      <w:pPr>
        <w:pStyle w:val="0"/>
        <w:jc w:val="center"/>
      </w:pPr>
      <w:r>
        <w:rPr>
          <w:sz w:val="20"/>
        </w:rPr>
        <w:t xml:space="preserve">S</w:t>
      </w:r>
      <w:r>
        <w:rPr>
          <w:sz w:val="20"/>
          <w:vertAlign w:val="subscript"/>
        </w:rPr>
        <w:t xml:space="preserve">i</w:t>
      </w:r>
      <w:r>
        <w:rPr>
          <w:sz w:val="20"/>
        </w:rPr>
        <w:t xml:space="preserve"> = O + K + M + T + R + P + D + H,</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O - объем средств на оплату труда сотрудников с начислениями (за исключением руководителя получателя субсидии);</w:t>
      </w:r>
    </w:p>
    <w:p>
      <w:pPr>
        <w:pStyle w:val="0"/>
        <w:spacing w:before="200" w:lineRule="auto"/>
        <w:ind w:firstLine="540"/>
        <w:jc w:val="both"/>
      </w:pPr>
      <w:r>
        <w:rPr>
          <w:sz w:val="20"/>
        </w:rPr>
        <w:t xml:space="preserve">K - объем средств на расходы на оплату коммунальных услуг, ремонт и обслуживание компьютерной и организационной техники, расходы на горюче-смазочные материалы и обслуживание транспортных средств;</w:t>
      </w:r>
    </w:p>
    <w:p>
      <w:pPr>
        <w:pStyle w:val="0"/>
        <w:spacing w:before="200" w:lineRule="auto"/>
        <w:ind w:firstLine="540"/>
        <w:jc w:val="both"/>
      </w:pPr>
      <w:r>
        <w:rPr>
          <w:sz w:val="20"/>
        </w:rPr>
        <w:t xml:space="preserve">M - объем средств на оплату аренды помещений, транспортных и технических средств, а также звукового, светового, мультимедийного, коммуникативного и декорационно-постановочного оборудования, необходимого для осуществления уставной деятельности, в том числе для проведения мероприятий;</w:t>
      </w:r>
    </w:p>
    <w:p>
      <w:pPr>
        <w:pStyle w:val="0"/>
        <w:spacing w:before="200" w:lineRule="auto"/>
        <w:ind w:firstLine="540"/>
        <w:jc w:val="both"/>
      </w:pPr>
      <w:r>
        <w:rPr>
          <w:sz w:val="20"/>
        </w:rPr>
        <w:t xml:space="preserve">T - объем средств на оплату юридических, образовательных, аудиторских, бухгалтерских, нотариальных, банковских и информационно-консультационных услуг, услуг по поддержке и обновлению правовых баз данных у получателя субсидии, приобретение лицензионного программного обеспечения и оплату лицензий;</w:t>
      </w:r>
    </w:p>
    <w:p>
      <w:pPr>
        <w:pStyle w:val="0"/>
        <w:spacing w:before="200" w:lineRule="auto"/>
        <w:ind w:firstLine="540"/>
        <w:jc w:val="both"/>
      </w:pPr>
      <w:r>
        <w:rPr>
          <w:sz w:val="20"/>
        </w:rPr>
        <w:t xml:space="preserve">R - объем средств на оплату услуг по созданию, графическому оформлению и подготовке макетов справочных и информационных материалов и методической литературы, необходимой для осуществления уставной деятельности;</w:t>
      </w:r>
    </w:p>
    <w:p>
      <w:pPr>
        <w:pStyle w:val="0"/>
        <w:spacing w:before="200" w:lineRule="auto"/>
        <w:ind w:firstLine="540"/>
        <w:jc w:val="both"/>
      </w:pPr>
      <w:r>
        <w:rPr>
          <w:sz w:val="20"/>
        </w:rPr>
        <w:t xml:space="preserve">P - объем средств на оплату услуг связи (почты, телефона, информационно-телекоммуникационной сети "Интернет", телематических услуг связи);</w:t>
      </w:r>
    </w:p>
    <w:p>
      <w:pPr>
        <w:pStyle w:val="0"/>
        <w:spacing w:before="200" w:lineRule="auto"/>
        <w:ind w:firstLine="540"/>
        <w:jc w:val="both"/>
      </w:pPr>
      <w:r>
        <w:rPr>
          <w:sz w:val="20"/>
        </w:rPr>
        <w:t xml:space="preserve">D - объем средств на оплату услуг по созданию и изготовлению рекламных материалов для размещения социальной рекламы;</w:t>
      </w:r>
    </w:p>
    <w:p>
      <w:pPr>
        <w:pStyle w:val="0"/>
        <w:spacing w:before="200" w:lineRule="auto"/>
        <w:ind w:firstLine="540"/>
        <w:jc w:val="both"/>
      </w:pPr>
      <w:r>
        <w:rPr>
          <w:sz w:val="20"/>
        </w:rPr>
        <w:t xml:space="preserve">H - объем средств на оплату услуг по созданию и обслуживанию интернет-сайтов, трафика, хостинга, расходов по техническому поддержанию сайтов организации, администрированию в информационно-телекоммуникационной сети "Интернет", а также СММ-услуг, направленных на продвижение информации о получателе субсидии в социальных сетях.</w:t>
      </w:r>
    </w:p>
    <w:p>
      <w:pPr>
        <w:pStyle w:val="0"/>
        <w:spacing w:before="200" w:lineRule="auto"/>
        <w:ind w:firstLine="540"/>
        <w:jc w:val="both"/>
      </w:pPr>
      <w:r>
        <w:rPr>
          <w:sz w:val="20"/>
        </w:rPr>
        <w:t xml:space="preserve">3.6. Корректирующий коэффициент (U</w:t>
      </w:r>
      <w:r>
        <w:rPr>
          <w:sz w:val="20"/>
          <w:vertAlign w:val="subscript"/>
        </w:rPr>
        <w:t xml:space="preserve">i</w:t>
      </w:r>
      <w:r>
        <w:rPr>
          <w:sz w:val="20"/>
        </w:rPr>
        <w:t xml:space="preserve">) рассчитывается по следующей формуле:</w:t>
      </w:r>
    </w:p>
    <w:p>
      <w:pPr>
        <w:pStyle w:val="0"/>
        <w:jc w:val="both"/>
      </w:pPr>
      <w:r>
        <w:rPr>
          <w:sz w:val="20"/>
        </w:rPr>
      </w:r>
    </w:p>
    <w:p>
      <w:pPr>
        <w:pStyle w:val="0"/>
        <w:jc w:val="center"/>
      </w:pPr>
      <w:r>
        <w:rPr>
          <w:position w:val="-34"/>
        </w:rPr>
        <w:drawing>
          <wp:inline distT="0" distB="0" distL="0" distR="0">
            <wp:extent cx="1524000" cy="5619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5619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бюджетных ассигнований</w:t>
      </w:r>
      <w:r>
        <w:rPr>
          <w:sz w:val="20"/>
        </w:rPr>
        <w:t xml:space="preserve"> - объем субсидий, предусмотренных в областном бюджете на 2025 год;</w:t>
      </w:r>
    </w:p>
    <w:p>
      <w:pPr>
        <w:pStyle w:val="0"/>
        <w:spacing w:before="200" w:lineRule="auto"/>
        <w:ind w:firstLine="540"/>
        <w:jc w:val="both"/>
      </w:pPr>
      <w:r>
        <w:rPr>
          <w:sz w:val="20"/>
        </w:rPr>
        <w:t xml:space="preserve">k - коэффициент участия получателя субсидии в реализации социально значимых проектов (программ), который составляет:</w:t>
      </w:r>
    </w:p>
    <w:p>
      <w:pPr>
        <w:pStyle w:val="0"/>
        <w:spacing w:before="200" w:lineRule="auto"/>
        <w:ind w:firstLine="540"/>
        <w:jc w:val="both"/>
      </w:pPr>
      <w:r>
        <w:rPr>
          <w:sz w:val="20"/>
        </w:rPr>
        <w:t xml:space="preserve">1 - для получателей субсидий, которые являлись (являются) получателями поддержки на реализацию социально значимых проектов (программ) в течение 2 лет, предшествующих году проведения отбора, либо в году проведения отбора,</w:t>
      </w:r>
    </w:p>
    <w:p>
      <w:pPr>
        <w:pStyle w:val="0"/>
        <w:spacing w:before="200" w:lineRule="auto"/>
        <w:ind w:firstLine="540"/>
        <w:jc w:val="both"/>
      </w:pPr>
      <w:r>
        <w:rPr>
          <w:sz w:val="20"/>
        </w:rPr>
        <w:t xml:space="preserve">0,5 - для получателей субсидий, которые не являлись (не являются) получателями поддержки на реализацию социально значимых проектов (программ) в течение 2 лет, предшествующих году проведения отбора, либо в году проведения отбора.</w:t>
      </w:r>
    </w:p>
    <w:bookmarkStart w:id="197" w:name="P197"/>
    <w:bookmarkEnd w:id="197"/>
    <w:p>
      <w:pPr>
        <w:pStyle w:val="0"/>
        <w:spacing w:before="200" w:lineRule="auto"/>
        <w:ind w:firstLine="540"/>
        <w:jc w:val="both"/>
      </w:pPr>
      <w:r>
        <w:rPr>
          <w:sz w:val="20"/>
        </w:rPr>
        <w:t xml:space="preserve">3.7. Результатами предоставления субсидий являются:</w:t>
      </w:r>
    </w:p>
    <w:p>
      <w:pPr>
        <w:pStyle w:val="0"/>
        <w:spacing w:before="200" w:lineRule="auto"/>
        <w:ind w:firstLine="540"/>
        <w:jc w:val="both"/>
      </w:pPr>
      <w:r>
        <w:rPr>
          <w:sz w:val="20"/>
        </w:rPr>
        <w:t xml:space="preserve">доля молодых граждан в возрасте от 14 до 35 лет, проживающих на территории Кировской области, вовлеченных в деятельность получателей субсидий, от общей численности молодых граждан в возрасте от 14 до 35 лет, проживающих на территории Кировской области;</w:t>
      </w:r>
    </w:p>
    <w:p>
      <w:pPr>
        <w:pStyle w:val="0"/>
        <w:spacing w:before="200" w:lineRule="auto"/>
        <w:ind w:firstLine="540"/>
        <w:jc w:val="both"/>
      </w:pPr>
      <w:r>
        <w:rPr>
          <w:sz w:val="20"/>
        </w:rPr>
        <w:t xml:space="preserve">количество мероприятий, направленных на удовлетворение интересов детей и (или) молодежи в 2025 году, реализованных получателями субсидий в соответствии с заявками.</w:t>
      </w:r>
    </w:p>
    <w:p>
      <w:pPr>
        <w:pStyle w:val="0"/>
        <w:spacing w:before="200" w:lineRule="auto"/>
        <w:ind w:firstLine="540"/>
        <w:jc w:val="both"/>
      </w:pPr>
      <w:r>
        <w:rPr>
          <w:sz w:val="20"/>
        </w:rPr>
        <w:t xml:space="preserve">Характеристиками результатов предоставления субсидий являются:</w:t>
      </w:r>
    </w:p>
    <w:p>
      <w:pPr>
        <w:pStyle w:val="0"/>
        <w:spacing w:before="200" w:lineRule="auto"/>
        <w:ind w:firstLine="540"/>
        <w:jc w:val="both"/>
      </w:pPr>
      <w:r>
        <w:rPr>
          <w:sz w:val="20"/>
        </w:rPr>
        <w:t xml:space="preserve">численность сотрудников получателей субсидий;</w:t>
      </w:r>
    </w:p>
    <w:p>
      <w:pPr>
        <w:pStyle w:val="0"/>
        <w:spacing w:before="200" w:lineRule="auto"/>
        <w:ind w:firstLine="540"/>
        <w:jc w:val="both"/>
      </w:pPr>
      <w:r>
        <w:rPr>
          <w:sz w:val="20"/>
        </w:rPr>
        <w:t xml:space="preserve">количество единиц отремонтированного оборудования и оборудования, находящегося на обслуживании;</w:t>
      </w:r>
    </w:p>
    <w:p>
      <w:pPr>
        <w:pStyle w:val="0"/>
        <w:spacing w:before="200" w:lineRule="auto"/>
        <w:ind w:firstLine="540"/>
        <w:jc w:val="both"/>
      </w:pPr>
      <w:r>
        <w:rPr>
          <w:sz w:val="20"/>
        </w:rPr>
        <w:t xml:space="preserve">количество арендуемых помещений, транспортных и технических средств, а также звукового, светового, мультимедийного, коммуникативного и декорационно-постановочного оборудования, необходимого для осуществления уставной деятельности, в том числе для проведения мероприятий;</w:t>
      </w:r>
    </w:p>
    <w:p>
      <w:pPr>
        <w:pStyle w:val="0"/>
        <w:spacing w:before="200" w:lineRule="auto"/>
        <w:ind w:firstLine="540"/>
        <w:jc w:val="both"/>
      </w:pPr>
      <w:r>
        <w:rPr>
          <w:sz w:val="20"/>
        </w:rPr>
        <w:t xml:space="preserve">количество оказанных юридических, образовательных, аудиторских, бухгалтерских, нотариальных, банковских и информационно-консультационных услуг, услуг по поддержке и обновлению правовых баз данных у получателей субсидий;</w:t>
      </w:r>
    </w:p>
    <w:p>
      <w:pPr>
        <w:pStyle w:val="0"/>
        <w:spacing w:before="200" w:lineRule="auto"/>
        <w:ind w:firstLine="540"/>
        <w:jc w:val="both"/>
      </w:pPr>
      <w:r>
        <w:rPr>
          <w:sz w:val="20"/>
        </w:rPr>
        <w:t xml:space="preserve">количество созданных единиц справочных и информационных материалов и методической литературы, необходимых для осуществления уставной деятельности;</w:t>
      </w:r>
    </w:p>
    <w:p>
      <w:pPr>
        <w:pStyle w:val="0"/>
        <w:spacing w:before="200" w:lineRule="auto"/>
        <w:ind w:firstLine="540"/>
        <w:jc w:val="both"/>
      </w:pPr>
      <w:r>
        <w:rPr>
          <w:sz w:val="20"/>
        </w:rPr>
        <w:t xml:space="preserve">количество созданных, изготовленных и размещенных рекламных материалов для размещения социальной рекламы;</w:t>
      </w:r>
    </w:p>
    <w:p>
      <w:pPr>
        <w:pStyle w:val="0"/>
        <w:spacing w:before="200" w:lineRule="auto"/>
        <w:ind w:firstLine="540"/>
        <w:jc w:val="both"/>
      </w:pPr>
      <w:r>
        <w:rPr>
          <w:sz w:val="20"/>
        </w:rPr>
        <w:t xml:space="preserve">количество размещенных на информационных ресурсах победителей отбора информационных и методических материалов;</w:t>
      </w:r>
    </w:p>
    <w:p>
      <w:pPr>
        <w:pStyle w:val="0"/>
        <w:spacing w:before="200" w:lineRule="auto"/>
        <w:ind w:firstLine="540"/>
        <w:jc w:val="both"/>
      </w:pPr>
      <w:r>
        <w:rPr>
          <w:sz w:val="20"/>
        </w:rPr>
        <w:t xml:space="preserve">количество семей и членов семей участников специальной военной операции, которым оказана помощь;</w:t>
      </w:r>
    </w:p>
    <w:p>
      <w:pPr>
        <w:pStyle w:val="0"/>
        <w:spacing w:before="200" w:lineRule="auto"/>
        <w:ind w:firstLine="540"/>
        <w:jc w:val="both"/>
      </w:pPr>
      <w:r>
        <w:rPr>
          <w:sz w:val="20"/>
        </w:rPr>
        <w:t xml:space="preserve">численность граждан, которым оказана справочная, информационная и психологическая поддержка;</w:t>
      </w:r>
    </w:p>
    <w:p>
      <w:pPr>
        <w:pStyle w:val="0"/>
        <w:spacing w:before="200" w:lineRule="auto"/>
        <w:ind w:firstLine="540"/>
        <w:jc w:val="both"/>
      </w:pPr>
      <w:r>
        <w:rPr>
          <w:sz w:val="20"/>
        </w:rPr>
        <w:t xml:space="preserve">количество детей и (или) молодых граждан, находящихся в трудной жизненной ситуации, которым оказана поддержка.</w:t>
      </w:r>
    </w:p>
    <w:p>
      <w:pPr>
        <w:pStyle w:val="0"/>
        <w:spacing w:before="200" w:lineRule="auto"/>
        <w:ind w:firstLine="540"/>
        <w:jc w:val="both"/>
      </w:pPr>
      <w:r>
        <w:rPr>
          <w:sz w:val="20"/>
        </w:rPr>
        <w:t xml:space="preserve">Конкретные значения результатов предоставления субсидий и характеристики результатов предоставления субсидий устанавливаются соглашениями о предоставлении субсидий.</w:t>
      </w:r>
    </w:p>
    <w:p>
      <w:pPr>
        <w:pStyle w:val="0"/>
        <w:spacing w:before="200" w:lineRule="auto"/>
        <w:ind w:firstLine="540"/>
        <w:jc w:val="both"/>
      </w:pPr>
      <w:r>
        <w:rPr>
          <w:sz w:val="20"/>
        </w:rPr>
        <w:t xml:space="preserve">Типом результата предоставления субсидий является оказание услуг (выполнение работ).</w:t>
      </w:r>
    </w:p>
    <w:p>
      <w:pPr>
        <w:pStyle w:val="0"/>
        <w:spacing w:before="200" w:lineRule="auto"/>
        <w:ind w:firstLine="540"/>
        <w:jc w:val="both"/>
      </w:pPr>
      <w:r>
        <w:rPr>
          <w:sz w:val="20"/>
        </w:rPr>
        <w:t xml:space="preserve">3.8. Средства субсидий подлежат казначейскому сопровождению, за исключением субсидий, предоставляемых получателям субсидий, включенным в реестр социально ориентированных некоммерческих организаций, сформированный в соответствии с </w:t>
      </w:r>
      <w:hyperlink w:history="0" r:id="rId18"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30.07.2021 N 1290 "О реестре социально ориентированных некоммерческих организаций" (далее - реестр социально ориентированных некоммерческих организаций).</w:t>
      </w:r>
    </w:p>
    <w:p>
      <w:pPr>
        <w:pStyle w:val="0"/>
        <w:spacing w:before="200" w:lineRule="auto"/>
        <w:ind w:firstLine="540"/>
        <w:jc w:val="both"/>
      </w:pPr>
      <w:r>
        <w:rPr>
          <w:sz w:val="20"/>
        </w:rPr>
        <w:t xml:space="preserve">3.9. Перечисление субсидий осуществляется на лицевые счета для учета операций со средствами участников казначейского сопровождения, открытые получателями субсидий в министерстве финансов Кировской области, за исключением субсидий, предоставляемых получателям субсидий, включенным в реестр социально ориентированных некоммерческих организаций, в течение 30 рабочих дней после представления заявки на перечисление средств в соответствии с формой, определенной соглашениями о предоставлении субсидий, и документов, подтверждающих возникновение денежных обязательств, связанных с выполнением работ, оказанием услуг по расходам, указанным в </w:t>
      </w:r>
      <w:hyperlink w:history="0" w:anchor="P45" w:tooltip="1.5. Субсидии предоставляются получателям субсидий на финансовое обеспечение затрат, связанных с осуществлением уставной деятельности, направленной на удовлетворение интересов детей и (или) молодежи и предусмотренной учредительными документами, на осуществление следующих расходов:">
        <w:r>
          <w:rPr>
            <w:sz w:val="20"/>
            <w:color w:val="0000ff"/>
          </w:rPr>
          <w:t xml:space="preserve">пункте 1.5</w:t>
        </w:r>
      </w:hyperlink>
      <w:r>
        <w:rPr>
          <w:sz w:val="20"/>
        </w:rPr>
        <w:t xml:space="preserve"> настоящего Порядка.</w:t>
      </w:r>
    </w:p>
    <w:p>
      <w:pPr>
        <w:pStyle w:val="0"/>
        <w:spacing w:before="200" w:lineRule="auto"/>
        <w:ind w:firstLine="540"/>
        <w:jc w:val="both"/>
      </w:pPr>
      <w:r>
        <w:rPr>
          <w:sz w:val="20"/>
        </w:rPr>
        <w:t xml:space="preserve">Перечисление субсидий получателям субсидий, включенным в реестр социально ориентированных некоммерческих организаций, осуществляется на расчетный счет, открытый ими в кредитной организации, в течение 30 рабочих дней после представления получателями субсидий платежных и иных документов, подтверждающих возникновение денежных обязательств.</w:t>
      </w:r>
    </w:p>
    <w:p>
      <w:pPr>
        <w:pStyle w:val="0"/>
        <w:spacing w:before="200" w:lineRule="auto"/>
        <w:ind w:firstLine="540"/>
        <w:jc w:val="both"/>
      </w:pPr>
      <w:r>
        <w:rPr>
          <w:sz w:val="20"/>
        </w:rPr>
        <w:t xml:space="preserve">3.10. Министерство в течение 5 рабочих дней после представления получателями субсидий заявок на перечисление средств в соответствии с формой, определенной соглашениями о предоставлении субсидий, платежных и иных документов, подтверждающих возникновение денежных обязательств, осуществляет проверку представленных документов на предмет комплектности и достоверности информации, содержащейся в них, и принимает решение о перечислении субсидий получателям субсидий либо решение об отказе в перечислении субсидий получателям субсидий в соответствии с основаниями для отказа в перечислении субсидий, указанными в </w:t>
      </w:r>
      <w:hyperlink w:history="0" w:anchor="P218" w:tooltip="3.11. Основаниями для отказа в перечислении субсидий являются:">
        <w:r>
          <w:rPr>
            <w:sz w:val="20"/>
            <w:color w:val="0000ff"/>
          </w:rPr>
          <w:t xml:space="preserve">пункте 3.11</w:t>
        </w:r>
      </w:hyperlink>
      <w:r>
        <w:rPr>
          <w:sz w:val="20"/>
        </w:rPr>
        <w:t xml:space="preserve"> настоящего Порядка.</w:t>
      </w:r>
    </w:p>
    <w:p>
      <w:pPr>
        <w:pStyle w:val="0"/>
        <w:spacing w:before="200" w:lineRule="auto"/>
        <w:ind w:firstLine="540"/>
        <w:jc w:val="both"/>
      </w:pPr>
      <w:r>
        <w:rPr>
          <w:sz w:val="20"/>
        </w:rPr>
        <w:t xml:space="preserve">В случае принятия решений об отказе в перечислении субсидий министерство в течение 7 рабочих дней со дня принятия решений об отказе в перечислении субсидий по электронной почте уведомляет получателей субсидий об отказе в перечислении субсидий с указанием оснований отказа в перечислении субсидий и разъясняет порядок обжалования данных решений.</w:t>
      </w:r>
    </w:p>
    <w:bookmarkStart w:id="218" w:name="P218"/>
    <w:bookmarkEnd w:id="218"/>
    <w:p>
      <w:pPr>
        <w:pStyle w:val="0"/>
        <w:spacing w:before="200" w:lineRule="auto"/>
        <w:ind w:firstLine="540"/>
        <w:jc w:val="both"/>
      </w:pPr>
      <w:r>
        <w:rPr>
          <w:sz w:val="20"/>
        </w:rPr>
        <w:t xml:space="preserve">3.11. Основаниями для отказа в перечислении субсидий являются:</w:t>
      </w:r>
    </w:p>
    <w:p>
      <w:pPr>
        <w:pStyle w:val="0"/>
        <w:spacing w:before="200" w:lineRule="auto"/>
        <w:ind w:firstLine="540"/>
        <w:jc w:val="both"/>
      </w:pPr>
      <w:r>
        <w:rPr>
          <w:sz w:val="20"/>
        </w:rPr>
        <w:t xml:space="preserve">3.11.1. Установление факта недостоверности представленной получателем субсидии информации, содержащейся в представленных документах.</w:t>
      </w:r>
    </w:p>
    <w:p>
      <w:pPr>
        <w:pStyle w:val="0"/>
        <w:spacing w:before="200" w:lineRule="auto"/>
        <w:ind w:firstLine="540"/>
        <w:jc w:val="both"/>
      </w:pPr>
      <w:r>
        <w:rPr>
          <w:sz w:val="20"/>
        </w:rPr>
        <w:t xml:space="preserve">3.11.2. Непредставление (представление не в полном объеме) документов.</w:t>
      </w:r>
    </w:p>
    <w:p>
      <w:pPr>
        <w:pStyle w:val="0"/>
        <w:spacing w:before="200" w:lineRule="auto"/>
        <w:ind w:firstLine="540"/>
        <w:jc w:val="both"/>
      </w:pPr>
      <w:r>
        <w:rPr>
          <w:sz w:val="20"/>
        </w:rPr>
        <w:t xml:space="preserve">3.11.3. Отсутствие лимитов бюджетных обязательств на предоставление субсидий, доведенных на 2025 год в соответствии с бюджетным законодательством Российской Федерации до министерства как получателя бюджетных средств.</w:t>
      </w:r>
    </w:p>
    <w:p>
      <w:pPr>
        <w:pStyle w:val="0"/>
        <w:spacing w:before="200" w:lineRule="auto"/>
        <w:ind w:firstLine="540"/>
        <w:jc w:val="both"/>
      </w:pPr>
      <w:r>
        <w:rPr>
          <w:sz w:val="20"/>
        </w:rPr>
        <w:t xml:space="preserve">3.12. Не использованные по состоянию на 1 января 2026 года средства субсидий подлежат возврату в областной бюджет до 1 февраля 2026 года.</w:t>
      </w:r>
    </w:p>
    <w:p>
      <w:pPr>
        <w:pStyle w:val="0"/>
        <w:spacing w:before="200" w:lineRule="auto"/>
        <w:ind w:firstLine="540"/>
        <w:jc w:val="both"/>
      </w:pPr>
      <w:r>
        <w:rPr>
          <w:sz w:val="20"/>
        </w:rPr>
        <w:t xml:space="preserve">3.13. При наличии потребности неиспользованные средства субсидий могут быть возвращены в 2026 году победителям отбора, которым они были ранее предоставлены, на ту же цель в соответствии с решением министерства.</w:t>
      </w:r>
    </w:p>
    <w:p>
      <w:pPr>
        <w:pStyle w:val="0"/>
        <w:spacing w:before="200" w:lineRule="auto"/>
        <w:ind w:firstLine="540"/>
        <w:jc w:val="both"/>
      </w:pPr>
      <w:r>
        <w:rPr>
          <w:sz w:val="20"/>
        </w:rPr>
        <w:t xml:space="preserve">3.14. Решение министерства о наличии потребности получателей субсидий в не использованных по состоянию на 1 января 2026 года средствах субсидий принимается путем издания в срок до 1 марта 2026 года правового акта, согласованного с министерством финансов Кировской области.</w:t>
      </w:r>
    </w:p>
    <w:p>
      <w:pPr>
        <w:pStyle w:val="0"/>
        <w:jc w:val="both"/>
      </w:pPr>
      <w:r>
        <w:rPr>
          <w:sz w:val="20"/>
        </w:rPr>
      </w:r>
    </w:p>
    <w:p>
      <w:pPr>
        <w:pStyle w:val="2"/>
        <w:outlineLvl w:val="1"/>
        <w:ind w:firstLine="540"/>
        <w:jc w:val="both"/>
      </w:pPr>
      <w:r>
        <w:rPr>
          <w:sz w:val="20"/>
        </w:rPr>
        <w:t xml:space="preserve">4. Требования к отчетности</w:t>
      </w:r>
    </w:p>
    <w:p>
      <w:pPr>
        <w:pStyle w:val="0"/>
        <w:jc w:val="both"/>
      </w:pPr>
      <w:r>
        <w:rPr>
          <w:sz w:val="20"/>
        </w:rPr>
      </w:r>
    </w:p>
    <w:bookmarkStart w:id="228" w:name="P228"/>
    <w:bookmarkEnd w:id="228"/>
    <w:p>
      <w:pPr>
        <w:pStyle w:val="0"/>
        <w:ind w:firstLine="540"/>
        <w:jc w:val="both"/>
      </w:pPr>
      <w:r>
        <w:rPr>
          <w:sz w:val="20"/>
        </w:rPr>
        <w:t xml:space="preserve">4.1. Получатели субсидий представляют в министерство:</w:t>
      </w:r>
    </w:p>
    <w:p>
      <w:pPr>
        <w:pStyle w:val="0"/>
        <w:spacing w:before="200" w:lineRule="auto"/>
        <w:ind w:firstLine="540"/>
        <w:jc w:val="both"/>
      </w:pPr>
      <w:r>
        <w:rPr>
          <w:sz w:val="20"/>
        </w:rPr>
        <w:t xml:space="preserve">4.1.1. В срок до 5-го числа месяца, следующего за отчетным кварталом, - отчеты о расходах, источником финансового обеспечения которых являются субсидии, по форме, предусмотренной соглашениями о предоставлении субсидий.</w:t>
      </w:r>
    </w:p>
    <w:p>
      <w:pPr>
        <w:pStyle w:val="0"/>
        <w:spacing w:before="200" w:lineRule="auto"/>
        <w:ind w:firstLine="540"/>
        <w:jc w:val="both"/>
      </w:pPr>
      <w:r>
        <w:rPr>
          <w:sz w:val="20"/>
        </w:rPr>
        <w:t xml:space="preserve">4.1.2. В срок до 5-го числа месяца, следующего за отчетным кварталом, - отчет о достижении значений результатов и характеристик предоставления субсидий по форме, предусмотренной соглашениями о предоставлении субсидий.</w:t>
      </w:r>
    </w:p>
    <w:p>
      <w:pPr>
        <w:pStyle w:val="0"/>
        <w:spacing w:before="200" w:lineRule="auto"/>
        <w:ind w:firstLine="540"/>
        <w:jc w:val="both"/>
      </w:pPr>
      <w:r>
        <w:rPr>
          <w:sz w:val="20"/>
        </w:rPr>
        <w:t xml:space="preserve">4.2. Министерство в течение 5 рабочих дней со дня получения отчетов, указанных в </w:t>
      </w:r>
      <w:hyperlink w:history="0" w:anchor="P228" w:tooltip="4.1. Получатели субсидий представляют в министерство:">
        <w:r>
          <w:rPr>
            <w:sz w:val="20"/>
            <w:color w:val="0000ff"/>
          </w:rPr>
          <w:t xml:space="preserve">пункте 4.1</w:t>
        </w:r>
      </w:hyperlink>
      <w:r>
        <w:rPr>
          <w:sz w:val="20"/>
        </w:rPr>
        <w:t xml:space="preserve"> настоящего Порядка (далее - отчеты), проверяет полноту и достоверность сведений, содержащихся в отчетах.</w:t>
      </w:r>
    </w:p>
    <w:p>
      <w:pPr>
        <w:pStyle w:val="0"/>
        <w:spacing w:before="200" w:lineRule="auto"/>
        <w:ind w:firstLine="540"/>
        <w:jc w:val="both"/>
      </w:pPr>
      <w:r>
        <w:rPr>
          <w:sz w:val="20"/>
        </w:rPr>
        <w:t xml:space="preserve">4.3. В случае достаточности и достоверности сведений, содержащихся в отчетах, отчеты принимаются министерством, в случае выявления в отчетах недостоверной информации министерство принимает решение об отказе в принятии отчетов.</w:t>
      </w:r>
    </w:p>
    <w:p>
      <w:pPr>
        <w:pStyle w:val="0"/>
        <w:spacing w:before="200" w:lineRule="auto"/>
        <w:ind w:firstLine="540"/>
        <w:jc w:val="both"/>
      </w:pPr>
      <w:r>
        <w:rPr>
          <w:sz w:val="20"/>
        </w:rPr>
        <w:t xml:space="preserve">4.4. В случае принятия решения об отказе в принятии отчетов министерство в течение 3 рабочих дней со дня принятия соответствующего решения по электронной почте уведомляет получателей субсидий об отказе в принятии отчетов с указанием причин такого отказа.</w:t>
      </w:r>
    </w:p>
    <w:p>
      <w:pPr>
        <w:pStyle w:val="0"/>
        <w:spacing w:before="200" w:lineRule="auto"/>
        <w:ind w:firstLine="540"/>
        <w:jc w:val="both"/>
      </w:pPr>
      <w:r>
        <w:rPr>
          <w:sz w:val="20"/>
        </w:rPr>
        <w:t xml:space="preserve">4.5. В случае устранения замечаний, явившихся основанием для отказа в принятии отчетов, получателям субсидий в течение 2 рабочих дней со дня уведомления получателей субсидий об отказе в принятии отчетов необходимо представить в министерство уточненные отчеты.</w:t>
      </w:r>
    </w:p>
    <w:p>
      <w:pPr>
        <w:pStyle w:val="0"/>
        <w:spacing w:before="200" w:lineRule="auto"/>
        <w:ind w:firstLine="540"/>
        <w:jc w:val="both"/>
      </w:pPr>
      <w:r>
        <w:rPr>
          <w:sz w:val="20"/>
        </w:rPr>
        <w:t xml:space="preserve">4.6. Рассмотрение уточненных отчетов осуществляется министерством в течение 2 рабочих дней со дня их поступления.</w:t>
      </w:r>
    </w:p>
    <w:p>
      <w:pPr>
        <w:pStyle w:val="0"/>
        <w:jc w:val="both"/>
      </w:pPr>
      <w:r>
        <w:rPr>
          <w:sz w:val="20"/>
        </w:rPr>
      </w:r>
    </w:p>
    <w:p>
      <w:pPr>
        <w:pStyle w:val="2"/>
        <w:outlineLvl w:val="1"/>
        <w:ind w:firstLine="540"/>
        <w:jc w:val="both"/>
      </w:pPr>
      <w:r>
        <w:rPr>
          <w:sz w:val="20"/>
        </w:rPr>
        <w:t xml:space="preserve">5. Требования к осуществлению контроля (мониторинга) за соблюдением условий и порядка предоставления субсидий, ответственность за их нарушение</w:t>
      </w:r>
    </w:p>
    <w:p>
      <w:pPr>
        <w:pStyle w:val="0"/>
        <w:jc w:val="both"/>
      </w:pPr>
      <w:r>
        <w:rPr>
          <w:sz w:val="20"/>
        </w:rPr>
      </w:r>
    </w:p>
    <w:p>
      <w:pPr>
        <w:pStyle w:val="0"/>
        <w:ind w:firstLine="540"/>
        <w:jc w:val="both"/>
      </w:pPr>
      <w:r>
        <w:rPr>
          <w:sz w:val="20"/>
        </w:rPr>
        <w:t xml:space="preserve">5.1. Министерством осуществляется проверка соблюдения получателями субсидий условий и порядка предоставления субсидий, в том числе в части достижения результатов предоставления субсидий, органами государственного финансового контроля - проверка в соответствии со </w:t>
      </w:r>
      <w:hyperlink w:history="0" r:id="rId1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Министерство осуществляет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соглашениями о предоставлении субсидий, и событий, отражающих факт завершения соответствующих мероприятий по получению результатов предоставления субсидий (контрольной точки),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5.3. Руководители получателей субсидий несут ответственность в соответствии с действующим законодательством за нецелевое использование средств субсидий, за недостоверность и несвоевременность представляемых в министерство отчетов.</w:t>
      </w:r>
    </w:p>
    <w:bookmarkStart w:id="242" w:name="P242"/>
    <w:bookmarkEnd w:id="242"/>
    <w:p>
      <w:pPr>
        <w:pStyle w:val="0"/>
        <w:spacing w:before="200" w:lineRule="auto"/>
        <w:ind w:firstLine="540"/>
        <w:jc w:val="both"/>
      </w:pPr>
      <w:r>
        <w:rPr>
          <w:sz w:val="20"/>
        </w:rPr>
        <w:t xml:space="preserve">5.4. Несоблюдение и (или) нарушение получателями субсидий условий и порядка предоставления субсидий, выявленное в том числе по результатам проверки, недостижение результатов предоставления субсидии влечет за собой возврат субсидий в областной бюджет и применение к получателям субсидий мер ответственности, предусмотренных действующим законодательством Российской Федерации.</w:t>
      </w:r>
    </w:p>
    <w:p>
      <w:pPr>
        <w:pStyle w:val="0"/>
        <w:spacing w:before="200" w:lineRule="auto"/>
        <w:ind w:firstLine="540"/>
        <w:jc w:val="both"/>
      </w:pPr>
      <w:r>
        <w:rPr>
          <w:sz w:val="20"/>
        </w:rPr>
        <w:t xml:space="preserve">5.5. При выявлении нарушений, указанных в </w:t>
      </w:r>
      <w:hyperlink w:history="0" w:anchor="P242" w:tooltip="5.4. Несоблюдение и (или) нарушение получателями субсидий условий и порядка предоставления субсидий, выявленное в том числе по результатам проверки, недостижение результатов предоставления субсидии влечет за собой возврат субсидий в областной бюджет и применение к получателям субсидий мер ответственности, предусмотренных действующим законодательством Российской Федерации.">
        <w:r>
          <w:rPr>
            <w:sz w:val="20"/>
            <w:color w:val="0000ff"/>
          </w:rPr>
          <w:t xml:space="preserve">пункте 5.4</w:t>
        </w:r>
      </w:hyperlink>
      <w:r>
        <w:rPr>
          <w:sz w:val="20"/>
        </w:rPr>
        <w:t xml:space="preserve"> настоящего Порядка, министерство в течение 30 календарных дней со дня выявления указанных нарушений направляет получателям субсидий требования о возврате субсидий в областной бюджет в срок, не превышающий 30 рабочих дней с даты получения таких требований.</w:t>
      </w:r>
    </w:p>
    <w:p>
      <w:pPr>
        <w:pStyle w:val="0"/>
        <w:spacing w:before="200" w:lineRule="auto"/>
        <w:ind w:firstLine="540"/>
        <w:jc w:val="both"/>
      </w:pPr>
      <w:r>
        <w:rPr>
          <w:sz w:val="20"/>
        </w:rPr>
        <w:t xml:space="preserve">5.6. В случае невозврата субсидий получателями субсидий в областной бюджет в установленный срок министерство осуществляет подготовку исковых заявлений о взыскании субсидий в областной бюджет в судебном порядке и направляет их в течение 1-го месяца после истечения установленного срока в суд.</w:t>
      </w:r>
    </w:p>
    <w:p>
      <w:pPr>
        <w:pStyle w:val="0"/>
        <w:spacing w:before="200" w:lineRule="auto"/>
        <w:ind w:firstLine="540"/>
        <w:jc w:val="both"/>
      </w:pPr>
      <w:r>
        <w:rPr>
          <w:sz w:val="20"/>
        </w:rPr>
        <w:t xml:space="preserve">5.7. Недостижение по состоянию на 31 декабря 2025 г. получателями субсидий значений результатов предоставления субсидий, установленных соглашениями о предоставлении субсидий, влечет возврат средств субсидий в областной бюджет в объеме, рассчитанном министерством.</w:t>
      </w:r>
    </w:p>
    <w:p>
      <w:pPr>
        <w:pStyle w:val="0"/>
        <w:spacing w:before="200" w:lineRule="auto"/>
        <w:ind w:firstLine="540"/>
        <w:jc w:val="both"/>
      </w:pPr>
      <w:r>
        <w:rPr>
          <w:sz w:val="20"/>
        </w:rPr>
        <w:t xml:space="preserve">Объем средств, подлежащий возврату в 2026 году в областной бюджет (V</w:t>
      </w:r>
      <w:r>
        <w:rPr>
          <w:sz w:val="20"/>
          <w:vertAlign w:val="superscript"/>
        </w:rPr>
        <w:t xml:space="preserve">в</w:t>
      </w:r>
      <w:r>
        <w:rPr>
          <w:sz w:val="20"/>
        </w:rPr>
        <w:t xml:space="preserve">), рассчитывается по следующей формуле:</w:t>
      </w:r>
    </w:p>
    <w:p>
      <w:pPr>
        <w:pStyle w:val="0"/>
        <w:jc w:val="both"/>
      </w:pPr>
      <w:r>
        <w:rPr>
          <w:sz w:val="20"/>
        </w:rPr>
      </w:r>
    </w:p>
    <w:p>
      <w:pPr>
        <w:pStyle w:val="0"/>
        <w:jc w:val="center"/>
      </w:pPr>
      <w:r>
        <w:rPr>
          <w:position w:val="-28"/>
        </w:rPr>
        <w:drawing>
          <wp:inline distT="0" distB="0" distL="0" distR="0">
            <wp:extent cx="12477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247775"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Vс - размер субсидии, предоставленной получателю субсидии (без учета размера остатка субсидии, не использованного по состоянию на 1 января 2026 года);</w:t>
      </w:r>
    </w:p>
    <w:p>
      <w:pPr>
        <w:pStyle w:val="0"/>
        <w:spacing w:before="200" w:lineRule="auto"/>
        <w:ind w:firstLine="540"/>
        <w:jc w:val="both"/>
      </w:pPr>
      <w:r>
        <w:rPr>
          <w:sz w:val="20"/>
        </w:rPr>
        <w:t xml:space="preserve">P</w:t>
      </w:r>
      <w:r>
        <w:rPr>
          <w:sz w:val="20"/>
          <w:vertAlign w:val="subscript"/>
        </w:rPr>
        <w:t xml:space="preserve">ф</w:t>
      </w:r>
      <w:r>
        <w:rPr>
          <w:sz w:val="20"/>
        </w:rPr>
        <w:t xml:space="preserve"> - фактическое значение результата предоставления субсидии;</w:t>
      </w:r>
    </w:p>
    <w:p>
      <w:pPr>
        <w:pStyle w:val="0"/>
        <w:spacing w:before="200" w:lineRule="auto"/>
        <w:ind w:firstLine="540"/>
        <w:jc w:val="both"/>
      </w:pPr>
      <w:r>
        <w:rPr>
          <w:sz w:val="20"/>
        </w:rPr>
        <w:t xml:space="preserve">P</w:t>
      </w:r>
      <w:r>
        <w:rPr>
          <w:sz w:val="20"/>
          <w:vertAlign w:val="subscript"/>
        </w:rPr>
        <w:t xml:space="preserve">пл</w:t>
      </w:r>
      <w:r>
        <w:rPr>
          <w:sz w:val="20"/>
        </w:rPr>
        <w:t xml:space="preserve"> - плановое значение результата предоставления субсидии.</w:t>
      </w:r>
    </w:p>
    <w:p>
      <w:pPr>
        <w:pStyle w:val="0"/>
        <w:spacing w:before="200" w:lineRule="auto"/>
        <w:ind w:firstLine="540"/>
        <w:jc w:val="both"/>
      </w:pPr>
      <w:r>
        <w:rPr>
          <w:sz w:val="20"/>
        </w:rPr>
        <w:t xml:space="preserve">5.8. Министерство в срок до 1 апреля 2026 года направляет получателям субсидий требования о возврате средств в областной бюджет в срок до 1 мая 2026 года.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both"/>
      </w:pPr>
      <w:r>
        <w:rPr>
          <w:sz w:val="20"/>
        </w:rPr>
      </w:r>
    </w:p>
    <w:bookmarkStart w:id="262" w:name="P262"/>
    <w:bookmarkEnd w:id="262"/>
    <w:p>
      <w:pPr>
        <w:pStyle w:val="0"/>
        <w:jc w:val="center"/>
      </w:pPr>
      <w:r>
        <w:rPr>
          <w:sz w:val="20"/>
          <w:b w:val="on"/>
        </w:rPr>
        <w:t xml:space="preserve">ЗАЯВКА</w:t>
      </w:r>
    </w:p>
    <w:p>
      <w:pPr>
        <w:pStyle w:val="0"/>
        <w:jc w:val="both"/>
      </w:pPr>
      <w:r>
        <w:rPr>
          <w:sz w:val="20"/>
        </w:rPr>
      </w:r>
    </w:p>
    <w:p>
      <w:pPr>
        <w:pStyle w:val="0"/>
        <w:outlineLvl w:val="2"/>
        <w:ind w:firstLine="540"/>
        <w:jc w:val="both"/>
      </w:pPr>
      <w:r>
        <w:rPr>
          <w:sz w:val="20"/>
          <w:b w:val="on"/>
        </w:rPr>
        <w:t xml:space="preserve">1. Информационная карта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4592"/>
        <w:gridCol w:w="3798"/>
      </w:tblGrid>
      <w:tr>
        <w:tc>
          <w:tcPr>
            <w:tcW w:w="680" w:type="dxa"/>
          </w:tcPr>
          <w:p>
            <w:pPr>
              <w:pStyle w:val="0"/>
              <w:jc w:val="center"/>
            </w:pPr>
            <w:r>
              <w:rPr>
                <w:sz w:val="20"/>
              </w:rPr>
              <w:t xml:space="preserve">N п/п</w:t>
            </w:r>
          </w:p>
        </w:tc>
        <w:tc>
          <w:tcPr>
            <w:tcW w:w="4592" w:type="dxa"/>
          </w:tcPr>
          <w:p>
            <w:pPr>
              <w:pStyle w:val="0"/>
              <w:jc w:val="center"/>
            </w:pPr>
            <w:r>
              <w:rPr>
                <w:sz w:val="20"/>
              </w:rPr>
              <w:t xml:space="preserve">Информационные параметры деятельности молодежного или детского общественного объединения</w:t>
            </w:r>
          </w:p>
        </w:tc>
        <w:tc>
          <w:tcPr>
            <w:tcW w:w="3798" w:type="dxa"/>
          </w:tcPr>
          <w:p>
            <w:pPr>
              <w:pStyle w:val="0"/>
              <w:jc w:val="center"/>
            </w:pPr>
            <w:r>
              <w:rPr>
                <w:sz w:val="20"/>
              </w:rPr>
              <w:t xml:space="preserve">Характеристика информационных параметров</w:t>
            </w:r>
          </w:p>
        </w:tc>
      </w:tr>
      <w:tr>
        <w:tc>
          <w:tcPr>
            <w:tcW w:w="680" w:type="dxa"/>
          </w:tcPr>
          <w:p>
            <w:pPr>
              <w:pStyle w:val="0"/>
              <w:jc w:val="center"/>
            </w:pPr>
            <w:r>
              <w:rPr>
                <w:sz w:val="20"/>
              </w:rPr>
              <w:t xml:space="preserve">1.</w:t>
            </w:r>
          </w:p>
        </w:tc>
        <w:tc>
          <w:tcPr>
            <w:tcW w:w="4592" w:type="dxa"/>
          </w:tcPr>
          <w:p>
            <w:pPr>
              <w:pStyle w:val="0"/>
            </w:pPr>
            <w:r>
              <w:rPr>
                <w:sz w:val="20"/>
              </w:rPr>
              <w:t xml:space="preserve">Общие сведения</w:t>
            </w:r>
          </w:p>
        </w:tc>
        <w:tc>
          <w:tcPr>
            <w:tcW w:w="3798" w:type="dxa"/>
          </w:tcPr>
          <w:p>
            <w:pPr>
              <w:pStyle w:val="0"/>
            </w:pPr>
            <w:r>
              <w:rPr>
                <w:sz w:val="20"/>
              </w:rPr>
            </w:r>
          </w:p>
        </w:tc>
      </w:tr>
      <w:tr>
        <w:tc>
          <w:tcPr>
            <w:tcW w:w="680" w:type="dxa"/>
          </w:tcPr>
          <w:p>
            <w:pPr>
              <w:pStyle w:val="0"/>
              <w:jc w:val="center"/>
            </w:pPr>
            <w:r>
              <w:rPr>
                <w:sz w:val="20"/>
              </w:rPr>
              <w:t xml:space="preserve">1.1.</w:t>
            </w:r>
          </w:p>
        </w:tc>
        <w:tc>
          <w:tcPr>
            <w:tcW w:w="4592" w:type="dxa"/>
          </w:tcPr>
          <w:p>
            <w:pPr>
              <w:pStyle w:val="0"/>
            </w:pPr>
            <w:r>
              <w:rPr>
                <w:sz w:val="20"/>
              </w:rPr>
              <w:t xml:space="preserve">Полное наименование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1.2.</w:t>
            </w:r>
          </w:p>
        </w:tc>
        <w:tc>
          <w:tcPr>
            <w:tcW w:w="4592" w:type="dxa"/>
          </w:tcPr>
          <w:p>
            <w:pPr>
              <w:pStyle w:val="0"/>
            </w:pPr>
            <w:r>
              <w:rPr>
                <w:sz w:val="20"/>
              </w:rPr>
              <w:t xml:space="preserve">Сокращенное (если имеется) наименование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1.3.</w:t>
            </w:r>
          </w:p>
        </w:tc>
        <w:tc>
          <w:tcPr>
            <w:tcW w:w="4592" w:type="dxa"/>
          </w:tcPr>
          <w:p>
            <w:pPr>
              <w:pStyle w:val="0"/>
            </w:pPr>
            <w:r>
              <w:rPr>
                <w:sz w:val="20"/>
              </w:rPr>
              <w:t xml:space="preserve">Адрес (местонахождение) постоянно действующего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1.4.</w:t>
            </w:r>
          </w:p>
        </w:tc>
        <w:tc>
          <w:tcPr>
            <w:tcW w:w="4592" w:type="dxa"/>
          </w:tcPr>
          <w:p>
            <w:pPr>
              <w:pStyle w:val="0"/>
            </w:pPr>
            <w:r>
              <w:rPr>
                <w:sz w:val="20"/>
              </w:rPr>
              <w:t xml:space="preserve">Дата создания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1.5.</w:t>
            </w:r>
          </w:p>
        </w:tc>
        <w:tc>
          <w:tcPr>
            <w:tcW w:w="4592" w:type="dxa"/>
          </w:tcPr>
          <w:p>
            <w:pPr>
              <w:pStyle w:val="0"/>
            </w:pPr>
            <w:r>
              <w:rPr>
                <w:sz w:val="20"/>
              </w:rPr>
              <w:t xml:space="preserve">Государственный регистрационный номер записи о государственной регистрации (основной регистрационный номер)</w:t>
            </w:r>
          </w:p>
        </w:tc>
        <w:tc>
          <w:tcPr>
            <w:tcW w:w="3798" w:type="dxa"/>
          </w:tcPr>
          <w:p>
            <w:pPr>
              <w:pStyle w:val="0"/>
            </w:pPr>
            <w:r>
              <w:rPr>
                <w:sz w:val="20"/>
              </w:rPr>
            </w:r>
          </w:p>
        </w:tc>
      </w:tr>
      <w:tr>
        <w:tc>
          <w:tcPr>
            <w:tcW w:w="680" w:type="dxa"/>
          </w:tcPr>
          <w:p>
            <w:pPr>
              <w:pStyle w:val="0"/>
              <w:jc w:val="center"/>
            </w:pPr>
            <w:r>
              <w:rPr>
                <w:sz w:val="20"/>
              </w:rPr>
              <w:t xml:space="preserve">1.6.</w:t>
            </w:r>
          </w:p>
        </w:tc>
        <w:tc>
          <w:tcPr>
            <w:tcW w:w="4592" w:type="dxa"/>
          </w:tcPr>
          <w:p>
            <w:pPr>
              <w:pStyle w:val="0"/>
            </w:pPr>
            <w:r>
              <w:rPr>
                <w:sz w:val="20"/>
              </w:rPr>
              <w:t xml:space="preserve">Идентификационный номер налогоплательщика, код причины постановки на учет (ИНН, КПП)</w:t>
            </w:r>
          </w:p>
        </w:tc>
        <w:tc>
          <w:tcPr>
            <w:tcW w:w="3798" w:type="dxa"/>
          </w:tcPr>
          <w:p>
            <w:pPr>
              <w:pStyle w:val="0"/>
            </w:pPr>
            <w:r>
              <w:rPr>
                <w:sz w:val="20"/>
              </w:rPr>
            </w:r>
          </w:p>
        </w:tc>
      </w:tr>
      <w:tr>
        <w:tc>
          <w:tcPr>
            <w:tcW w:w="680" w:type="dxa"/>
          </w:tcPr>
          <w:p>
            <w:pPr>
              <w:pStyle w:val="0"/>
              <w:jc w:val="center"/>
            </w:pPr>
            <w:r>
              <w:rPr>
                <w:sz w:val="20"/>
              </w:rPr>
              <w:t xml:space="preserve">1.7.</w:t>
            </w:r>
          </w:p>
        </w:tc>
        <w:tc>
          <w:tcPr>
            <w:tcW w:w="4592" w:type="dxa"/>
          </w:tcPr>
          <w:p>
            <w:pPr>
              <w:pStyle w:val="0"/>
            </w:pPr>
            <w:r>
              <w:rPr>
                <w:sz w:val="20"/>
              </w:rPr>
              <w:t xml:space="preserve">Ф.И.О. руководителя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1.8.</w:t>
            </w:r>
          </w:p>
        </w:tc>
        <w:tc>
          <w:tcPr>
            <w:tcW w:w="4592" w:type="dxa"/>
          </w:tcPr>
          <w:p>
            <w:pPr>
              <w:pStyle w:val="0"/>
            </w:pPr>
            <w:r>
              <w:rPr>
                <w:sz w:val="20"/>
              </w:rPr>
              <w:t xml:space="preserve">Контактная информация молодежного или детского общественного объединения (электронная почта, номер телефона, контактный номер телефона руководителя)</w:t>
            </w:r>
          </w:p>
        </w:tc>
        <w:tc>
          <w:tcPr>
            <w:tcW w:w="3798" w:type="dxa"/>
          </w:tcPr>
          <w:p>
            <w:pPr>
              <w:pStyle w:val="0"/>
            </w:pPr>
            <w:r>
              <w:rPr>
                <w:sz w:val="20"/>
              </w:rPr>
            </w:r>
          </w:p>
        </w:tc>
      </w:tr>
      <w:tr>
        <w:tc>
          <w:tcPr>
            <w:tcW w:w="680" w:type="dxa"/>
            <w:vMerge w:val="restart"/>
          </w:tcPr>
          <w:p>
            <w:pPr>
              <w:pStyle w:val="0"/>
              <w:jc w:val="center"/>
            </w:pPr>
            <w:r>
              <w:rPr>
                <w:sz w:val="20"/>
              </w:rPr>
              <w:t xml:space="preserve">2.</w:t>
            </w:r>
          </w:p>
        </w:tc>
        <w:tc>
          <w:tcPr>
            <w:tcW w:w="4592" w:type="dxa"/>
          </w:tcPr>
          <w:p>
            <w:pPr>
              <w:pStyle w:val="0"/>
            </w:pPr>
            <w:r>
              <w:rPr>
                <w:sz w:val="20"/>
              </w:rPr>
              <w:t xml:space="preserve">Общий численный состав членов (участников) молодежного или детского общественного объединения, человек</w:t>
            </w:r>
          </w:p>
        </w:tc>
        <w:tc>
          <w:tcPr>
            <w:tcW w:w="3798" w:type="dxa"/>
          </w:tcPr>
          <w:p>
            <w:pPr>
              <w:pStyle w:val="0"/>
            </w:pPr>
            <w:r>
              <w:rPr>
                <w:sz w:val="20"/>
              </w:rPr>
            </w:r>
          </w:p>
        </w:tc>
      </w:tr>
      <w:tr>
        <w:tc>
          <w:tcPr>
            <w:vMerge w:val="continue"/>
          </w:tcPr>
          <w:p/>
        </w:tc>
        <w:tc>
          <w:tcPr>
            <w:tcW w:w="4592" w:type="dxa"/>
          </w:tcPr>
          <w:p>
            <w:pPr>
              <w:pStyle w:val="0"/>
            </w:pPr>
            <w:r>
              <w:rPr>
                <w:sz w:val="20"/>
              </w:rPr>
              <w:t xml:space="preserve">Молодые граждане в возрасте от 14 до 35 лет - для молодежных общественных объединений или молодые граждане в возрасте до 18 лет - для детских общественных объединений, человек</w:t>
            </w:r>
          </w:p>
        </w:tc>
        <w:tc>
          <w:tcPr>
            <w:tcW w:w="3798" w:type="dxa"/>
          </w:tcPr>
          <w:p>
            <w:pPr>
              <w:pStyle w:val="0"/>
            </w:pPr>
            <w:r>
              <w:rPr>
                <w:sz w:val="20"/>
              </w:rPr>
            </w:r>
          </w:p>
        </w:tc>
      </w:tr>
      <w:tr>
        <w:tc>
          <w:tcPr>
            <w:vMerge w:val="continue"/>
          </w:tcPr>
          <w:p/>
        </w:tc>
        <w:tc>
          <w:tcPr>
            <w:tcW w:w="4592" w:type="dxa"/>
          </w:tcPr>
          <w:p>
            <w:pPr>
              <w:pStyle w:val="0"/>
            </w:pPr>
            <w:r>
              <w:rPr>
                <w:sz w:val="20"/>
              </w:rPr>
              <w:t xml:space="preserve">Доля молодых граждан от общего количества членов (участников) общественного объединения в возрасте от 14 до 35 лет - для молодежных объединений или в возрасте до 18 лет - для детских общественных объединений, %</w:t>
            </w:r>
          </w:p>
        </w:tc>
        <w:tc>
          <w:tcPr>
            <w:tcW w:w="3798" w:type="dxa"/>
          </w:tcPr>
          <w:p>
            <w:pPr>
              <w:pStyle w:val="0"/>
            </w:pPr>
            <w:r>
              <w:rPr>
                <w:sz w:val="20"/>
              </w:rPr>
            </w:r>
          </w:p>
        </w:tc>
      </w:tr>
      <w:tr>
        <w:tc>
          <w:tcPr>
            <w:vMerge w:val="continue"/>
          </w:tcPr>
          <w:p/>
        </w:tc>
        <w:tc>
          <w:tcPr>
            <w:tcW w:w="4592" w:type="dxa"/>
          </w:tcPr>
          <w:p>
            <w:pPr>
              <w:pStyle w:val="0"/>
            </w:pPr>
            <w:r>
              <w:rPr>
                <w:sz w:val="20"/>
              </w:rPr>
              <w:t xml:space="preserve">Молодые граждане в возрасте старше 35 лет - для молодежных общественных объединений или молодые граждане в возрасте старше 18 лет - для детских общественных объединений, человек</w:t>
            </w:r>
          </w:p>
        </w:tc>
        <w:tc>
          <w:tcPr>
            <w:tcW w:w="3798" w:type="dxa"/>
          </w:tcPr>
          <w:p>
            <w:pPr>
              <w:pStyle w:val="0"/>
            </w:pPr>
            <w:r>
              <w:rPr>
                <w:sz w:val="20"/>
              </w:rPr>
            </w:r>
          </w:p>
        </w:tc>
      </w:tr>
      <w:tr>
        <w:tc>
          <w:tcPr>
            <w:vMerge w:val="continue"/>
          </w:tcPr>
          <w:p/>
        </w:tc>
        <w:tc>
          <w:tcPr>
            <w:tcW w:w="4592" w:type="dxa"/>
          </w:tcPr>
          <w:p>
            <w:pPr>
              <w:pStyle w:val="0"/>
            </w:pPr>
            <w:r>
              <w:rPr>
                <w:sz w:val="20"/>
              </w:rPr>
              <w:t xml:space="preserve">Доля молодых граждан от общего количества членов (участников) общественного объединения в возрасте старше 35 лет - для молодежных объединений или в возрасте старше 18 лет - для детских общественных объединений, %</w:t>
            </w:r>
          </w:p>
        </w:tc>
        <w:tc>
          <w:tcPr>
            <w:tcW w:w="3798" w:type="dxa"/>
          </w:tcPr>
          <w:p>
            <w:pPr>
              <w:pStyle w:val="0"/>
            </w:pPr>
            <w:r>
              <w:rPr>
                <w:sz w:val="20"/>
              </w:rPr>
            </w:r>
          </w:p>
        </w:tc>
      </w:tr>
      <w:tr>
        <w:tc>
          <w:tcPr>
            <w:tcW w:w="680" w:type="dxa"/>
          </w:tcPr>
          <w:p>
            <w:pPr>
              <w:pStyle w:val="0"/>
              <w:jc w:val="center"/>
            </w:pPr>
            <w:r>
              <w:rPr>
                <w:sz w:val="20"/>
              </w:rPr>
              <w:t xml:space="preserve">3.</w:t>
            </w:r>
          </w:p>
        </w:tc>
        <w:tc>
          <w:tcPr>
            <w:tcW w:w="4592" w:type="dxa"/>
          </w:tcPr>
          <w:p>
            <w:pPr>
              <w:pStyle w:val="0"/>
            </w:pPr>
            <w:r>
              <w:rPr>
                <w:sz w:val="20"/>
              </w:rPr>
              <w:t xml:space="preserve">Направления деятельности</w:t>
            </w:r>
          </w:p>
        </w:tc>
        <w:tc>
          <w:tcPr>
            <w:tcW w:w="3798" w:type="dxa"/>
          </w:tcPr>
          <w:p>
            <w:pPr>
              <w:pStyle w:val="0"/>
            </w:pPr>
            <w:r>
              <w:rPr>
                <w:sz w:val="20"/>
              </w:rPr>
            </w:r>
          </w:p>
        </w:tc>
      </w:tr>
      <w:tr>
        <w:tc>
          <w:tcPr>
            <w:tcW w:w="680" w:type="dxa"/>
          </w:tcPr>
          <w:p>
            <w:pPr>
              <w:pStyle w:val="0"/>
              <w:jc w:val="center"/>
            </w:pPr>
            <w:r>
              <w:rPr>
                <w:sz w:val="20"/>
              </w:rPr>
              <w:t xml:space="preserve">3.1.</w:t>
            </w:r>
          </w:p>
        </w:tc>
        <w:tc>
          <w:tcPr>
            <w:tcW w:w="4592" w:type="dxa"/>
          </w:tcPr>
          <w:p>
            <w:pPr>
              <w:pStyle w:val="0"/>
            </w:pPr>
            <w:r>
              <w:rPr>
                <w:sz w:val="20"/>
              </w:rPr>
              <w:t xml:space="preserve">Уставная цель (уставные цели) молодежного или детского общественного объединения</w:t>
            </w:r>
          </w:p>
        </w:tc>
        <w:tc>
          <w:tcPr>
            <w:tcW w:w="3798" w:type="dxa"/>
          </w:tcPr>
          <w:p>
            <w:pPr>
              <w:pStyle w:val="0"/>
            </w:pPr>
            <w:r>
              <w:rPr>
                <w:sz w:val="20"/>
              </w:rPr>
            </w:r>
          </w:p>
        </w:tc>
      </w:tr>
      <w:tr>
        <w:tc>
          <w:tcPr>
            <w:tcW w:w="680" w:type="dxa"/>
          </w:tcPr>
          <w:p>
            <w:pPr>
              <w:pStyle w:val="0"/>
              <w:jc w:val="center"/>
            </w:pPr>
            <w:r>
              <w:rPr>
                <w:sz w:val="20"/>
              </w:rPr>
              <w:t xml:space="preserve">3.2.</w:t>
            </w:r>
          </w:p>
        </w:tc>
        <w:tc>
          <w:tcPr>
            <w:tcW w:w="4592" w:type="dxa"/>
          </w:tcPr>
          <w:p>
            <w:pPr>
              <w:pStyle w:val="0"/>
            </w:pPr>
            <w:r>
              <w:rPr>
                <w:sz w:val="20"/>
              </w:rPr>
              <w:t xml:space="preserve">Информация о видах деятельности, осуществляемых молодежным или детским общественным объединением</w:t>
            </w:r>
          </w:p>
        </w:tc>
        <w:tc>
          <w:tcPr>
            <w:tcW w:w="3798" w:type="dxa"/>
          </w:tcPr>
          <w:p>
            <w:pPr>
              <w:pStyle w:val="0"/>
            </w:pPr>
            <w:r>
              <w:rPr>
                <w:sz w:val="20"/>
              </w:rPr>
            </w:r>
          </w:p>
        </w:tc>
      </w:tr>
      <w:tr>
        <w:tc>
          <w:tcPr>
            <w:tcW w:w="680" w:type="dxa"/>
          </w:tcPr>
          <w:p>
            <w:pPr>
              <w:pStyle w:val="0"/>
              <w:jc w:val="center"/>
            </w:pPr>
            <w:r>
              <w:rPr>
                <w:sz w:val="20"/>
              </w:rPr>
              <w:t xml:space="preserve">3.3.</w:t>
            </w:r>
          </w:p>
        </w:tc>
        <w:tc>
          <w:tcPr>
            <w:tcW w:w="4592" w:type="dxa"/>
          </w:tcPr>
          <w:p>
            <w:pPr>
              <w:pStyle w:val="0"/>
            </w:pPr>
            <w:r>
              <w:rPr>
                <w:sz w:val="20"/>
              </w:rPr>
              <w:t xml:space="preserve">Количество структурных подразделений молодежного или детского общественного объединения, имеющихся в муниципальных образованиях Кировской области</w:t>
            </w:r>
          </w:p>
        </w:tc>
        <w:tc>
          <w:tcPr>
            <w:tcW w:w="3798" w:type="dxa"/>
          </w:tcPr>
          <w:p>
            <w:pPr>
              <w:pStyle w:val="0"/>
            </w:pPr>
            <w:r>
              <w:rPr>
                <w:sz w:val="20"/>
              </w:rPr>
            </w:r>
          </w:p>
        </w:tc>
      </w:tr>
    </w:tbl>
    <w:p>
      <w:pPr>
        <w:pStyle w:val="0"/>
        <w:jc w:val="both"/>
      </w:pPr>
      <w:r>
        <w:rPr>
          <w:sz w:val="20"/>
        </w:rPr>
      </w:r>
    </w:p>
    <w:p>
      <w:pPr>
        <w:pStyle w:val="0"/>
        <w:outlineLvl w:val="2"/>
        <w:ind w:firstLine="540"/>
        <w:jc w:val="both"/>
      </w:pPr>
      <w:r>
        <w:rPr>
          <w:sz w:val="20"/>
          <w:b w:val="on"/>
        </w:rPr>
        <w:t xml:space="preserve">2. Расчет объема средств на осуществление уставной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628"/>
        <w:gridCol w:w="1871"/>
        <w:gridCol w:w="2891"/>
      </w:tblGrid>
      <w:tr>
        <w:tc>
          <w:tcPr>
            <w:tcW w:w="680" w:type="dxa"/>
          </w:tcPr>
          <w:p>
            <w:pPr>
              <w:pStyle w:val="0"/>
              <w:jc w:val="center"/>
            </w:pPr>
            <w:r>
              <w:rPr>
                <w:sz w:val="20"/>
              </w:rPr>
              <w:t xml:space="preserve">N п/п</w:t>
            </w:r>
          </w:p>
        </w:tc>
        <w:tc>
          <w:tcPr>
            <w:tcW w:w="3628" w:type="dxa"/>
          </w:tcPr>
          <w:p>
            <w:pPr>
              <w:pStyle w:val="0"/>
              <w:jc w:val="center"/>
            </w:pPr>
            <w:r>
              <w:rPr>
                <w:sz w:val="20"/>
              </w:rPr>
              <w:t xml:space="preserve">Наименование расходов</w:t>
            </w:r>
          </w:p>
        </w:tc>
        <w:tc>
          <w:tcPr>
            <w:tcW w:w="1871" w:type="dxa"/>
          </w:tcPr>
          <w:p>
            <w:pPr>
              <w:pStyle w:val="0"/>
              <w:jc w:val="center"/>
            </w:pPr>
            <w:r>
              <w:rPr>
                <w:sz w:val="20"/>
              </w:rPr>
              <w:t xml:space="preserve">Объем средств, рублей</w:t>
            </w:r>
          </w:p>
        </w:tc>
        <w:tc>
          <w:tcPr>
            <w:tcW w:w="2891" w:type="dxa"/>
          </w:tcPr>
          <w:p>
            <w:pPr>
              <w:pStyle w:val="0"/>
              <w:jc w:val="center"/>
            </w:pPr>
            <w:r>
              <w:rPr>
                <w:sz w:val="20"/>
              </w:rPr>
              <w:t xml:space="preserve">Информация, обосновывающая размер расходов</w:t>
            </w:r>
          </w:p>
        </w:tc>
      </w:tr>
      <w:tr>
        <w:tc>
          <w:tcPr>
            <w:tcW w:w="680" w:type="dxa"/>
          </w:tcPr>
          <w:bookmarkStart w:id="326" w:name="P326"/>
          <w:bookmarkEnd w:id="326"/>
          <w:p>
            <w:pPr>
              <w:pStyle w:val="0"/>
              <w:jc w:val="center"/>
            </w:pPr>
            <w:r>
              <w:rPr>
                <w:sz w:val="20"/>
              </w:rPr>
              <w:t xml:space="preserve">1.</w:t>
            </w:r>
          </w:p>
        </w:tc>
        <w:tc>
          <w:tcPr>
            <w:tcW w:w="3628" w:type="dxa"/>
          </w:tcPr>
          <w:p>
            <w:pPr>
              <w:pStyle w:val="0"/>
            </w:pPr>
            <w:r>
              <w:rPr>
                <w:sz w:val="20"/>
              </w:rPr>
              <w:t xml:space="preserve">Расходы на оплату труда сотрудников с начислениями (за исключением руководителя получателя субсидии)</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1.1.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1.2.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38" w:name="P338"/>
          <w:bookmarkEnd w:id="338"/>
          <w:p>
            <w:pPr>
              <w:pStyle w:val="0"/>
              <w:jc w:val="center"/>
            </w:pPr>
            <w:r>
              <w:rPr>
                <w:sz w:val="20"/>
              </w:rPr>
              <w:t xml:space="preserve">2.</w:t>
            </w:r>
          </w:p>
        </w:tc>
        <w:tc>
          <w:tcPr>
            <w:tcW w:w="3628" w:type="dxa"/>
          </w:tcPr>
          <w:p>
            <w:pPr>
              <w:pStyle w:val="0"/>
            </w:pPr>
            <w:r>
              <w:rPr>
                <w:sz w:val="20"/>
              </w:rPr>
              <w:t xml:space="preserve">Расходы на оплату коммунальных услуг, ремонт и обслуживание компьютерной и организационной техники, расходы на горюче-смазочные материалы и обслуживание транспортных средств</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2.1.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2.2.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50" w:name="P350"/>
          <w:bookmarkEnd w:id="350"/>
          <w:p>
            <w:pPr>
              <w:pStyle w:val="0"/>
              <w:jc w:val="center"/>
            </w:pPr>
            <w:r>
              <w:rPr>
                <w:sz w:val="20"/>
              </w:rPr>
              <w:t xml:space="preserve">3.</w:t>
            </w:r>
          </w:p>
        </w:tc>
        <w:tc>
          <w:tcPr>
            <w:tcW w:w="3628" w:type="dxa"/>
          </w:tcPr>
          <w:p>
            <w:pPr>
              <w:pStyle w:val="0"/>
            </w:pPr>
            <w:r>
              <w:rPr>
                <w:sz w:val="20"/>
              </w:rPr>
              <w:t xml:space="preserve">Расходы на аренду и (или) страхование помещений, транспортных и технических средств, а также звукового, светового, мультимедийного, коммуникативного и декорационно-постановочного оборудования, необходимого для осуществления уставной деятельности, в том числе для проведения мероприятий</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3.1.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3.2.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62" w:name="P362"/>
          <w:bookmarkEnd w:id="362"/>
          <w:p>
            <w:pPr>
              <w:pStyle w:val="0"/>
              <w:jc w:val="center"/>
            </w:pPr>
            <w:r>
              <w:rPr>
                <w:sz w:val="20"/>
              </w:rPr>
              <w:t xml:space="preserve">4.</w:t>
            </w:r>
          </w:p>
        </w:tc>
        <w:tc>
          <w:tcPr>
            <w:tcW w:w="3628" w:type="dxa"/>
          </w:tcPr>
          <w:p>
            <w:pPr>
              <w:pStyle w:val="0"/>
            </w:pPr>
            <w:r>
              <w:rPr>
                <w:sz w:val="20"/>
              </w:rPr>
              <w:t xml:space="preserve">Расходы на оплату юридических, образовательных, аудиторских, бухгалтерских, нотариальных, банковских и информационно-консультационных услуг, услуг по поддержке и обновлению правовых баз данных у получателей субсидии, приобретение лицензионного программного обеспечения и оплату лицензии</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4.1.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4.2.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74" w:name="P374"/>
          <w:bookmarkEnd w:id="374"/>
          <w:p>
            <w:pPr>
              <w:pStyle w:val="0"/>
              <w:jc w:val="center"/>
            </w:pPr>
            <w:r>
              <w:rPr>
                <w:sz w:val="20"/>
              </w:rPr>
              <w:t xml:space="preserve">5.</w:t>
            </w:r>
          </w:p>
        </w:tc>
        <w:tc>
          <w:tcPr>
            <w:tcW w:w="3628" w:type="dxa"/>
          </w:tcPr>
          <w:p>
            <w:pPr>
              <w:pStyle w:val="0"/>
            </w:pPr>
            <w:r>
              <w:rPr>
                <w:sz w:val="20"/>
              </w:rPr>
              <w:t xml:space="preserve">Расходы на оплату услуг по созданию, графическому оформлению и подготовке макетов информационных и справочных материалов и методической литературы, необходимой для осуществления уставной деятельности</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5.1.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5.2.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86" w:name="P386"/>
          <w:bookmarkEnd w:id="386"/>
          <w:p>
            <w:pPr>
              <w:pStyle w:val="0"/>
              <w:jc w:val="center"/>
            </w:pPr>
            <w:r>
              <w:rPr>
                <w:sz w:val="20"/>
              </w:rPr>
              <w:t xml:space="preserve">6.</w:t>
            </w:r>
          </w:p>
        </w:tc>
        <w:tc>
          <w:tcPr>
            <w:tcW w:w="3628" w:type="dxa"/>
          </w:tcPr>
          <w:p>
            <w:pPr>
              <w:pStyle w:val="0"/>
            </w:pPr>
            <w:r>
              <w:rPr>
                <w:sz w:val="20"/>
              </w:rPr>
              <w:t xml:space="preserve">Расходы на оплату услуг связи (почты, телефона, информационно-телекоммуникационной сети "Интернет", телематических услуг связи)</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6.1.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6.2.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398" w:name="P398"/>
          <w:bookmarkEnd w:id="398"/>
          <w:p>
            <w:pPr>
              <w:pStyle w:val="0"/>
              <w:jc w:val="center"/>
            </w:pPr>
            <w:r>
              <w:rPr>
                <w:sz w:val="20"/>
              </w:rPr>
              <w:t xml:space="preserve">7.</w:t>
            </w:r>
          </w:p>
        </w:tc>
        <w:tc>
          <w:tcPr>
            <w:tcW w:w="3628" w:type="dxa"/>
          </w:tcPr>
          <w:p>
            <w:pPr>
              <w:pStyle w:val="0"/>
            </w:pPr>
            <w:r>
              <w:rPr>
                <w:sz w:val="20"/>
              </w:rPr>
              <w:t xml:space="preserve">Расходы на оплату услуг по созданию и изготовлению рекламных материалов для размещения социальной рекламы</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7.1.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7.2.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bookmarkStart w:id="410" w:name="P410"/>
          <w:bookmarkEnd w:id="410"/>
          <w:p>
            <w:pPr>
              <w:pStyle w:val="0"/>
              <w:jc w:val="center"/>
            </w:pPr>
            <w:r>
              <w:rPr>
                <w:sz w:val="20"/>
              </w:rPr>
              <w:t xml:space="preserve">8.</w:t>
            </w:r>
          </w:p>
        </w:tc>
        <w:tc>
          <w:tcPr>
            <w:tcW w:w="3628" w:type="dxa"/>
          </w:tcPr>
          <w:p>
            <w:pPr>
              <w:pStyle w:val="0"/>
            </w:pPr>
            <w:r>
              <w:rPr>
                <w:sz w:val="20"/>
              </w:rPr>
              <w:t xml:space="preserve">Расходы на оплату услуг по созданию и обслуживанию интернет-сайтов, трафика, хостинга и расходов по техническому поддержанию сайтов получателей субсидии, администрированию в информационно-телекоммуникационной сети "Интернет", а также СММ-услуг, направленных на продвижение информации о получателе субсидий в социальных сетях</w:t>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8.1.</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jc w:val="center"/>
            </w:pPr>
            <w:r>
              <w:rPr>
                <w:sz w:val="20"/>
              </w:rPr>
              <w:t xml:space="preserve">8.2.</w:t>
            </w:r>
          </w:p>
        </w:tc>
        <w:tc>
          <w:tcPr>
            <w:tcW w:w="3628" w:type="dxa"/>
          </w:tcPr>
          <w:p>
            <w:pPr>
              <w:pStyle w:val="0"/>
            </w:pPr>
            <w:r>
              <w:rPr>
                <w:sz w:val="20"/>
              </w:rPr>
            </w:r>
          </w:p>
        </w:tc>
        <w:tc>
          <w:tcPr>
            <w:tcW w:w="1871" w:type="dxa"/>
          </w:tcPr>
          <w:p>
            <w:pPr>
              <w:pStyle w:val="0"/>
            </w:pPr>
            <w:r>
              <w:rPr>
                <w:sz w:val="20"/>
              </w:rPr>
            </w:r>
          </w:p>
        </w:tc>
        <w:tc>
          <w:tcPr>
            <w:tcW w:w="2891" w:type="dxa"/>
          </w:tcPr>
          <w:p>
            <w:pPr>
              <w:pStyle w:val="0"/>
            </w:pPr>
            <w:r>
              <w:rPr>
                <w:sz w:val="20"/>
              </w:rPr>
            </w:r>
          </w:p>
        </w:tc>
      </w:tr>
      <w:tr>
        <w:tc>
          <w:tcPr>
            <w:tcW w:w="680" w:type="dxa"/>
          </w:tcPr>
          <w:p>
            <w:pPr>
              <w:pStyle w:val="0"/>
            </w:pPr>
            <w:r>
              <w:rPr>
                <w:sz w:val="20"/>
              </w:rPr>
            </w:r>
          </w:p>
        </w:tc>
        <w:tc>
          <w:tcPr>
            <w:tcW w:w="3628" w:type="dxa"/>
          </w:tcPr>
          <w:p>
            <w:pPr>
              <w:pStyle w:val="0"/>
            </w:pPr>
            <w:r>
              <w:rPr>
                <w:sz w:val="20"/>
              </w:rPr>
              <w:t xml:space="preserve">Итого расходов (</w:t>
            </w:r>
            <w:hyperlink w:history="0" w:anchor="P326" w:tooltip="1.">
              <w:r>
                <w:rPr>
                  <w:sz w:val="20"/>
                  <w:color w:val="0000ff"/>
                </w:rPr>
                <w:t xml:space="preserve">строка 1</w:t>
              </w:r>
            </w:hyperlink>
            <w:r>
              <w:rPr>
                <w:sz w:val="20"/>
              </w:rPr>
              <w:t xml:space="preserve"> + </w:t>
            </w:r>
            <w:hyperlink w:history="0" w:anchor="P338" w:tooltip="2.">
              <w:r>
                <w:rPr>
                  <w:sz w:val="20"/>
                  <w:color w:val="0000ff"/>
                </w:rPr>
                <w:t xml:space="preserve">строка 2</w:t>
              </w:r>
            </w:hyperlink>
            <w:r>
              <w:rPr>
                <w:sz w:val="20"/>
              </w:rPr>
              <w:t xml:space="preserve"> + </w:t>
            </w:r>
            <w:hyperlink w:history="0" w:anchor="P350" w:tooltip="3.">
              <w:r>
                <w:rPr>
                  <w:sz w:val="20"/>
                  <w:color w:val="0000ff"/>
                </w:rPr>
                <w:t xml:space="preserve">строка 3</w:t>
              </w:r>
            </w:hyperlink>
            <w:r>
              <w:rPr>
                <w:sz w:val="20"/>
              </w:rPr>
              <w:t xml:space="preserve"> + </w:t>
            </w:r>
            <w:hyperlink w:history="0" w:anchor="P362" w:tooltip="4.">
              <w:r>
                <w:rPr>
                  <w:sz w:val="20"/>
                  <w:color w:val="0000ff"/>
                </w:rPr>
                <w:t xml:space="preserve">строка 4</w:t>
              </w:r>
            </w:hyperlink>
            <w:r>
              <w:rPr>
                <w:sz w:val="20"/>
              </w:rPr>
              <w:t xml:space="preserve"> + </w:t>
            </w:r>
            <w:hyperlink w:history="0" w:anchor="P374" w:tooltip="5.">
              <w:r>
                <w:rPr>
                  <w:sz w:val="20"/>
                  <w:color w:val="0000ff"/>
                </w:rPr>
                <w:t xml:space="preserve">строка 5</w:t>
              </w:r>
            </w:hyperlink>
            <w:r>
              <w:rPr>
                <w:sz w:val="20"/>
              </w:rPr>
              <w:t xml:space="preserve"> + </w:t>
            </w:r>
            <w:hyperlink w:history="0" w:anchor="P386" w:tooltip="6.">
              <w:r>
                <w:rPr>
                  <w:sz w:val="20"/>
                  <w:color w:val="0000ff"/>
                </w:rPr>
                <w:t xml:space="preserve">строка 6</w:t>
              </w:r>
            </w:hyperlink>
            <w:r>
              <w:rPr>
                <w:sz w:val="20"/>
              </w:rPr>
              <w:t xml:space="preserve"> + </w:t>
            </w:r>
            <w:hyperlink w:history="0" w:anchor="P398" w:tooltip="7.">
              <w:r>
                <w:rPr>
                  <w:sz w:val="20"/>
                  <w:color w:val="0000ff"/>
                </w:rPr>
                <w:t xml:space="preserve">строка 7</w:t>
              </w:r>
            </w:hyperlink>
            <w:r>
              <w:rPr>
                <w:sz w:val="20"/>
              </w:rPr>
              <w:t xml:space="preserve"> + </w:t>
            </w:r>
            <w:hyperlink w:history="0" w:anchor="P410" w:tooltip="8.">
              <w:r>
                <w:rPr>
                  <w:sz w:val="20"/>
                  <w:color w:val="0000ff"/>
                </w:rPr>
                <w:t xml:space="preserve">строка 8</w:t>
              </w:r>
            </w:hyperlink>
            <w:r>
              <w:rPr>
                <w:sz w:val="20"/>
              </w:rPr>
              <w:t xml:space="preserve">)</w:t>
            </w:r>
          </w:p>
        </w:tc>
        <w:tc>
          <w:tcPr>
            <w:tcW w:w="1871" w:type="dxa"/>
          </w:tcPr>
          <w:p>
            <w:pPr>
              <w:pStyle w:val="0"/>
            </w:pPr>
            <w:r>
              <w:rPr>
                <w:sz w:val="20"/>
              </w:rPr>
            </w:r>
          </w:p>
        </w:tc>
        <w:tc>
          <w:tcPr>
            <w:tcW w:w="2891" w:type="dxa"/>
          </w:tcPr>
          <w:p>
            <w:pPr>
              <w:pStyle w:val="0"/>
            </w:pPr>
            <w:r>
              <w:rPr>
                <w:sz w:val="20"/>
              </w:rPr>
            </w:r>
          </w:p>
        </w:tc>
      </w:tr>
    </w:tbl>
    <w:p>
      <w:pPr>
        <w:pStyle w:val="0"/>
        <w:jc w:val="both"/>
      </w:pPr>
      <w:r>
        <w:rPr>
          <w:sz w:val="20"/>
        </w:rPr>
      </w:r>
    </w:p>
    <w:p>
      <w:pPr>
        <w:pStyle w:val="0"/>
        <w:outlineLvl w:val="2"/>
        <w:ind w:firstLine="540"/>
        <w:jc w:val="both"/>
      </w:pPr>
      <w:r>
        <w:rPr>
          <w:sz w:val="20"/>
          <w:b w:val="on"/>
        </w:rPr>
        <w:t xml:space="preserve">3. План мероприятий на осуществление уставной деятельности, направленной на удовлетворение интересов детей и (или) молодежи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757"/>
        <w:gridCol w:w="1324"/>
        <w:gridCol w:w="1498"/>
        <w:gridCol w:w="1138"/>
        <w:gridCol w:w="1304"/>
        <w:gridCol w:w="1361"/>
      </w:tblGrid>
      <w:tr>
        <w:tc>
          <w:tcPr>
            <w:tcW w:w="680" w:type="dxa"/>
            <w:vMerge w:val="restart"/>
          </w:tcPr>
          <w:p>
            <w:pPr>
              <w:pStyle w:val="0"/>
              <w:jc w:val="center"/>
            </w:pPr>
            <w:r>
              <w:rPr>
                <w:sz w:val="20"/>
              </w:rPr>
              <w:t xml:space="preserve">N п/п</w:t>
            </w:r>
          </w:p>
        </w:tc>
        <w:tc>
          <w:tcPr>
            <w:tcW w:w="1757" w:type="dxa"/>
            <w:vMerge w:val="restart"/>
          </w:tcPr>
          <w:p>
            <w:pPr>
              <w:pStyle w:val="0"/>
              <w:jc w:val="center"/>
            </w:pPr>
            <w:r>
              <w:rPr>
                <w:sz w:val="20"/>
              </w:rPr>
              <w:t xml:space="preserve">Наименование мероприятия</w:t>
            </w:r>
          </w:p>
        </w:tc>
        <w:tc>
          <w:tcPr>
            <w:tcW w:w="1324" w:type="dxa"/>
            <w:vMerge w:val="restart"/>
          </w:tcPr>
          <w:p>
            <w:pPr>
              <w:pStyle w:val="0"/>
              <w:jc w:val="center"/>
            </w:pPr>
            <w:r>
              <w:rPr>
                <w:sz w:val="20"/>
              </w:rPr>
              <w:t xml:space="preserve">Срок проведения мероприятия</w:t>
            </w:r>
          </w:p>
        </w:tc>
        <w:tc>
          <w:tcPr>
            <w:tcW w:w="1498" w:type="dxa"/>
            <w:vMerge w:val="restart"/>
          </w:tcPr>
          <w:p>
            <w:pPr>
              <w:pStyle w:val="0"/>
              <w:jc w:val="center"/>
            </w:pPr>
            <w:r>
              <w:rPr>
                <w:sz w:val="20"/>
              </w:rPr>
              <w:t xml:space="preserve">Количество детей и (или) молодых граждан, вовлеченных в мероприятия получателя субсидии</w:t>
            </w:r>
          </w:p>
        </w:tc>
        <w:tc>
          <w:tcPr>
            <w:gridSpan w:val="2"/>
            <w:tcW w:w="2442" w:type="dxa"/>
          </w:tcPr>
          <w:p>
            <w:pPr>
              <w:pStyle w:val="0"/>
              <w:jc w:val="center"/>
            </w:pPr>
            <w:r>
              <w:rPr>
                <w:sz w:val="20"/>
              </w:rPr>
              <w:t xml:space="preserve">Объем финансирования, всего</w:t>
            </w:r>
          </w:p>
        </w:tc>
        <w:tc>
          <w:tcPr>
            <w:tcW w:w="1361" w:type="dxa"/>
            <w:vMerge w:val="restart"/>
          </w:tcPr>
          <w:p>
            <w:pPr>
              <w:pStyle w:val="0"/>
              <w:jc w:val="center"/>
            </w:pPr>
            <w:r>
              <w:rPr>
                <w:sz w:val="20"/>
              </w:rPr>
              <w:t xml:space="preserve">Значение показателя, необходимого для достижения результата предоставления субсидии</w:t>
            </w:r>
          </w:p>
        </w:tc>
      </w:tr>
      <w:tr>
        <w:tc>
          <w:tcPr>
            <w:vMerge w:val="continue"/>
          </w:tcPr>
          <w:p/>
        </w:tc>
        <w:tc>
          <w:tcPr>
            <w:vMerge w:val="continue"/>
          </w:tcPr>
          <w:p/>
        </w:tc>
        <w:tc>
          <w:tcPr>
            <w:vMerge w:val="continue"/>
          </w:tcPr>
          <w:p/>
        </w:tc>
        <w:tc>
          <w:tcPr>
            <w:vMerge w:val="continue"/>
          </w:tcPr>
          <w:p/>
        </w:tc>
        <w:tc>
          <w:tcPr>
            <w:tcW w:w="1138" w:type="dxa"/>
          </w:tcPr>
          <w:p>
            <w:pPr>
              <w:pStyle w:val="0"/>
              <w:jc w:val="center"/>
            </w:pPr>
            <w:r>
              <w:rPr>
                <w:sz w:val="20"/>
              </w:rPr>
              <w:t xml:space="preserve">За счет средств субсидии</w:t>
            </w:r>
          </w:p>
        </w:tc>
        <w:tc>
          <w:tcPr>
            <w:tcW w:w="1304" w:type="dxa"/>
          </w:tcPr>
          <w:p>
            <w:pPr>
              <w:pStyle w:val="0"/>
              <w:jc w:val="center"/>
            </w:pPr>
            <w:r>
              <w:rPr>
                <w:sz w:val="20"/>
              </w:rPr>
              <w:t xml:space="preserve">За счет собственных средств</w:t>
            </w:r>
          </w:p>
        </w:tc>
        <w:tc>
          <w:tcPr>
            <w:vMerge w:val="continue"/>
          </w:tcPr>
          <w:p/>
        </w:tc>
      </w:tr>
      <w:tr>
        <w:tc>
          <w:tcPr>
            <w:tcW w:w="680" w:type="dxa"/>
          </w:tcPr>
          <w:p>
            <w:pPr>
              <w:pStyle w:val="0"/>
              <w:jc w:val="center"/>
            </w:pPr>
            <w:r>
              <w:rPr>
                <w:sz w:val="20"/>
              </w:rPr>
              <w:t xml:space="preserve">1.</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1.1.</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1.2.</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2.</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2.1.</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2.2.</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3.</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3.1.</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3.2.</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4.</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4.1.</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4.2.</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jc w:val="center"/>
            </w:pPr>
            <w:r>
              <w:rPr>
                <w:sz w:val="20"/>
              </w:rPr>
              <w:t xml:space="preserve">...</w:t>
            </w:r>
          </w:p>
        </w:tc>
        <w:tc>
          <w:tcPr>
            <w:tcW w:w="1757" w:type="dxa"/>
          </w:tcPr>
          <w:p>
            <w:pPr>
              <w:pStyle w:val="0"/>
            </w:pPr>
            <w:r>
              <w:rPr>
                <w:sz w:val="20"/>
              </w:rPr>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r>
        <w:tc>
          <w:tcPr>
            <w:tcW w:w="680" w:type="dxa"/>
          </w:tcPr>
          <w:p>
            <w:pPr>
              <w:pStyle w:val="0"/>
            </w:pPr>
            <w:r>
              <w:rPr>
                <w:sz w:val="20"/>
              </w:rPr>
            </w:r>
          </w:p>
        </w:tc>
        <w:tc>
          <w:tcPr>
            <w:tcW w:w="1757" w:type="dxa"/>
          </w:tcPr>
          <w:p>
            <w:pPr>
              <w:pStyle w:val="0"/>
            </w:pPr>
            <w:r>
              <w:rPr>
                <w:sz w:val="20"/>
              </w:rPr>
              <w:t xml:space="preserve">Итого</w:t>
            </w:r>
          </w:p>
        </w:tc>
        <w:tc>
          <w:tcPr>
            <w:tcW w:w="1324" w:type="dxa"/>
          </w:tcPr>
          <w:p>
            <w:pPr>
              <w:pStyle w:val="0"/>
            </w:pPr>
            <w:r>
              <w:rPr>
                <w:sz w:val="20"/>
              </w:rPr>
            </w:r>
          </w:p>
        </w:tc>
        <w:tc>
          <w:tcPr>
            <w:tcW w:w="1498" w:type="dxa"/>
          </w:tcPr>
          <w:p>
            <w:pPr>
              <w:pStyle w:val="0"/>
            </w:pPr>
            <w:r>
              <w:rPr>
                <w:sz w:val="20"/>
              </w:rPr>
            </w:r>
          </w:p>
        </w:tc>
        <w:tc>
          <w:tcPr>
            <w:tcW w:w="1138" w:type="dxa"/>
          </w:tcPr>
          <w:p>
            <w:pPr>
              <w:pStyle w:val="0"/>
            </w:pPr>
            <w:r>
              <w:rPr>
                <w:sz w:val="20"/>
              </w:rPr>
            </w:r>
          </w:p>
        </w:tc>
        <w:tc>
          <w:tcPr>
            <w:tcW w:w="1304" w:type="dxa"/>
          </w:tcPr>
          <w:p>
            <w:pPr>
              <w:pStyle w:val="0"/>
            </w:pPr>
            <w:r>
              <w:rPr>
                <w:sz w:val="20"/>
              </w:rPr>
            </w:r>
          </w:p>
        </w:tc>
        <w:tc>
          <w:tcPr>
            <w:tcW w:w="136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54"/>
        <w:gridCol w:w="1417"/>
        <w:gridCol w:w="1305"/>
        <w:gridCol w:w="737"/>
        <w:gridCol w:w="850"/>
        <w:gridCol w:w="1871"/>
        <w:gridCol w:w="454"/>
        <w:gridCol w:w="1587"/>
      </w:tblGrid>
      <w:tr>
        <w:tc>
          <w:tcPr>
            <w:tcW w:w="854" w:type="dxa"/>
            <w:tcBorders>
              <w:top w:val="nil"/>
              <w:left w:val="nil"/>
              <w:bottom w:val="nil"/>
              <w:right w:val="nil"/>
            </w:tcBorders>
          </w:tcPr>
          <w:p>
            <w:pPr>
              <w:pStyle w:val="0"/>
              <w:jc w:val="both"/>
            </w:pPr>
            <w:r>
              <w:rPr>
                <w:sz w:val="20"/>
              </w:rPr>
              <w:t xml:space="preserve">Итого:</w:t>
            </w:r>
          </w:p>
        </w:tc>
        <w:tc>
          <w:tcPr>
            <w:tcW w:w="1417" w:type="dxa"/>
            <w:tcBorders>
              <w:top w:val="nil"/>
              <w:left w:val="nil"/>
              <w:bottom w:val="nil"/>
              <w:right w:val="nil"/>
            </w:tcBorders>
          </w:tcPr>
          <w:p>
            <w:pPr>
              <w:pStyle w:val="0"/>
              <w:jc w:val="both"/>
            </w:pPr>
            <w:r>
              <w:rPr>
                <w:sz w:val="20"/>
              </w:rPr>
              <w:t xml:space="preserve">проведено</w:t>
            </w:r>
          </w:p>
        </w:tc>
        <w:tc>
          <w:tcPr>
            <w:gridSpan w:val="3"/>
            <w:tcW w:w="2892" w:type="dxa"/>
            <w:tcBorders>
              <w:top w:val="nil"/>
              <w:left w:val="nil"/>
              <w:bottom w:val="single" w:sz="4"/>
              <w:right w:val="nil"/>
            </w:tcBorders>
          </w:tcPr>
          <w:p>
            <w:pPr>
              <w:pStyle w:val="0"/>
            </w:pPr>
            <w:r>
              <w:rPr>
                <w:sz w:val="20"/>
              </w:rPr>
            </w:r>
          </w:p>
        </w:tc>
        <w:tc>
          <w:tcPr>
            <w:gridSpan w:val="3"/>
            <w:tcW w:w="3912" w:type="dxa"/>
            <w:tcBorders>
              <w:top w:val="nil"/>
              <w:left w:val="nil"/>
              <w:bottom w:val="nil"/>
              <w:right w:val="nil"/>
            </w:tcBorders>
          </w:tcPr>
          <w:p>
            <w:pPr>
              <w:pStyle w:val="0"/>
              <w:jc w:val="both"/>
            </w:pPr>
            <w:r>
              <w:rPr>
                <w:sz w:val="20"/>
              </w:rPr>
              <w:t xml:space="preserve">мероприятий;</w:t>
            </w:r>
          </w:p>
        </w:tc>
      </w:tr>
      <w:tr>
        <w:tc>
          <w:tcPr>
            <w:tcW w:w="854"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both"/>
            </w:pPr>
            <w:r>
              <w:rPr>
                <w:sz w:val="20"/>
              </w:rPr>
              <w:t xml:space="preserve">вовлечено</w:t>
            </w:r>
          </w:p>
        </w:tc>
        <w:tc>
          <w:tcPr>
            <w:gridSpan w:val="3"/>
            <w:tcW w:w="2892" w:type="dxa"/>
            <w:tcBorders>
              <w:top w:val="single" w:sz="4"/>
              <w:left w:val="nil"/>
              <w:bottom w:val="single" w:sz="4"/>
              <w:right w:val="nil"/>
            </w:tcBorders>
          </w:tcPr>
          <w:p>
            <w:pPr>
              <w:pStyle w:val="0"/>
            </w:pPr>
            <w:r>
              <w:rPr>
                <w:sz w:val="20"/>
              </w:rPr>
            </w:r>
          </w:p>
        </w:tc>
        <w:tc>
          <w:tcPr>
            <w:gridSpan w:val="3"/>
            <w:tcW w:w="3912" w:type="dxa"/>
            <w:tcBorders>
              <w:top w:val="nil"/>
              <w:left w:val="nil"/>
              <w:bottom w:val="nil"/>
              <w:right w:val="nil"/>
            </w:tcBorders>
          </w:tcPr>
          <w:p>
            <w:pPr>
              <w:pStyle w:val="0"/>
              <w:jc w:val="both"/>
            </w:pPr>
            <w:r>
              <w:rPr>
                <w:sz w:val="20"/>
              </w:rPr>
              <w:t xml:space="preserve">человек;</w:t>
            </w:r>
          </w:p>
        </w:tc>
      </w:tr>
      <w:tr>
        <w:tc>
          <w:tcPr>
            <w:tcW w:w="854" w:type="dxa"/>
            <w:tcBorders>
              <w:top w:val="nil"/>
              <w:left w:val="nil"/>
              <w:bottom w:val="nil"/>
              <w:right w:val="nil"/>
            </w:tcBorders>
          </w:tcPr>
          <w:p>
            <w:pPr>
              <w:pStyle w:val="0"/>
            </w:pPr>
            <w:r>
              <w:rPr>
                <w:sz w:val="20"/>
              </w:rPr>
            </w:r>
          </w:p>
        </w:tc>
        <w:tc>
          <w:tcPr>
            <w:gridSpan w:val="2"/>
            <w:tcW w:w="2722" w:type="dxa"/>
            <w:tcBorders>
              <w:top w:val="nil"/>
              <w:left w:val="nil"/>
              <w:bottom w:val="nil"/>
              <w:right w:val="nil"/>
            </w:tcBorders>
          </w:tcPr>
          <w:p>
            <w:pPr>
              <w:pStyle w:val="0"/>
              <w:jc w:val="both"/>
            </w:pPr>
            <w:r>
              <w:rPr>
                <w:sz w:val="20"/>
              </w:rPr>
              <w:t xml:space="preserve">объем финансирования</w:t>
            </w:r>
          </w:p>
        </w:tc>
        <w:tc>
          <w:tcPr>
            <w:gridSpan w:val="3"/>
            <w:tcW w:w="3458" w:type="dxa"/>
            <w:tcBorders>
              <w:top w:val="nil"/>
              <w:left w:val="nil"/>
              <w:bottom w:val="single" w:sz="4"/>
              <w:right w:val="nil"/>
            </w:tcBorders>
          </w:tcPr>
          <w:p>
            <w:pPr>
              <w:pStyle w:val="0"/>
            </w:pPr>
            <w:r>
              <w:rPr>
                <w:sz w:val="20"/>
              </w:rPr>
            </w:r>
          </w:p>
        </w:tc>
        <w:tc>
          <w:tcPr>
            <w:gridSpan w:val="2"/>
            <w:tcW w:w="2041" w:type="dxa"/>
            <w:tcBorders>
              <w:top w:val="nil"/>
              <w:left w:val="nil"/>
              <w:bottom w:val="nil"/>
              <w:right w:val="nil"/>
            </w:tcBorders>
          </w:tcPr>
          <w:p>
            <w:pPr>
              <w:pStyle w:val="0"/>
              <w:jc w:val="both"/>
            </w:pPr>
            <w:r>
              <w:rPr>
                <w:sz w:val="20"/>
              </w:rPr>
              <w:t xml:space="preserve">тыс. рублей,</w:t>
            </w:r>
          </w:p>
        </w:tc>
      </w:tr>
      <w:tr>
        <w:tc>
          <w:tcPr>
            <w:tcW w:w="854" w:type="dxa"/>
            <w:tcBorders>
              <w:top w:val="nil"/>
              <w:left w:val="nil"/>
              <w:bottom w:val="nil"/>
              <w:right w:val="nil"/>
            </w:tcBorders>
          </w:tcPr>
          <w:p>
            <w:pPr>
              <w:pStyle w:val="0"/>
            </w:pPr>
            <w:r>
              <w:rPr>
                <w:sz w:val="20"/>
              </w:rPr>
            </w:r>
          </w:p>
        </w:tc>
        <w:tc>
          <w:tcPr>
            <w:gridSpan w:val="3"/>
            <w:tcW w:w="3459" w:type="dxa"/>
            <w:tcBorders>
              <w:top w:val="nil"/>
              <w:left w:val="nil"/>
              <w:bottom w:val="nil"/>
              <w:right w:val="nil"/>
            </w:tcBorders>
          </w:tcPr>
          <w:p>
            <w:pPr>
              <w:pStyle w:val="0"/>
              <w:jc w:val="both"/>
            </w:pPr>
            <w:r>
              <w:rPr>
                <w:sz w:val="20"/>
              </w:rPr>
              <w:t xml:space="preserve">в том числе средства субсидии</w:t>
            </w:r>
          </w:p>
        </w:tc>
        <w:tc>
          <w:tcPr>
            <w:gridSpan w:val="3"/>
            <w:tcW w:w="3175" w:type="dxa"/>
            <w:tcBorders>
              <w:top w:val="nil"/>
              <w:left w:val="nil"/>
              <w:bottom w:val="single" w:sz="4"/>
              <w:right w:val="nil"/>
            </w:tcBorders>
          </w:tcPr>
          <w:p>
            <w:pPr>
              <w:pStyle w:val="0"/>
            </w:pPr>
            <w:r>
              <w:rPr>
                <w:sz w:val="20"/>
              </w:rPr>
            </w:r>
          </w:p>
        </w:tc>
        <w:tc>
          <w:tcPr>
            <w:tcW w:w="1587" w:type="dxa"/>
            <w:tcBorders>
              <w:top w:val="nil"/>
              <w:left w:val="nil"/>
              <w:bottom w:val="nil"/>
              <w:right w:val="nil"/>
            </w:tcBorders>
          </w:tcPr>
          <w:p>
            <w:pPr>
              <w:pStyle w:val="0"/>
              <w:jc w:val="both"/>
            </w:pPr>
            <w:r>
              <w:rPr>
                <w:sz w:val="20"/>
              </w:rPr>
              <w:t xml:space="preserve">тыс. рублей.</w:t>
            </w:r>
          </w:p>
        </w:tc>
      </w:tr>
    </w:tbl>
    <w:p>
      <w:pPr>
        <w:pStyle w:val="0"/>
        <w:jc w:val="both"/>
      </w:pPr>
      <w:r>
        <w:rPr>
          <w:sz w:val="20"/>
        </w:rPr>
      </w:r>
    </w:p>
    <w:p>
      <w:pPr>
        <w:pStyle w:val="0"/>
        <w:outlineLvl w:val="2"/>
        <w:ind w:firstLine="540"/>
        <w:jc w:val="both"/>
      </w:pPr>
      <w:r>
        <w:rPr>
          <w:sz w:val="20"/>
          <w:b w:val="on"/>
        </w:rPr>
        <w:t xml:space="preserve">4. Расчет-обоснование суммы субсидии на осуществление уставной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175"/>
        <w:gridCol w:w="1134"/>
        <w:gridCol w:w="1871"/>
        <w:gridCol w:w="2098"/>
      </w:tblGrid>
      <w:tr>
        <w:tc>
          <w:tcPr>
            <w:tcW w:w="794" w:type="dxa"/>
          </w:tcPr>
          <w:p>
            <w:pPr>
              <w:pStyle w:val="0"/>
              <w:jc w:val="center"/>
            </w:pPr>
            <w:r>
              <w:rPr>
                <w:sz w:val="20"/>
              </w:rPr>
              <w:t xml:space="preserve">N п/п</w:t>
            </w:r>
          </w:p>
        </w:tc>
        <w:tc>
          <w:tcPr>
            <w:tcW w:w="3175" w:type="dxa"/>
          </w:tcPr>
          <w:p>
            <w:pPr>
              <w:pStyle w:val="0"/>
              <w:jc w:val="center"/>
            </w:pPr>
            <w:r>
              <w:rPr>
                <w:sz w:val="20"/>
              </w:rPr>
              <w:t xml:space="preserve">Наименование расходов</w:t>
            </w:r>
          </w:p>
        </w:tc>
        <w:tc>
          <w:tcPr>
            <w:tcW w:w="1134" w:type="dxa"/>
          </w:tcPr>
          <w:p>
            <w:pPr>
              <w:pStyle w:val="0"/>
              <w:jc w:val="center"/>
            </w:pPr>
            <w:r>
              <w:rPr>
                <w:sz w:val="20"/>
              </w:rPr>
              <w:t xml:space="preserve">Объем средств, рублей</w:t>
            </w:r>
          </w:p>
        </w:tc>
        <w:tc>
          <w:tcPr>
            <w:tcW w:w="1871" w:type="dxa"/>
          </w:tcPr>
          <w:p>
            <w:pPr>
              <w:pStyle w:val="0"/>
              <w:jc w:val="center"/>
            </w:pPr>
            <w:r>
              <w:rPr>
                <w:sz w:val="20"/>
              </w:rPr>
              <w:t xml:space="preserve">Значение показателя, необходимого для достижения результата предоставления субсидии</w:t>
            </w:r>
          </w:p>
        </w:tc>
        <w:tc>
          <w:tcPr>
            <w:tcW w:w="2098" w:type="dxa"/>
          </w:tcPr>
          <w:p>
            <w:pPr>
              <w:pStyle w:val="0"/>
              <w:jc w:val="center"/>
            </w:pPr>
            <w:r>
              <w:rPr>
                <w:sz w:val="20"/>
              </w:rPr>
              <w:t xml:space="preserve">Информация, обосновывающая размер расходов, а также источник получения указанной информации</w:t>
            </w:r>
          </w:p>
        </w:tc>
      </w:tr>
      <w:tr>
        <w:tc>
          <w:tcPr>
            <w:tcW w:w="794" w:type="dxa"/>
          </w:tcPr>
          <w:bookmarkStart w:id="560" w:name="P560"/>
          <w:bookmarkEnd w:id="560"/>
          <w:p>
            <w:pPr>
              <w:pStyle w:val="0"/>
              <w:jc w:val="center"/>
            </w:pPr>
            <w:r>
              <w:rPr>
                <w:sz w:val="20"/>
              </w:rPr>
              <w:t xml:space="preserve">1.</w:t>
            </w:r>
          </w:p>
        </w:tc>
        <w:tc>
          <w:tcPr>
            <w:tcW w:w="3175" w:type="dxa"/>
          </w:tcPr>
          <w:p>
            <w:pPr>
              <w:pStyle w:val="0"/>
            </w:pPr>
            <w:r>
              <w:rPr>
                <w:sz w:val="20"/>
              </w:rPr>
              <w:t xml:space="preserve">Проведение мероприятия</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1.1.</w:t>
            </w:r>
          </w:p>
        </w:tc>
        <w:tc>
          <w:tcPr>
            <w:tcW w:w="3175" w:type="dxa"/>
          </w:tcPr>
          <w:p>
            <w:pPr>
              <w:pStyle w:val="0"/>
            </w:pPr>
            <w:r>
              <w:rPr>
                <w:sz w:val="20"/>
              </w:rPr>
              <w:t xml:space="preserve">Расходы на оплату труда сотрудников с начислениями (за исключением руководителя получателя субсидии)</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1.1.1.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blPrEx>
          <w:tblBorders>
            <w:insideH w:val="nil"/>
          </w:tblBorders>
        </w:tblPrEx>
        <w:tc>
          <w:tcPr>
            <w:gridSpan w:val="5"/>
            <w:tcW w:w="9072"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94" w:type="dxa"/>
            <w:tcBorders>
              <w:top w:val="nil"/>
            </w:tcBorders>
          </w:tcPr>
          <w:p>
            <w:pPr>
              <w:pStyle w:val="0"/>
              <w:jc w:val="center"/>
            </w:pPr>
            <w:r>
              <w:rPr>
                <w:sz w:val="20"/>
              </w:rPr>
              <w:t xml:space="preserve">1.2.1.</w:t>
            </w:r>
          </w:p>
        </w:tc>
        <w:tc>
          <w:tcPr>
            <w:tcW w:w="3175" w:type="dxa"/>
            <w:tcBorders>
              <w:top w:val="nil"/>
            </w:tcBorders>
          </w:tcPr>
          <w:p>
            <w:pPr>
              <w:pStyle w:val="0"/>
            </w:pPr>
            <w:r>
              <w:rPr>
                <w:sz w:val="20"/>
              </w:rPr>
            </w:r>
          </w:p>
        </w:tc>
        <w:tc>
          <w:tcPr>
            <w:tcW w:w="1134" w:type="dxa"/>
            <w:tcBorders>
              <w:top w:val="nil"/>
            </w:tcBorders>
          </w:tcPr>
          <w:p>
            <w:pPr>
              <w:pStyle w:val="0"/>
            </w:pPr>
            <w:r>
              <w:rPr>
                <w:sz w:val="20"/>
              </w:rPr>
            </w:r>
          </w:p>
        </w:tc>
        <w:tc>
          <w:tcPr>
            <w:tcW w:w="1871" w:type="dxa"/>
            <w:tcBorders>
              <w:top w:val="nil"/>
            </w:tcBorders>
          </w:tcPr>
          <w:p>
            <w:pPr>
              <w:pStyle w:val="0"/>
            </w:pPr>
            <w:r>
              <w:rPr>
                <w:sz w:val="20"/>
              </w:rPr>
            </w:r>
          </w:p>
        </w:tc>
        <w:tc>
          <w:tcPr>
            <w:tcW w:w="2098" w:type="dxa"/>
            <w:tcBorders>
              <w:top w:val="nil"/>
            </w:tcBorders>
          </w:tcPr>
          <w:p>
            <w:pPr>
              <w:pStyle w:val="0"/>
            </w:pPr>
            <w:r>
              <w:rPr>
                <w:sz w:val="20"/>
              </w:rPr>
            </w:r>
          </w:p>
        </w:tc>
      </w:tr>
      <w:tr>
        <w:tc>
          <w:tcPr>
            <w:tcW w:w="794" w:type="dxa"/>
          </w:tcPr>
          <w:p>
            <w:pPr>
              <w:pStyle w:val="0"/>
              <w:jc w:val="center"/>
            </w:pPr>
            <w:r>
              <w:rPr>
                <w:sz w:val="20"/>
              </w:rPr>
              <w:t xml:space="preserve">1.2.</w:t>
            </w:r>
          </w:p>
        </w:tc>
        <w:tc>
          <w:tcPr>
            <w:tcW w:w="3175" w:type="dxa"/>
          </w:tcPr>
          <w:p>
            <w:pPr>
              <w:pStyle w:val="0"/>
            </w:pPr>
            <w:r>
              <w:rPr>
                <w:sz w:val="20"/>
              </w:rPr>
              <w:t xml:space="preserve">Расходы на оплату коммунальных услуг, ремонт и обслуживание компьютерной и организационной техники, расходы на горюче-смазочные материалы и обслуживание транспортных средств</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1.2.1.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1.2.2.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1.3.</w:t>
            </w:r>
          </w:p>
        </w:tc>
        <w:tc>
          <w:tcPr>
            <w:tcW w:w="3175" w:type="dxa"/>
          </w:tcPr>
          <w:p>
            <w:pPr>
              <w:pStyle w:val="0"/>
            </w:pPr>
            <w:r>
              <w:rPr>
                <w:sz w:val="20"/>
              </w:rPr>
              <w:t xml:space="preserve">Расходы на аренду и (или) страхование помещений, транспортных и технических средств, а также звукового, светового, мультимедийного, коммуникативного и декорационно-постановочного оборудования, необходимого для осуществления уставной деятельности, в том числе для проведения мероприятий</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1.3.1.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1.3.2.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1.4.</w:t>
            </w:r>
          </w:p>
        </w:tc>
        <w:tc>
          <w:tcPr>
            <w:tcW w:w="3175" w:type="dxa"/>
          </w:tcPr>
          <w:p>
            <w:pPr>
              <w:pStyle w:val="0"/>
            </w:pPr>
            <w:r>
              <w:rPr>
                <w:sz w:val="20"/>
              </w:rPr>
              <w:t xml:space="preserve">Расходы на оплату юридических, образовательных, аудиторских, бухгалтерских, нотариальных, банковских и информационно-консультационных услуг, услуг по поддержке и обновлению правовых баз данных у получателей субсидии, приобретение лицензионного программного обеспечения и оплату лицензии</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1.4.1.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1.4.2.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1.5.</w:t>
            </w:r>
          </w:p>
        </w:tc>
        <w:tc>
          <w:tcPr>
            <w:tcW w:w="3175" w:type="dxa"/>
          </w:tcPr>
          <w:p>
            <w:pPr>
              <w:pStyle w:val="0"/>
            </w:pPr>
            <w:r>
              <w:rPr>
                <w:sz w:val="20"/>
              </w:rPr>
              <w:t xml:space="preserve">Расходы на оплату услуг по созданию, графическому оформлению и подготовке макетов информационных и справочных материалов и методической литературы, необходимой для осуществления уставной деятельности</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1.5.1.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1.5.2.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1.6.</w:t>
            </w:r>
          </w:p>
        </w:tc>
        <w:tc>
          <w:tcPr>
            <w:tcW w:w="3175" w:type="dxa"/>
          </w:tcPr>
          <w:p>
            <w:pPr>
              <w:pStyle w:val="0"/>
            </w:pPr>
            <w:r>
              <w:rPr>
                <w:sz w:val="20"/>
              </w:rPr>
              <w:t xml:space="preserve">Расходы на оплату услуг связи (почты, телефона, информационно-телекоммуникационной сети "Интернет", телематических услуг связи)</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1.6.1.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1.6.2.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1.7.</w:t>
            </w:r>
          </w:p>
        </w:tc>
        <w:tc>
          <w:tcPr>
            <w:tcW w:w="3175" w:type="dxa"/>
          </w:tcPr>
          <w:p>
            <w:pPr>
              <w:pStyle w:val="0"/>
            </w:pPr>
            <w:r>
              <w:rPr>
                <w:sz w:val="20"/>
              </w:rPr>
              <w:t xml:space="preserve">Расходы на оплату услуг по созданию и изготовлению рекламных материалов для размещения социальной рекламы</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1.7.1.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1.7.2.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1.8.</w:t>
            </w:r>
          </w:p>
        </w:tc>
        <w:tc>
          <w:tcPr>
            <w:tcW w:w="3175" w:type="dxa"/>
          </w:tcPr>
          <w:p>
            <w:pPr>
              <w:pStyle w:val="0"/>
            </w:pPr>
            <w:r>
              <w:rPr>
                <w:sz w:val="20"/>
              </w:rPr>
              <w:t xml:space="preserve">Расходы на оплату услуг по созданию и обслуживанию интернет-сайтов, трафика, хостинга и расходов по техническому поддержанию сайтов получателей субсидии, администрированию в информационно-телекоммуникационной сети "Интернет", а также СММ-услуг, направленных на продвижение информации о получателе субсидий в социальных сетях</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1.8.1.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1.8.2.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bookmarkStart w:id="687" w:name="P687"/>
          <w:bookmarkEnd w:id="687"/>
          <w:p>
            <w:pPr>
              <w:pStyle w:val="0"/>
              <w:jc w:val="center"/>
            </w:pPr>
            <w:r>
              <w:rPr>
                <w:sz w:val="20"/>
              </w:rPr>
              <w:t xml:space="preserve">2.</w:t>
            </w:r>
          </w:p>
        </w:tc>
        <w:tc>
          <w:tcPr>
            <w:tcW w:w="3175" w:type="dxa"/>
          </w:tcPr>
          <w:p>
            <w:pPr>
              <w:pStyle w:val="0"/>
            </w:pPr>
            <w:r>
              <w:rPr>
                <w:sz w:val="20"/>
              </w:rPr>
              <w:t xml:space="preserve">Проведение мероприятия</w:t>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2.1.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2.1.1.</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2.1.2.</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c>
          <w:tcPr>
            <w:tcW w:w="794" w:type="dxa"/>
          </w:tcPr>
          <w:p>
            <w:pPr>
              <w:pStyle w:val="0"/>
              <w:jc w:val="center"/>
            </w:pPr>
            <w:r>
              <w:rPr>
                <w:sz w:val="20"/>
              </w:rPr>
              <w:t xml:space="preserve">...</w:t>
            </w:r>
          </w:p>
        </w:tc>
        <w:tc>
          <w:tcPr>
            <w:tcW w:w="3175" w:type="dxa"/>
          </w:tcPr>
          <w:p>
            <w:pPr>
              <w:pStyle w:val="0"/>
            </w:pPr>
            <w:r>
              <w:rPr>
                <w:sz w:val="20"/>
              </w:rPr>
            </w:r>
          </w:p>
        </w:tc>
        <w:tc>
          <w:tcPr>
            <w:tcW w:w="1134" w:type="dxa"/>
          </w:tcPr>
          <w:p>
            <w:pPr>
              <w:pStyle w:val="0"/>
            </w:pPr>
            <w:r>
              <w:rPr>
                <w:sz w:val="20"/>
              </w:rPr>
            </w:r>
          </w:p>
        </w:tc>
        <w:tc>
          <w:tcPr>
            <w:tcW w:w="1871" w:type="dxa"/>
          </w:tcPr>
          <w:p>
            <w:pPr>
              <w:pStyle w:val="0"/>
            </w:pPr>
            <w:r>
              <w:rPr>
                <w:sz w:val="20"/>
              </w:rPr>
            </w:r>
          </w:p>
        </w:tc>
        <w:tc>
          <w:tcPr>
            <w:tcW w:w="2098" w:type="dxa"/>
          </w:tcPr>
          <w:p>
            <w:pPr>
              <w:pStyle w:val="0"/>
            </w:pPr>
            <w:r>
              <w:rPr>
                <w:sz w:val="20"/>
              </w:rPr>
            </w:r>
          </w:p>
        </w:tc>
      </w:tr>
      <w:tr>
        <w:tblPrEx>
          <w:tblBorders>
            <w:insideH w:val="nil"/>
          </w:tblBorders>
        </w:tblPrEx>
        <w:tc>
          <w:tcPr>
            <w:gridSpan w:val="5"/>
            <w:tcW w:w="9072"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строка 3 в таблице отсутствует.</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94" w:type="dxa"/>
            <w:tcBorders>
              <w:top w:val="nil"/>
            </w:tcBorders>
          </w:tcPr>
          <w:p>
            <w:pPr>
              <w:pStyle w:val="0"/>
            </w:pPr>
            <w:r>
              <w:rPr>
                <w:sz w:val="20"/>
              </w:rPr>
            </w:r>
          </w:p>
        </w:tc>
        <w:tc>
          <w:tcPr>
            <w:tcW w:w="3175" w:type="dxa"/>
            <w:tcBorders>
              <w:top w:val="nil"/>
            </w:tcBorders>
          </w:tcPr>
          <w:p>
            <w:pPr>
              <w:pStyle w:val="0"/>
            </w:pPr>
            <w:r>
              <w:rPr>
                <w:sz w:val="20"/>
              </w:rPr>
              <w:t xml:space="preserve">Итого расходов (</w:t>
            </w:r>
            <w:hyperlink w:history="0" w:anchor="P560" w:tooltip="1.">
              <w:r>
                <w:rPr>
                  <w:sz w:val="20"/>
                  <w:color w:val="0000ff"/>
                </w:rPr>
                <w:t xml:space="preserve">строка 1</w:t>
              </w:r>
            </w:hyperlink>
            <w:r>
              <w:rPr>
                <w:sz w:val="20"/>
              </w:rPr>
              <w:t xml:space="preserve"> + </w:t>
            </w:r>
            <w:hyperlink w:history="0" w:anchor="P687" w:tooltip="2.">
              <w:r>
                <w:rPr>
                  <w:sz w:val="20"/>
                  <w:color w:val="0000ff"/>
                </w:rPr>
                <w:t xml:space="preserve">строка 2</w:t>
              </w:r>
            </w:hyperlink>
            <w:r>
              <w:rPr>
                <w:sz w:val="20"/>
              </w:rPr>
              <w:t xml:space="preserve"> + строка 3 + ...)</w:t>
            </w:r>
          </w:p>
        </w:tc>
        <w:tc>
          <w:tcPr>
            <w:tcW w:w="1134" w:type="dxa"/>
            <w:tcBorders>
              <w:top w:val="nil"/>
            </w:tcBorders>
          </w:tcPr>
          <w:p>
            <w:pPr>
              <w:pStyle w:val="0"/>
            </w:pPr>
            <w:r>
              <w:rPr>
                <w:sz w:val="20"/>
              </w:rPr>
            </w:r>
          </w:p>
        </w:tc>
        <w:tc>
          <w:tcPr>
            <w:tcW w:w="1871" w:type="dxa"/>
            <w:tcBorders>
              <w:top w:val="nil"/>
            </w:tcBorders>
          </w:tcPr>
          <w:p>
            <w:pPr>
              <w:pStyle w:val="0"/>
            </w:pPr>
            <w:r>
              <w:rPr>
                <w:sz w:val="20"/>
              </w:rPr>
            </w:r>
          </w:p>
        </w:tc>
        <w:tc>
          <w:tcPr>
            <w:tcW w:w="2098" w:type="dxa"/>
            <w:tcBorders>
              <w:top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76"/>
        <w:gridCol w:w="2126"/>
        <w:gridCol w:w="425"/>
        <w:gridCol w:w="3345"/>
      </w:tblGrid>
      <w:tr>
        <w:tc>
          <w:tcPr>
            <w:tcW w:w="3176" w:type="dxa"/>
            <w:tcBorders>
              <w:top w:val="nil"/>
              <w:left w:val="nil"/>
              <w:bottom w:val="nil"/>
              <w:right w:val="nil"/>
            </w:tcBorders>
          </w:tcPr>
          <w:p>
            <w:pPr>
              <w:pStyle w:val="0"/>
            </w:pPr>
            <w:r>
              <w:rPr>
                <w:sz w:val="20"/>
              </w:rPr>
              <w:t xml:space="preserve">Руководитель</w:t>
            </w:r>
          </w:p>
        </w:tc>
        <w:tc>
          <w:tcPr>
            <w:tcW w:w="2126" w:type="dxa"/>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3345" w:type="dxa"/>
            <w:tcBorders>
              <w:top w:val="nil"/>
              <w:left w:val="nil"/>
              <w:bottom w:val="single" w:sz="4"/>
              <w:right w:val="nil"/>
            </w:tcBorders>
          </w:tcPr>
          <w:p>
            <w:pPr>
              <w:pStyle w:val="0"/>
            </w:pPr>
            <w:r>
              <w:rPr>
                <w:sz w:val="20"/>
              </w:rPr>
            </w:r>
          </w:p>
        </w:tc>
      </w:tr>
      <w:tr>
        <w:tc>
          <w:tcPr>
            <w:tcW w:w="3176" w:type="dxa"/>
            <w:tcBorders>
              <w:top w:val="nil"/>
              <w:left w:val="nil"/>
              <w:bottom w:val="nil"/>
              <w:right w:val="nil"/>
            </w:tcBorders>
          </w:tcPr>
          <w:p>
            <w:pPr>
              <w:pStyle w:val="0"/>
            </w:pPr>
            <w:r>
              <w:rPr>
                <w:sz w:val="20"/>
              </w:rPr>
            </w:r>
          </w:p>
        </w:tc>
        <w:tc>
          <w:tcPr>
            <w:tcW w:w="2126" w:type="dxa"/>
            <w:tcBorders>
              <w:top w:val="single" w:sz="4"/>
              <w:left w:val="nil"/>
              <w:bottom w:val="nil"/>
              <w:right w:val="nil"/>
            </w:tcBorders>
          </w:tcPr>
          <w:p>
            <w:pPr>
              <w:pStyle w:val="0"/>
              <w:jc w:val="center"/>
            </w:pPr>
            <w:r>
              <w:rPr>
                <w:sz w:val="20"/>
              </w:rPr>
              <w:t xml:space="preserve">(подпись)</w:t>
            </w:r>
          </w:p>
        </w:tc>
        <w:tc>
          <w:tcPr>
            <w:tcW w:w="425" w:type="dxa"/>
            <w:tcBorders>
              <w:top w:val="nil"/>
              <w:left w:val="nil"/>
              <w:bottom w:val="nil"/>
              <w:right w:val="nil"/>
            </w:tcBorders>
          </w:tcPr>
          <w:p>
            <w:pPr>
              <w:pStyle w:val="0"/>
            </w:pPr>
            <w:r>
              <w:rPr>
                <w:sz w:val="20"/>
              </w:rPr>
            </w:r>
          </w:p>
        </w:tc>
        <w:tc>
          <w:tcPr>
            <w:tcW w:w="3345" w:type="dxa"/>
            <w:tcBorders>
              <w:top w:val="single" w:sz="4"/>
              <w:left w:val="nil"/>
              <w:bottom w:val="nil"/>
              <w:right w:val="nil"/>
            </w:tcBorders>
          </w:tcPr>
          <w:p>
            <w:pPr>
              <w:pStyle w:val="0"/>
              <w:jc w:val="center"/>
            </w:pPr>
            <w:r>
              <w:rPr>
                <w:sz w:val="20"/>
              </w:rPr>
              <w:t xml:space="preserve">(Ф.И.О.)</w:t>
            </w:r>
          </w:p>
        </w:tc>
      </w:tr>
      <w:tr>
        <w:tc>
          <w:tcPr>
            <w:gridSpan w:val="4"/>
            <w:tcW w:w="9072" w:type="dxa"/>
            <w:tcBorders>
              <w:top w:val="nil"/>
              <w:left w:val="nil"/>
              <w:bottom w:val="nil"/>
              <w:right w:val="nil"/>
            </w:tcBorders>
          </w:tcPr>
          <w:p>
            <w:pPr>
              <w:pStyle w:val="0"/>
            </w:pPr>
            <w:r>
              <w:rPr>
                <w:sz w:val="20"/>
              </w:rPr>
              <w:t xml:space="preserve">"___" ____________ 2025 г.</w:t>
            </w:r>
          </w:p>
        </w:tc>
      </w:tr>
      <w:tr>
        <w:tc>
          <w:tcPr>
            <w:gridSpan w:val="4"/>
            <w:tcW w:w="9072"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24 июля 2025 г. N 401-П</w:t>
      </w:r>
    </w:p>
    <w:p>
      <w:pPr>
        <w:pStyle w:val="0"/>
        <w:jc w:val="both"/>
      </w:pPr>
      <w:r>
        <w:rPr>
          <w:sz w:val="20"/>
        </w:rPr>
      </w:r>
    </w:p>
    <w:bookmarkStart w:id="742" w:name="P742"/>
    <w:bookmarkEnd w:id="742"/>
    <w:p>
      <w:pPr>
        <w:pStyle w:val="2"/>
        <w:jc w:val="center"/>
      </w:pPr>
      <w:r>
        <w:rPr>
          <w:sz w:val="20"/>
        </w:rPr>
        <w:t xml:space="preserve">ПОРЯДОК</w:t>
      </w:r>
    </w:p>
    <w:p>
      <w:pPr>
        <w:pStyle w:val="2"/>
        <w:jc w:val="center"/>
      </w:pPr>
      <w:r>
        <w:rPr>
          <w:sz w:val="20"/>
        </w:rPr>
        <w:t xml:space="preserve">ПРЕДОСТАВЛЕНИЯ ГРАНТОВ В ФОРМЕ СУБСИДИЙ ИЗ ОБЛАСТНОГО</w:t>
      </w:r>
    </w:p>
    <w:p>
      <w:pPr>
        <w:pStyle w:val="2"/>
        <w:jc w:val="center"/>
      </w:pPr>
      <w:r>
        <w:rPr>
          <w:sz w:val="20"/>
        </w:rPr>
        <w:t xml:space="preserve">БЮДЖЕТА МЕЖРЕГИОНАЛЬНЫМ, РЕГИОНАЛЬНЫМ И МЕСТНЫМ МОЛОДЕЖНЫМ</w:t>
      </w:r>
    </w:p>
    <w:p>
      <w:pPr>
        <w:pStyle w:val="2"/>
        <w:jc w:val="center"/>
      </w:pPr>
      <w:r>
        <w:rPr>
          <w:sz w:val="20"/>
        </w:rPr>
        <w:t xml:space="preserve">И ДЕТСКИМ ОБЩЕСТВЕННЫМ ОБЪЕДИНЕНИЯМ НА РЕАЛИЗАЦИЮ</w:t>
      </w:r>
    </w:p>
    <w:p>
      <w:pPr>
        <w:pStyle w:val="2"/>
        <w:jc w:val="center"/>
      </w:pPr>
      <w:r>
        <w:rPr>
          <w:sz w:val="20"/>
        </w:rPr>
        <w:t xml:space="preserve">ПРОЕКТОВ (ПРОГРАММ) В 2025 ГОДУ</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грантов в форме субсидий из областного бюджета межрегиональным, региональным и местным молодежным и детским общественным объединениям на реализацию проектов (программ) в 2025 году (далее - Порядок) устанавливает порядок проведения отбора межрегиональных, региональных и местных молодежных и детских общественных объединений на реализацию проектов (программ) для предоставления в 2025 году грантов в форме субсидий из областного бюджета межрегиональным, региональным и местным молодежным и детским общественным объединениям на реализацию проектов (программ) (далее - гранты), цель, условия и порядок предоставления грантов, а также требования к отчетности, к осуществлению контроля за соблюдением условий и порядка предоставления грантов и ответственность за их нарушение.</w:t>
      </w:r>
    </w:p>
    <w:p>
      <w:pPr>
        <w:pStyle w:val="0"/>
        <w:spacing w:before="200" w:lineRule="auto"/>
        <w:ind w:firstLine="540"/>
        <w:jc w:val="both"/>
      </w:pPr>
      <w:r>
        <w:rPr>
          <w:sz w:val="20"/>
        </w:rPr>
        <w:t xml:space="preserve">1.2. Гранты предоставляются министерством молодежной политики Кировской области (далее - министерство) в рамках реализации регионального проекта "Содействие реализации инициатив молодежи", входящего в состав государственной </w:t>
      </w:r>
      <w:hyperlink w:history="0" r:id="rId22" w:tooltip="Постановление Правительства Кировской области от 15.12.2023 N 684-П (ред. от 07.11.2025) &quot;Об утверждении государственной программы Кировской области &quot;Реализация молодежной политики&quot; {КонсультантПлюс}">
        <w:r>
          <w:rPr>
            <w:sz w:val="20"/>
            <w:color w:val="0000ff"/>
          </w:rPr>
          <w:t xml:space="preserve">программы</w:t>
        </w:r>
      </w:hyperlink>
      <w:r>
        <w:rPr>
          <w:sz w:val="20"/>
        </w:rPr>
        <w:t xml:space="preserve"> Кировской области "Реализация молодежной политики" (далее - Государственная программа), утвержденной постановлением Правительства Кировской области от 15.12.2023 N 684-П "Об утверждении государственной программы Кировской области "Реализация молодежной политики", направленной на достижение показателя Государственной программы "Доля молодых граждан в возрасте от 14 до 35 лет, проживающих на территории Кировской области, получивших услуги в рамках реализации молодежных программ (проектов), от общей численности граждан в возрасте от 14 до 35 лет, проживающих на территории Кировской области".</w:t>
      </w:r>
    </w:p>
    <w:bookmarkStart w:id="752" w:name="P752"/>
    <w:bookmarkEnd w:id="752"/>
    <w:p>
      <w:pPr>
        <w:pStyle w:val="0"/>
        <w:spacing w:before="200" w:lineRule="auto"/>
        <w:ind w:firstLine="540"/>
        <w:jc w:val="both"/>
      </w:pPr>
      <w:r>
        <w:rPr>
          <w:sz w:val="20"/>
        </w:rPr>
        <w:t xml:space="preserve">1.3. Гранты предоставляются с целью создания условий для вовлечения молодежи в процессы социально-экономического, общественно-политического и культурного развития Кировской области.</w:t>
      </w:r>
    </w:p>
    <w:p>
      <w:pPr>
        <w:pStyle w:val="0"/>
        <w:spacing w:before="200" w:lineRule="auto"/>
        <w:ind w:firstLine="540"/>
        <w:jc w:val="both"/>
      </w:pPr>
      <w:r>
        <w:rPr>
          <w:sz w:val="20"/>
        </w:rPr>
        <w:t xml:space="preserve">1.4. Получателями грантов являются межрегиональные, региональные и местные молодежные и детские общественные объединения, включенные в перечень молодежных и детских общественных объединений Кировской области, имеющих право на получение государственной поддержки, утвержденный приказом министерства молодежной политики Кировской области от 25.02.2025 N 32-од "Об утверждении перечня молодежных и детских общественных объединений Кировской области, имеющих право на получение государственной поддержки" (далее - получатели грантов).</w:t>
      </w:r>
    </w:p>
    <w:p>
      <w:pPr>
        <w:pStyle w:val="0"/>
        <w:spacing w:before="200" w:lineRule="auto"/>
        <w:ind w:firstLine="540"/>
        <w:jc w:val="both"/>
      </w:pPr>
      <w:r>
        <w:rPr>
          <w:sz w:val="20"/>
        </w:rPr>
        <w:t xml:space="preserve">1.5. Гранты предоставляются получателям грантов по результатам конкурсного отбора, проводимого министерством (далее - конкурсный отбор), на финансовое обеспечение затрат на осуществление социально значимых проектов (программ), в том числе на инициативные проекты в сфере молодежной политики, в соответствии с основными направлениями молодежной политики, указанными в </w:t>
      </w:r>
      <w:hyperlink w:history="0" r:id="rId23" w:tooltip="Федеральный закон от 30.12.2020 N 489-ФЗ (ред. от 23.07.2025) &quot;О молодежной политике в Российской Федерации&quot; {КонсультантПлюс}">
        <w:r>
          <w:rPr>
            <w:sz w:val="20"/>
            <w:color w:val="0000ff"/>
          </w:rPr>
          <w:t xml:space="preserve">статье 6</w:t>
        </w:r>
      </w:hyperlink>
      <w:r>
        <w:rPr>
          <w:sz w:val="20"/>
        </w:rPr>
        <w:t xml:space="preserve"> Федерального закона от 30.12.2020 N 489-ФЗ "О молодежной политике в Российской Федерации".</w:t>
      </w:r>
    </w:p>
    <w:p>
      <w:pPr>
        <w:pStyle w:val="0"/>
        <w:spacing w:before="200" w:lineRule="auto"/>
        <w:ind w:firstLine="540"/>
        <w:jc w:val="both"/>
      </w:pPr>
      <w:r>
        <w:rPr>
          <w:sz w:val="20"/>
        </w:rPr>
        <w:t xml:space="preserve">1.6. Гранты предоставляются министерством в пределах бюджетных ассигнований, предусмотренных в областном бюджете, и лимитов бюджетных обязательств, доведенных в установленном порядке министерству на 2025 год на предоставление грантов.</w:t>
      </w:r>
    </w:p>
    <w:p>
      <w:pPr>
        <w:pStyle w:val="0"/>
        <w:spacing w:before="200" w:lineRule="auto"/>
        <w:ind w:firstLine="540"/>
        <w:jc w:val="both"/>
      </w:pPr>
      <w:r>
        <w:rPr>
          <w:sz w:val="20"/>
        </w:rPr>
        <w:t xml:space="preserve">1.7. Сведения о грантах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pPr>
        <w:pStyle w:val="0"/>
        <w:jc w:val="both"/>
      </w:pPr>
      <w:r>
        <w:rPr>
          <w:sz w:val="20"/>
        </w:rPr>
      </w:r>
    </w:p>
    <w:p>
      <w:pPr>
        <w:pStyle w:val="2"/>
        <w:outlineLvl w:val="1"/>
        <w:ind w:firstLine="540"/>
        <w:jc w:val="both"/>
      </w:pPr>
      <w:r>
        <w:rPr>
          <w:sz w:val="20"/>
        </w:rPr>
        <w:t xml:space="preserve">2. Порядок проведения конкурсного отбора получателей грантов</w:t>
      </w:r>
    </w:p>
    <w:p>
      <w:pPr>
        <w:pStyle w:val="0"/>
        <w:jc w:val="both"/>
      </w:pPr>
      <w:r>
        <w:rPr>
          <w:sz w:val="20"/>
        </w:rPr>
      </w:r>
    </w:p>
    <w:p>
      <w:pPr>
        <w:pStyle w:val="0"/>
        <w:ind w:firstLine="540"/>
        <w:jc w:val="both"/>
      </w:pPr>
      <w:r>
        <w:rPr>
          <w:sz w:val="20"/>
        </w:rPr>
        <w:t xml:space="preserve">2.1. Гранты предоставляются по результатам конкурсного отбора, на основании оценки конкурсных заявок, направленных участниками конкурсного отбора для участия в конкурсном отборе (далее - конкурсные заявки).</w:t>
      </w:r>
    </w:p>
    <w:p>
      <w:pPr>
        <w:pStyle w:val="0"/>
        <w:spacing w:before="200" w:lineRule="auto"/>
        <w:ind w:firstLine="540"/>
        <w:jc w:val="both"/>
      </w:pPr>
      <w:r>
        <w:rPr>
          <w:sz w:val="20"/>
        </w:rPr>
        <w:t xml:space="preserve">2.2. Конкурсный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2.3. Взаимодействие министерства, экспертной комиссии, сформированной министерством на основании правового акта министерства для рассмотрения и оценки конкурсных заявок, определения победителя конкурсного отбора (далее - экспертная комиссия), участников конкурсного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Объявление о проведении конкурсного отбора размещается министерством на едином портале не позднее чем за 2 рабочих дня до начала приема конкурсных заявок и включает в себя:</w:t>
      </w:r>
    </w:p>
    <w:p>
      <w:pPr>
        <w:pStyle w:val="0"/>
        <w:spacing w:before="200" w:lineRule="auto"/>
        <w:ind w:firstLine="540"/>
        <w:jc w:val="both"/>
      </w:pPr>
      <w:r>
        <w:rPr>
          <w:sz w:val="20"/>
        </w:rPr>
        <w:t xml:space="preserve">2.4.1. Дату размещения объявления о проведении конкурсного отбора.</w:t>
      </w:r>
    </w:p>
    <w:p>
      <w:pPr>
        <w:pStyle w:val="0"/>
        <w:spacing w:before="200" w:lineRule="auto"/>
        <w:ind w:firstLine="540"/>
        <w:jc w:val="both"/>
      </w:pPr>
      <w:r>
        <w:rPr>
          <w:sz w:val="20"/>
        </w:rPr>
        <w:t xml:space="preserve">2.4.2. Срок проведения конкурсного отбора.</w:t>
      </w:r>
    </w:p>
    <w:p>
      <w:pPr>
        <w:pStyle w:val="0"/>
        <w:spacing w:before="200" w:lineRule="auto"/>
        <w:ind w:firstLine="540"/>
        <w:jc w:val="both"/>
      </w:pPr>
      <w:r>
        <w:rPr>
          <w:sz w:val="20"/>
        </w:rPr>
        <w:t xml:space="preserve">2.4.3. Дату начала и дату окончания приема конкурсных заявок, при этом дата окончания приема конкурсных заявок не может быть ранее 30-го календарного дня, следующего за днем размещения объявления о проведении конкурсного отбора.</w:t>
      </w:r>
    </w:p>
    <w:p>
      <w:pPr>
        <w:pStyle w:val="0"/>
        <w:spacing w:before="200" w:lineRule="auto"/>
        <w:ind w:firstLine="540"/>
        <w:jc w:val="both"/>
      </w:pPr>
      <w:r>
        <w:rPr>
          <w:sz w:val="20"/>
        </w:rPr>
        <w:t xml:space="preserve">2.4.4. Наименование, местонахождение, почтовый адрес, адрес электронной почты министерства.</w:t>
      </w:r>
    </w:p>
    <w:p>
      <w:pPr>
        <w:pStyle w:val="0"/>
        <w:spacing w:before="200" w:lineRule="auto"/>
        <w:ind w:firstLine="540"/>
        <w:jc w:val="both"/>
      </w:pPr>
      <w:r>
        <w:rPr>
          <w:sz w:val="20"/>
        </w:rPr>
        <w:t xml:space="preserve">2.4.5. Результат предоставления грантов в соответствии с </w:t>
      </w:r>
      <w:hyperlink w:history="0" w:anchor="P921" w:tooltip="3.16. Результатом предоставления грантов является количество реализованных получателями грантов проектов (программ). Значение, точная дата завершения результата предоставления гранта устанавливаются в соглашениях о предоставлении грантов. Типом результата предоставления грантов является оказание услуг (выполнение работ).">
        <w:r>
          <w:rPr>
            <w:sz w:val="20"/>
            <w:color w:val="0000ff"/>
          </w:rPr>
          <w:t xml:space="preserve">пунктом 3.16</w:t>
        </w:r>
      </w:hyperlink>
      <w:r>
        <w:rPr>
          <w:sz w:val="20"/>
        </w:rPr>
        <w:t xml:space="preserve"> настоящего Порядка.</w:t>
      </w:r>
    </w:p>
    <w:p>
      <w:pPr>
        <w:pStyle w:val="0"/>
        <w:spacing w:before="200" w:lineRule="auto"/>
        <w:ind w:firstLine="540"/>
        <w:jc w:val="both"/>
      </w:pPr>
      <w:r>
        <w:rPr>
          <w:sz w:val="20"/>
        </w:rPr>
        <w:t xml:space="preserve">2.4.6. Доменное имя и (или) указатели страниц государственной информационной системы в информационно-телекоммуникационной сети "Интернет".</w:t>
      </w:r>
    </w:p>
    <w:p>
      <w:pPr>
        <w:pStyle w:val="0"/>
        <w:spacing w:before="200" w:lineRule="auto"/>
        <w:ind w:firstLine="540"/>
        <w:jc w:val="both"/>
      </w:pPr>
      <w:r>
        <w:rPr>
          <w:sz w:val="20"/>
        </w:rPr>
        <w:t xml:space="preserve">2.4.7. Требования к участникам конкурсного отбора и перечень документов, представляемых участниками конкурсного отбора для подтверждения соответствия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w:t>
      </w:r>
    </w:p>
    <w:p>
      <w:pPr>
        <w:pStyle w:val="0"/>
        <w:spacing w:before="200" w:lineRule="auto"/>
        <w:ind w:firstLine="540"/>
        <w:jc w:val="both"/>
      </w:pPr>
      <w:r>
        <w:rPr>
          <w:sz w:val="20"/>
        </w:rPr>
        <w:t xml:space="preserve">2.4.8. Критерии конкурсного отбора в соответствии с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пунктом 2.17</w:t>
        </w:r>
      </w:hyperlink>
      <w:r>
        <w:rPr>
          <w:sz w:val="20"/>
        </w:rPr>
        <w:t xml:space="preserve"> настоящего Порядка.</w:t>
      </w:r>
    </w:p>
    <w:p>
      <w:pPr>
        <w:pStyle w:val="0"/>
        <w:spacing w:before="200" w:lineRule="auto"/>
        <w:ind w:firstLine="540"/>
        <w:jc w:val="both"/>
      </w:pPr>
      <w:r>
        <w:rPr>
          <w:sz w:val="20"/>
        </w:rPr>
        <w:t xml:space="preserve">2.4.9. Порядок подачи конкурсных </w:t>
      </w:r>
      <w:hyperlink w:history="0" w:anchor="P962" w:tooltip="КОНКУРСНАЯ ЗАЯВКА">
        <w:r>
          <w:rPr>
            <w:sz w:val="20"/>
            <w:color w:val="0000ff"/>
          </w:rPr>
          <w:t xml:space="preserve">заявок</w:t>
        </w:r>
      </w:hyperlink>
      <w:r>
        <w:rPr>
          <w:sz w:val="20"/>
        </w:rPr>
        <w:t xml:space="preserve"> и требования, предъявляемые к содержанию и форме конкурсных заявок, в соответствии с приложением N 1.</w:t>
      </w:r>
    </w:p>
    <w:p>
      <w:pPr>
        <w:pStyle w:val="0"/>
        <w:spacing w:before="200" w:lineRule="auto"/>
        <w:ind w:firstLine="540"/>
        <w:jc w:val="both"/>
      </w:pPr>
      <w:r>
        <w:rPr>
          <w:sz w:val="20"/>
        </w:rPr>
        <w:t xml:space="preserve">2.4.10. Порядок отзыва конкурсных заявок участниками конкурсного отбора в соответствии с </w:t>
      </w:r>
      <w:hyperlink w:history="0" w:anchor="P804" w:tooltip="2.11. Конкурсные заявки могут быть отозваны участниками конкурсного отбора до окончания срока приема конкурсных заявок, указанного в объявлении о проведении конкурсного отбора.">
        <w:r>
          <w:rPr>
            <w:sz w:val="20"/>
            <w:color w:val="0000ff"/>
          </w:rPr>
          <w:t xml:space="preserve">пунктом 2.11</w:t>
        </w:r>
      </w:hyperlink>
      <w:r>
        <w:rPr>
          <w:sz w:val="20"/>
        </w:rPr>
        <w:t xml:space="preserve"> настоящего Порядка, порядок возврата конкурсных заявок участниками конкурсного отбора, порядок внесения изменений в конкурсные заявки в соответствии с </w:t>
      </w:r>
      <w:hyperlink w:history="0" w:anchor="P803" w:tooltip="2.10. Возврат конкурсных заявок на доработку, а также внесение изменений в конкурсные заявки не предусмотрено, за исключением случая, указанного в абзаце четвертом пункта 2.5 настоящего Порядка.">
        <w:r>
          <w:rPr>
            <w:sz w:val="20"/>
            <w:color w:val="0000ff"/>
          </w:rPr>
          <w:t xml:space="preserve">пунктом 2.10</w:t>
        </w:r>
      </w:hyperlink>
      <w:r>
        <w:rPr>
          <w:sz w:val="20"/>
        </w:rPr>
        <w:t xml:space="preserve"> настоящего Порядка.</w:t>
      </w:r>
    </w:p>
    <w:p>
      <w:pPr>
        <w:pStyle w:val="0"/>
        <w:spacing w:before="200" w:lineRule="auto"/>
        <w:ind w:firstLine="540"/>
        <w:jc w:val="both"/>
      </w:pPr>
      <w:r>
        <w:rPr>
          <w:sz w:val="20"/>
        </w:rPr>
        <w:t xml:space="preserve">2.4.11. Порядок работы экспертной комиссии в соответствии с </w:t>
      </w:r>
      <w:hyperlink w:history="0" w:anchor="P848" w:tooltip="2.25. Оценка конкурсных заявок осуществляется экспертной комиссией, состав которой утверждается приказом министерства.">
        <w:r>
          <w:rPr>
            <w:sz w:val="20"/>
            <w:color w:val="0000ff"/>
          </w:rPr>
          <w:t xml:space="preserve">пунктом 2.25</w:t>
        </w:r>
      </w:hyperlink>
      <w:r>
        <w:rPr>
          <w:sz w:val="20"/>
        </w:rPr>
        <w:t xml:space="preserve"> настоящего Порядка.</w:t>
      </w:r>
    </w:p>
    <w:p>
      <w:pPr>
        <w:pStyle w:val="0"/>
        <w:spacing w:before="200" w:lineRule="auto"/>
        <w:ind w:firstLine="540"/>
        <w:jc w:val="both"/>
      </w:pPr>
      <w:r>
        <w:rPr>
          <w:sz w:val="20"/>
        </w:rPr>
        <w:t xml:space="preserve">2.4.12. Порядок рассмотрения и оценки конкурсных заявок экспертной комиссией в соответствии с </w:t>
      </w:r>
      <w:hyperlink w:history="0" w:anchor="P857" w:tooltip="2.28. Министерством в течение 1-го рабочего дня, следующего за датой окончания срока рассмотрения конкурсных заявок, обеспечивается доступ экспертной комиссии к конкурсным заявкам в системе &quot;Электронный бюджет&quot; для их оценки.">
        <w:r>
          <w:rPr>
            <w:sz w:val="20"/>
            <w:color w:val="0000ff"/>
          </w:rPr>
          <w:t xml:space="preserve">пунктом 2.28</w:t>
        </w:r>
      </w:hyperlink>
      <w:r>
        <w:rPr>
          <w:sz w:val="20"/>
        </w:rPr>
        <w:t xml:space="preserve"> настоящего Порядка.</w:t>
      </w:r>
    </w:p>
    <w:p>
      <w:pPr>
        <w:pStyle w:val="0"/>
        <w:spacing w:before="200" w:lineRule="auto"/>
        <w:ind w:firstLine="540"/>
        <w:jc w:val="both"/>
      </w:pPr>
      <w:r>
        <w:rPr>
          <w:sz w:val="20"/>
        </w:rPr>
        <w:t xml:space="preserve">2.4.13. Порядок отклонения конкурсных заявок, а также информацию об основаниях для отклонения конкурсных заявок в соответствии с </w:t>
      </w:r>
      <w:hyperlink w:history="0" w:anchor="P840" w:tooltip="2.23. Основаниями для отклонения конкурсных заявок являются:">
        <w:r>
          <w:rPr>
            <w:sz w:val="20"/>
            <w:color w:val="0000ff"/>
          </w:rPr>
          <w:t xml:space="preserve">пунктом 2.23</w:t>
        </w:r>
      </w:hyperlink>
      <w:r>
        <w:rPr>
          <w:sz w:val="20"/>
        </w:rPr>
        <w:t xml:space="preserve"> настоящего Порядка.</w:t>
      </w:r>
    </w:p>
    <w:p>
      <w:pPr>
        <w:pStyle w:val="0"/>
        <w:spacing w:before="200" w:lineRule="auto"/>
        <w:ind w:firstLine="540"/>
        <w:jc w:val="both"/>
      </w:pPr>
      <w:r>
        <w:rPr>
          <w:sz w:val="20"/>
        </w:rPr>
        <w:t xml:space="preserve">2.4.14. Порядок предоставления участникам конкурсного отбора разъяснений положений объявления о проведении конкурсного отбора, даты начала и окончания срока предоставления таких разъяснений.</w:t>
      </w:r>
    </w:p>
    <w:p>
      <w:pPr>
        <w:pStyle w:val="0"/>
        <w:spacing w:before="200" w:lineRule="auto"/>
        <w:ind w:firstLine="540"/>
        <w:jc w:val="both"/>
      </w:pPr>
      <w:r>
        <w:rPr>
          <w:sz w:val="20"/>
        </w:rPr>
        <w:t xml:space="preserve">2.4.15. Срок, в течение которого получатели гранта должны подписать соглашения о предоставлении грантов в соответствии с </w:t>
      </w:r>
      <w:hyperlink w:history="0" w:anchor="P887" w:tooltip="3.1. Министерство в течение 20 рабочих дней со дня опубликования правового акта, указанного в пункте 2.36 настоящего Порядка, заключает с получателями грантов соглашения о предоставлении грантов.">
        <w:r>
          <w:rPr>
            <w:sz w:val="20"/>
            <w:color w:val="0000ff"/>
          </w:rPr>
          <w:t xml:space="preserve">пунктом 3.1</w:t>
        </w:r>
      </w:hyperlink>
      <w:r>
        <w:rPr>
          <w:sz w:val="20"/>
        </w:rPr>
        <w:t xml:space="preserve"> настоящего Порядка.</w:t>
      </w:r>
    </w:p>
    <w:p>
      <w:pPr>
        <w:pStyle w:val="0"/>
        <w:spacing w:before="200" w:lineRule="auto"/>
        <w:ind w:firstLine="540"/>
        <w:jc w:val="both"/>
      </w:pPr>
      <w:r>
        <w:rPr>
          <w:sz w:val="20"/>
        </w:rPr>
        <w:t xml:space="preserve">2.4.16. Условия признания победителя (победителей) конкурсного отбора уклонившимся (уклонившимися) от заключения соглашения о предоставлении гранта в соответствии с </w:t>
      </w:r>
      <w:hyperlink w:history="0" w:anchor="P906" w:tooltip="3.6. В случае незаключения получателями грантов соглашений о предоставлении грантов в установленный срок или расторжения соглашений о предоставлении грантов с получателями грантов в период реализации проектов (программ) министерство в течение 5 рабочих дней со дня истечения установленного срока вносит изменение в правовой акт, указанный в пункте 2.36 настоящего Порядка, в части исключения данных получателей грантов из числа получателей грантов.">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2.4.17. Сроки размещения протокола подведения итогов конкурсного отбора (документа об итогах проведения конкурсного отбора) на едином портале, которые не могут быть позднее 14-го календарного дня, следующего за днем определения победителя (победителей) конкурсного отбора.</w:t>
      </w:r>
    </w:p>
    <w:p>
      <w:pPr>
        <w:pStyle w:val="0"/>
        <w:spacing w:before="200" w:lineRule="auto"/>
        <w:ind w:firstLine="540"/>
        <w:jc w:val="both"/>
      </w:pPr>
      <w:r>
        <w:rPr>
          <w:sz w:val="20"/>
        </w:rPr>
        <w:t xml:space="preserve">2.4.18. Порядок внесения изменений в объявление о проведении конкурсного отбора в соответствии с </w:t>
      </w:r>
      <w:hyperlink w:history="0" w:anchor="P782" w:tooltip="2.5. Внесение изменений в объявление о проведении конкурсного отбора осуществляется не позднее даты окончания приема конкурсных заявок с соблюдением следующих условий:">
        <w:r>
          <w:rPr>
            <w:sz w:val="20"/>
            <w:color w:val="0000ff"/>
          </w:rPr>
          <w:t xml:space="preserve">пунктом 2.5</w:t>
        </w:r>
      </w:hyperlink>
      <w:r>
        <w:rPr>
          <w:sz w:val="20"/>
        </w:rPr>
        <w:t xml:space="preserve"> настоящего Порядка.</w:t>
      </w:r>
    </w:p>
    <w:bookmarkStart w:id="782" w:name="P782"/>
    <w:bookmarkEnd w:id="782"/>
    <w:p>
      <w:pPr>
        <w:pStyle w:val="0"/>
        <w:spacing w:before="200" w:lineRule="auto"/>
        <w:ind w:firstLine="540"/>
        <w:jc w:val="both"/>
      </w:pPr>
      <w:r>
        <w:rPr>
          <w:sz w:val="20"/>
        </w:rPr>
        <w:t xml:space="preserve">2.5. Внесение изменений в объявление о проведении конкурсного отбора осуществляется не позднее даты окончания приема конкурсных заявок с соблюдением следующих условий:</w:t>
      </w:r>
    </w:p>
    <w:p>
      <w:pPr>
        <w:pStyle w:val="0"/>
        <w:spacing w:before="200" w:lineRule="auto"/>
        <w:ind w:firstLine="540"/>
        <w:jc w:val="both"/>
      </w:pPr>
      <w:r>
        <w:rPr>
          <w:sz w:val="20"/>
        </w:rPr>
        <w:t xml:space="preserve">срок подачи участниками конкурсного отбора конкурсных заявок должен быть продлен таким образом, чтобы со дня, следующего за днем внесения таких изменений, до даты окончания приема конкурсных заявок указанный срок составлял не менее 3 календарных дней;</w:t>
      </w:r>
    </w:p>
    <w:p>
      <w:pPr>
        <w:pStyle w:val="0"/>
        <w:spacing w:before="200" w:lineRule="auto"/>
        <w:ind w:firstLine="540"/>
        <w:jc w:val="both"/>
      </w:pPr>
      <w:r>
        <w:rPr>
          <w:sz w:val="20"/>
        </w:rPr>
        <w:t xml:space="preserve">при внесении изменений в объявление о проведении конкурсного отбора изменение способа отбора участников конкурсного отбора не допускается;</w:t>
      </w:r>
    </w:p>
    <w:bookmarkStart w:id="785" w:name="P785"/>
    <w:bookmarkEnd w:id="785"/>
    <w:p>
      <w:pPr>
        <w:pStyle w:val="0"/>
        <w:spacing w:before="200" w:lineRule="auto"/>
        <w:ind w:firstLine="540"/>
        <w:jc w:val="both"/>
      </w:pPr>
      <w:r>
        <w:rPr>
          <w:sz w:val="20"/>
        </w:rPr>
        <w:t xml:space="preserve">в случае внесения изменений в объявление о проведении конкурсного отбора после наступления даты начала приема конкурсных заявок в объявление о проведении конкурсного отбора включается положение, предусматривающее право участников конкурсного отбора внести изменения в конкурсные заявки;</w:t>
      </w:r>
    </w:p>
    <w:p>
      <w:pPr>
        <w:pStyle w:val="0"/>
        <w:spacing w:before="200" w:lineRule="auto"/>
        <w:ind w:firstLine="540"/>
        <w:jc w:val="both"/>
      </w:pPr>
      <w:r>
        <w:rPr>
          <w:sz w:val="20"/>
        </w:rPr>
        <w:t xml:space="preserve">участники конкурсного отбора, подавшие конкурсную заявку, уведомляются о внесении изменений в объявление о проведении конкурсного отбора не позднее дня, следующего за днем внесения изменений в объявление о проведении конкурсного отбора, с использованием системы "Электронный бюджет".</w:t>
      </w:r>
    </w:p>
    <w:bookmarkStart w:id="787" w:name="P787"/>
    <w:bookmarkEnd w:id="787"/>
    <w:p>
      <w:pPr>
        <w:pStyle w:val="0"/>
        <w:spacing w:before="200" w:lineRule="auto"/>
        <w:ind w:firstLine="540"/>
        <w:jc w:val="both"/>
      </w:pPr>
      <w:r>
        <w:rPr>
          <w:sz w:val="20"/>
        </w:rPr>
        <w:t xml:space="preserve">2.6. Участники конкурсного отбора формируют в электронной форме конкурсные заявки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 о проведении конкурсного отбора.</w:t>
      </w:r>
    </w:p>
    <w:p>
      <w:pPr>
        <w:pStyle w:val="0"/>
        <w:spacing w:before="200" w:lineRule="auto"/>
        <w:ind w:firstLine="540"/>
        <w:jc w:val="both"/>
      </w:pPr>
      <w:r>
        <w:rPr>
          <w:sz w:val="20"/>
        </w:rPr>
        <w:t xml:space="preserve">Конкурсная заявка должна содержать следующие информацию и документы об участнике конкурсного отбора:</w:t>
      </w:r>
    </w:p>
    <w:p>
      <w:pPr>
        <w:pStyle w:val="0"/>
        <w:spacing w:before="200" w:lineRule="auto"/>
        <w:ind w:firstLine="540"/>
        <w:jc w:val="both"/>
      </w:pPr>
      <w:r>
        <w:rPr>
          <w:sz w:val="20"/>
        </w:rPr>
        <w:t xml:space="preserve">полное и сокращенное наименование;</w:t>
      </w:r>
    </w:p>
    <w:p>
      <w:pPr>
        <w:pStyle w:val="0"/>
        <w:spacing w:before="200" w:lineRule="auto"/>
        <w:ind w:firstLine="540"/>
        <w:jc w:val="both"/>
      </w:pPr>
      <w:r>
        <w:rPr>
          <w:sz w:val="20"/>
        </w:rPr>
        <w:t xml:space="preserve">основной государственный регистрационный номер;</w:t>
      </w:r>
    </w:p>
    <w:p>
      <w:pPr>
        <w:pStyle w:val="0"/>
        <w:spacing w:before="200" w:lineRule="auto"/>
        <w:ind w:firstLine="540"/>
        <w:jc w:val="both"/>
      </w:pPr>
      <w:r>
        <w:rPr>
          <w:sz w:val="20"/>
        </w:rPr>
        <w:t xml:space="preserve">идентификационный номер налогоплательщика;</w:t>
      </w:r>
    </w:p>
    <w:p>
      <w:pPr>
        <w:pStyle w:val="0"/>
        <w:spacing w:before="200" w:lineRule="auto"/>
        <w:ind w:firstLine="540"/>
        <w:jc w:val="both"/>
      </w:pPr>
      <w:r>
        <w:rPr>
          <w:sz w:val="20"/>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00" w:lineRule="auto"/>
        <w:ind w:firstLine="540"/>
        <w:jc w:val="both"/>
      </w:pPr>
      <w:r>
        <w:rPr>
          <w:sz w:val="20"/>
        </w:rPr>
        <w:t xml:space="preserve">информацию о главном бухгалтере (при наличии), учредителях, членах коллегиального исполнительного органа, лице, которое исполняет функции единоличного исполнительного органа (фамилию, имя, отчество (при наличии) и идентификационный номер налогоплательщика);</w:t>
      </w:r>
    </w:p>
    <w:p>
      <w:pPr>
        <w:pStyle w:val="0"/>
        <w:spacing w:before="200" w:lineRule="auto"/>
        <w:ind w:firstLine="540"/>
        <w:jc w:val="both"/>
      </w:pPr>
      <w:r>
        <w:rPr>
          <w:sz w:val="20"/>
        </w:rPr>
        <w:t xml:space="preserve">информацию о руководителе участника конкурсного отбора (фамилию, имя, отчество (при наличии), идентификационный номер налогоплательщика, должность);</w:t>
      </w:r>
    </w:p>
    <w:p>
      <w:pPr>
        <w:pStyle w:val="0"/>
        <w:spacing w:before="200" w:lineRule="auto"/>
        <w:ind w:firstLine="540"/>
        <w:jc w:val="both"/>
      </w:pPr>
      <w:r>
        <w:rPr>
          <w:sz w:val="20"/>
        </w:rPr>
        <w:t xml:space="preserve">перечень основных и дополнительных видов деятельности, которые участник конкурсного отбора вправе осуществлять в соответствии с учредительными документами;</w:t>
      </w:r>
    </w:p>
    <w:p>
      <w:pPr>
        <w:pStyle w:val="0"/>
        <w:spacing w:before="200" w:lineRule="auto"/>
        <w:ind w:firstLine="540"/>
        <w:jc w:val="both"/>
      </w:pPr>
      <w:r>
        <w:rPr>
          <w:sz w:val="20"/>
        </w:rPr>
        <w:t xml:space="preserve">информацию о лицевом счете для учета операций со средствами участников казначейского сопровождения, открытом участником конкурсного отбора, не включенным в реестр социально ориентированных некоммерческих организаций, в министерстве финансов Кировской области, либо информацию о расчетном счете, открытом участником конкурсного отбора, включенным в реестр социально ориентированных некоммерческих организаций, в кредитной организации;</w:t>
      </w:r>
    </w:p>
    <w:p>
      <w:pPr>
        <w:pStyle w:val="0"/>
        <w:spacing w:before="200" w:lineRule="auto"/>
        <w:ind w:firstLine="540"/>
        <w:jc w:val="both"/>
      </w:pPr>
      <w:r>
        <w:rPr>
          <w:sz w:val="20"/>
        </w:rPr>
        <w:t xml:space="preserve">информацию о лице, уполномоченном на подписание соглашения о предоставлении гранта;</w:t>
      </w:r>
    </w:p>
    <w:p>
      <w:pPr>
        <w:pStyle w:val="0"/>
        <w:spacing w:before="200" w:lineRule="auto"/>
        <w:ind w:firstLine="540"/>
        <w:jc w:val="both"/>
      </w:pPr>
      <w:r>
        <w:rPr>
          <w:sz w:val="20"/>
        </w:rPr>
        <w:t xml:space="preserve">предлагаемое участником конкурсного отбора значение результата предоставления гранта, указанное в </w:t>
      </w:r>
      <w:hyperlink w:history="0" w:anchor="P921" w:tooltip="3.16. Результатом предоставления грантов является количество реализованных получателями грантов проектов (программ). Значение, точная дата завершения результата предоставления гранта устанавливаются в соглашениях о предоставлении грантов. Типом результата предоставления грантов является оказание услуг (выполнение работ).">
        <w:r>
          <w:rPr>
            <w:sz w:val="20"/>
            <w:color w:val="0000ff"/>
          </w:rPr>
          <w:t xml:space="preserve">пункте 3.16</w:t>
        </w:r>
      </w:hyperlink>
      <w:r>
        <w:rPr>
          <w:sz w:val="20"/>
        </w:rPr>
        <w:t xml:space="preserve"> настоящего Порядка, и запрашиваемый участником конкурсного отбора размер гранта, который не может быть выше (ниже) максимального (минимального) размера, установленного в объявлении о проведении конкурсного отбора, в соответствии с </w:t>
      </w:r>
      <w:hyperlink w:history="0" w:anchor="P962" w:tooltip="КОНКУРСНАЯ ЗАЯВКА">
        <w:r>
          <w:rPr>
            <w:sz w:val="20"/>
            <w:color w:val="0000ff"/>
          </w:rPr>
          <w:t xml:space="preserve">приложением N 1</w:t>
        </w:r>
      </w:hyperlink>
      <w:r>
        <w:rPr>
          <w:sz w:val="20"/>
        </w:rPr>
        <w:t xml:space="preserve">.</w:t>
      </w:r>
    </w:p>
    <w:p>
      <w:pPr>
        <w:pStyle w:val="0"/>
        <w:spacing w:before="200" w:lineRule="auto"/>
        <w:ind w:firstLine="540"/>
        <w:jc w:val="both"/>
      </w:pPr>
      <w:r>
        <w:rPr>
          <w:sz w:val="20"/>
        </w:rPr>
        <w:t xml:space="preserve">2.7. Заявки подписываются усиленной квалифицированной электронной подписью руководителей участников конкурсного отбора или уполномоченных ими лиц.</w:t>
      </w:r>
    </w:p>
    <w:p>
      <w:pPr>
        <w:pStyle w:val="0"/>
        <w:spacing w:before="200" w:lineRule="auto"/>
        <w:ind w:firstLine="540"/>
        <w:jc w:val="both"/>
      </w:pPr>
      <w:r>
        <w:rPr>
          <w:sz w:val="20"/>
        </w:rPr>
        <w:t xml:space="preserve">2.8. Датой представления участниками конкурсного отбора конкурсных заявок считается день подписания участниками конкурсного отбора конкурсных заявок с присвоением им регистрационного номера в системе "Электронный бюджет".</w:t>
      </w:r>
    </w:p>
    <w:p>
      <w:pPr>
        <w:pStyle w:val="0"/>
        <w:spacing w:before="200" w:lineRule="auto"/>
        <w:ind w:firstLine="540"/>
        <w:jc w:val="both"/>
      </w:pPr>
      <w:r>
        <w:rPr>
          <w:sz w:val="20"/>
        </w:rPr>
        <w:t xml:space="preserve">2.9. Участники конкурсного отбора вправе в период приема конкурсных заявок получить разъяснения положений объявления о проведении конкурсного отбора путем личного обращения или направления письменного обращения о предоставлении разъяснения положений объявления о проведении конкурсного отбора (далее - обращение) в министерство по месту его нахождения либо обращения в форме электронного документа на адрес электронной почты министерства.</w:t>
      </w:r>
    </w:p>
    <w:p>
      <w:pPr>
        <w:pStyle w:val="0"/>
        <w:spacing w:before="200" w:lineRule="auto"/>
        <w:ind w:firstLine="540"/>
        <w:jc w:val="both"/>
      </w:pPr>
      <w:r>
        <w:rPr>
          <w:sz w:val="20"/>
        </w:rPr>
        <w:t xml:space="preserve">Министерство в течение 5 рабочих дней со дня регистрации обращения рассматривает его и направляет ответ в форме, соответствующей форме обращения, на адрес, указанный в обращении.</w:t>
      </w:r>
    </w:p>
    <w:bookmarkStart w:id="803" w:name="P803"/>
    <w:bookmarkEnd w:id="803"/>
    <w:p>
      <w:pPr>
        <w:pStyle w:val="0"/>
        <w:spacing w:before="200" w:lineRule="auto"/>
        <w:ind w:firstLine="540"/>
        <w:jc w:val="both"/>
      </w:pPr>
      <w:r>
        <w:rPr>
          <w:sz w:val="20"/>
        </w:rPr>
        <w:t xml:space="preserve">2.10. Возврат конкурсных заявок на доработку, а также внесение изменений в конкурсные заявки не предусмотрено, за исключением случая, указанного в </w:t>
      </w:r>
      <w:hyperlink w:history="0" w:anchor="P785" w:tooltip="в случае внесения изменений в объявление о проведении конкурсного отбора после наступления даты начала приема конкурсных заявок в объявление о проведении конкурсного отбора включается положение, предусматривающее право участников конкурсного отбора внести изменения в конкурсные заявки;">
        <w:r>
          <w:rPr>
            <w:sz w:val="20"/>
            <w:color w:val="0000ff"/>
          </w:rPr>
          <w:t xml:space="preserve">абзаце четвертом пункта 2.5</w:t>
        </w:r>
      </w:hyperlink>
      <w:r>
        <w:rPr>
          <w:sz w:val="20"/>
        </w:rPr>
        <w:t xml:space="preserve"> настоящего Порядка.</w:t>
      </w:r>
    </w:p>
    <w:bookmarkStart w:id="804" w:name="P804"/>
    <w:bookmarkEnd w:id="804"/>
    <w:p>
      <w:pPr>
        <w:pStyle w:val="0"/>
        <w:spacing w:before="200" w:lineRule="auto"/>
        <w:ind w:firstLine="540"/>
        <w:jc w:val="both"/>
      </w:pPr>
      <w:r>
        <w:rPr>
          <w:sz w:val="20"/>
        </w:rPr>
        <w:t xml:space="preserve">2.11. Конкурсные заявки могут быть отозваны участниками конкурсного отбора до окончания срока приема конкурсных заявок, указанного в объявлении о проведении конкурсного отбора.</w:t>
      </w:r>
    </w:p>
    <w:bookmarkStart w:id="805" w:name="P805"/>
    <w:bookmarkEnd w:id="805"/>
    <w:p>
      <w:pPr>
        <w:pStyle w:val="0"/>
        <w:spacing w:before="200" w:lineRule="auto"/>
        <w:ind w:firstLine="540"/>
        <w:jc w:val="both"/>
      </w:pPr>
      <w:r>
        <w:rPr>
          <w:sz w:val="20"/>
        </w:rPr>
        <w:t xml:space="preserve">2.12. По состоянию на 1-е число месяца, предшествующего месяцу подачи документов, участники конкурсного отбора должны соответствовать следующим требованиям:</w:t>
      </w:r>
    </w:p>
    <w:p>
      <w:pPr>
        <w:pStyle w:val="0"/>
        <w:spacing w:before="200" w:lineRule="auto"/>
        <w:ind w:firstLine="540"/>
        <w:jc w:val="both"/>
      </w:pPr>
      <w:r>
        <w:rPr>
          <w:sz w:val="20"/>
        </w:rPr>
        <w:t xml:space="preserve">2.12.1. Участник конкурсного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pPr>
        <w:pStyle w:val="0"/>
        <w:spacing w:before="200" w:lineRule="auto"/>
        <w:ind w:firstLine="540"/>
        <w:jc w:val="both"/>
      </w:pPr>
      <w:r>
        <w:rPr>
          <w:sz w:val="20"/>
        </w:rPr>
        <w:t xml:space="preserve">2.12.2. Участник конкурсного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2.12.3. Участник конкурсного отбора не находится в составляемых в рамках реализации полномочий, предусмотренных </w:t>
      </w:r>
      <w:hyperlink w:history="0" r:id="rId2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2.12.4. Участник конкурсного отбора не получает средства из областного бюджета на основании иных нормативных правовых актов Правительства Кировской области на цель, указанную в </w:t>
      </w:r>
      <w:hyperlink w:history="0" w:anchor="P752" w:tooltip="1.3. Гранты предоставляются с целью создания условий для вовлечения молодежи в процессы социально-экономического, общественно-политического и культурного развития Кировской области.">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2.12.5. Участник конкурсного отбора не является иностранным агентом в соответствии с Федеральным </w:t>
      </w:r>
      <w:hyperlink w:history="0" r:id="rId2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2.12.6. Участник конкурсного отбора не имеет просроченной задолженности по возврату в областной бюджет иных субсидий, бюджетных инвестиций, предоставленных в том числе в соответствии с иными правовыми актами Правительства Кировской области, а также иной просроченной (неурегулированной) задолженности по денежным обязательствам перед областным бюджетом.</w:t>
      </w:r>
    </w:p>
    <w:p>
      <w:pPr>
        <w:pStyle w:val="0"/>
        <w:spacing w:before="200" w:lineRule="auto"/>
        <w:ind w:firstLine="540"/>
        <w:jc w:val="both"/>
      </w:pPr>
      <w:r>
        <w:rPr>
          <w:sz w:val="20"/>
        </w:rPr>
        <w:t xml:space="preserve">2.12.7. Участник конкурсного отбора не находится в процессе ликвидации, реорганизации (за исключением реорганизации в форме присоединения к некоммерческой организации, являющейся участником конкурсного отбора, другого юридического лица), в отношении него не введена процедура банкротства, деятельность участника конкурсного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2.12.8.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конкурсного отбора.</w:t>
      </w:r>
    </w:p>
    <w:bookmarkStart w:id="814" w:name="P814"/>
    <w:bookmarkEnd w:id="814"/>
    <w:p>
      <w:pPr>
        <w:pStyle w:val="0"/>
        <w:spacing w:before="200" w:lineRule="auto"/>
        <w:ind w:firstLine="540"/>
        <w:jc w:val="both"/>
      </w:pPr>
      <w:r>
        <w:rPr>
          <w:sz w:val="20"/>
        </w:rPr>
        <w:t xml:space="preserve">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w:t>
      </w:r>
      <w:hyperlink w:history="0" r:id="rId26"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p>
      <w:pPr>
        <w:pStyle w:val="0"/>
        <w:spacing w:before="200" w:lineRule="auto"/>
        <w:ind w:firstLine="540"/>
        <w:jc w:val="both"/>
      </w:pPr>
      <w:r>
        <w:rPr>
          <w:sz w:val="20"/>
        </w:rPr>
        <w:t xml:space="preserve">2.14. Проверка участников конкурсного отбора на соответствие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2.15. Подтверждение соответствия участников конкурсного отбора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при подаче конкурсных заявок участниками конкурсного отбора отметок о соответствии указанным требованиям к участникам конкурсного отбора посредством заполнения соответствующих экранных форм веб-интерфейса системы "Электронный бюджет" с приложением электронных копий соответствующих справок.</w:t>
      </w:r>
    </w:p>
    <w:p>
      <w:pPr>
        <w:pStyle w:val="0"/>
        <w:spacing w:before="200" w:lineRule="auto"/>
        <w:ind w:firstLine="540"/>
        <w:jc w:val="both"/>
      </w:pPr>
      <w:r>
        <w:rPr>
          <w:sz w:val="20"/>
        </w:rPr>
        <w:t xml:space="preserve">2.16. Запрещается требовать от участников конкурсного отбора представления документов и информации в целях подтверждения соответствия участников отбора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участники конкурсного отбора готовы представить указанные документы и информацию министерству по собственной инициативе.</w:t>
      </w:r>
    </w:p>
    <w:bookmarkStart w:id="818" w:name="P818"/>
    <w:bookmarkEnd w:id="818"/>
    <w:p>
      <w:pPr>
        <w:pStyle w:val="0"/>
        <w:spacing w:before="200" w:lineRule="auto"/>
        <w:ind w:firstLine="540"/>
        <w:jc w:val="both"/>
      </w:pPr>
      <w:r>
        <w:rPr>
          <w:sz w:val="20"/>
        </w:rPr>
        <w:t xml:space="preserve">2.17. Участники конкурсного отбора по состоянию на дату подачи конкурсной заявки должны соответствовать следующим критериям конкурсного отбора:</w:t>
      </w:r>
    </w:p>
    <w:bookmarkStart w:id="819" w:name="P819"/>
    <w:bookmarkEnd w:id="819"/>
    <w:p>
      <w:pPr>
        <w:pStyle w:val="0"/>
        <w:spacing w:before="200" w:lineRule="auto"/>
        <w:ind w:firstLine="540"/>
        <w:jc w:val="both"/>
      </w:pPr>
      <w:r>
        <w:rPr>
          <w:sz w:val="20"/>
        </w:rPr>
        <w:t xml:space="preserve">2.17.1. Участник конкурсного отбора является юридическим лицом и действует не менее одного года со дня его государственной регистрации.</w:t>
      </w:r>
    </w:p>
    <w:p>
      <w:pPr>
        <w:pStyle w:val="0"/>
        <w:spacing w:before="200" w:lineRule="auto"/>
        <w:ind w:firstLine="540"/>
        <w:jc w:val="both"/>
      </w:pPr>
      <w:r>
        <w:rPr>
          <w:sz w:val="20"/>
        </w:rPr>
        <w:t xml:space="preserve">2.17.2. У участника конкурсного отбора насчитывается не менее 50 членов (участников) либо представленный на конкурс проект (программа) участника отбора в интересах детей и (или) молодежи предусматривает проведение мероприятий не менее чем для 100 детей и (или) молодых граждан.</w:t>
      </w:r>
    </w:p>
    <w:p>
      <w:pPr>
        <w:pStyle w:val="0"/>
        <w:spacing w:before="200" w:lineRule="auto"/>
        <w:ind w:firstLine="540"/>
        <w:jc w:val="both"/>
      </w:pPr>
      <w:r>
        <w:rPr>
          <w:sz w:val="20"/>
        </w:rPr>
        <w:t xml:space="preserve">2.17.3. У участника конкурсного отбора численность совершеннолетних граждан не превышает 25 процентов от общего числа членов (участников) участника конкурсного отбора (для детского общественного объединения).</w:t>
      </w:r>
    </w:p>
    <w:p>
      <w:pPr>
        <w:pStyle w:val="0"/>
        <w:spacing w:before="200" w:lineRule="auto"/>
        <w:ind w:firstLine="540"/>
        <w:jc w:val="both"/>
      </w:pPr>
      <w:r>
        <w:rPr>
          <w:sz w:val="20"/>
        </w:rPr>
        <w:t xml:space="preserve">2.17.4. У участника конкурсного отбора численность членов (участников) объединения в возрасте старше 35 лет не превышает 25 процентов от общего числа членов (участников) участника конкурсного отбора (для молодежного общественного объединения).</w:t>
      </w:r>
    </w:p>
    <w:bookmarkStart w:id="823" w:name="P823"/>
    <w:bookmarkEnd w:id="823"/>
    <w:p>
      <w:pPr>
        <w:pStyle w:val="0"/>
        <w:spacing w:before="200" w:lineRule="auto"/>
        <w:ind w:firstLine="540"/>
        <w:jc w:val="both"/>
      </w:pPr>
      <w:r>
        <w:rPr>
          <w:sz w:val="20"/>
        </w:rPr>
        <w:t xml:space="preserve">2.17.5. Участник конкурсного отбора осуществляет свою деятельность на постоянной основе.</w:t>
      </w:r>
    </w:p>
    <w:p>
      <w:pPr>
        <w:pStyle w:val="0"/>
        <w:spacing w:before="200" w:lineRule="auto"/>
        <w:ind w:firstLine="540"/>
        <w:jc w:val="both"/>
      </w:pPr>
      <w:r>
        <w:rPr>
          <w:sz w:val="20"/>
        </w:rPr>
        <w:t xml:space="preserve">2.17.6. Участник конкурсного отбора включен в перечень молодежных и детских общественных объединений Кировской области, имеющих право на получение государственной поддержки.</w:t>
      </w:r>
    </w:p>
    <w:bookmarkStart w:id="825" w:name="P825"/>
    <w:bookmarkEnd w:id="825"/>
    <w:p>
      <w:pPr>
        <w:pStyle w:val="0"/>
        <w:spacing w:before="200" w:lineRule="auto"/>
        <w:ind w:firstLine="540"/>
        <w:jc w:val="both"/>
      </w:pPr>
      <w:r>
        <w:rPr>
          <w:sz w:val="20"/>
        </w:rPr>
        <w:t xml:space="preserve">2.18. Участники конкурсного отбора представляют одновременно с заявкой в систему "Электронный бюджет"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конкурсного отбора, предусмотренным </w:t>
      </w:r>
      <w:hyperlink w:history="0" w:anchor="P819" w:tooltip="2.17.1. Участник конкурсного отбора является юридическим лицом и действует не менее одного года со дня его государственной регистрации.">
        <w:r>
          <w:rPr>
            <w:sz w:val="20"/>
            <w:color w:val="0000ff"/>
          </w:rPr>
          <w:t xml:space="preserve">подпунктами 2.17.1</w:t>
        </w:r>
      </w:hyperlink>
      <w:r>
        <w:rPr>
          <w:sz w:val="20"/>
        </w:rPr>
        <w:t xml:space="preserve"> - </w:t>
      </w:r>
      <w:hyperlink w:history="0" w:anchor="P823" w:tooltip="2.17.5. Участник конкурсного отбора осуществляет свою деятельность на постоянной основе.">
        <w:r>
          <w:rPr>
            <w:sz w:val="20"/>
            <w:color w:val="0000ff"/>
          </w:rPr>
          <w:t xml:space="preserve">2.17.5</w:t>
        </w:r>
      </w:hyperlink>
      <w:r>
        <w:rPr>
          <w:sz w:val="20"/>
        </w:rPr>
        <w:t xml:space="preserve"> настоящего Порядка.</w:t>
      </w:r>
    </w:p>
    <w:p>
      <w:pPr>
        <w:pStyle w:val="0"/>
        <w:spacing w:before="200" w:lineRule="auto"/>
        <w:ind w:firstLine="540"/>
        <w:jc w:val="both"/>
      </w:pPr>
      <w:r>
        <w:rPr>
          <w:sz w:val="20"/>
        </w:rPr>
        <w:t xml:space="preserve">2.19. Конкурсный отбор может быть отменен министерством в случае, если решением суда, вступившим в законную силу, установлен факт нарушения процедуры организации и проведения конкурсного отбора либо наступили обстоятельства непреодолимой силы, препятствующие проведению конкурсного отбора в установленный настоящим Порядком срок, включая природные катаклизмы, техногенные аварии, массовые заболевания населения, введение военного положения и иные чрезвычайные ситуации.</w:t>
      </w:r>
    </w:p>
    <w:p>
      <w:pPr>
        <w:pStyle w:val="0"/>
        <w:spacing w:before="200" w:lineRule="auto"/>
        <w:ind w:firstLine="540"/>
        <w:jc w:val="both"/>
      </w:pPr>
      <w:r>
        <w:rPr>
          <w:sz w:val="20"/>
        </w:rPr>
        <w:t xml:space="preserve">Решение об отмене конкурсного отбора публикуется путем размещения объявления в системе "Электронный бюджет" не позднее чем за 2 рабочих дня до даты окончания приема конкурсных заявок.</w:t>
      </w:r>
    </w:p>
    <w:p>
      <w:pPr>
        <w:pStyle w:val="0"/>
        <w:spacing w:before="200" w:lineRule="auto"/>
        <w:ind w:firstLine="540"/>
        <w:jc w:val="both"/>
      </w:pPr>
      <w:r>
        <w:rPr>
          <w:sz w:val="20"/>
        </w:rPr>
        <w:t xml:space="preserve">2.20. Конкурсный отбор признается несостоявшимся в следующих случаях:</w:t>
      </w:r>
    </w:p>
    <w:p>
      <w:pPr>
        <w:pStyle w:val="0"/>
        <w:spacing w:before="200" w:lineRule="auto"/>
        <w:ind w:firstLine="540"/>
        <w:jc w:val="both"/>
      </w:pPr>
      <w:r>
        <w:rPr>
          <w:sz w:val="20"/>
        </w:rPr>
        <w:t xml:space="preserve">подано менее 2 конкурсных заявок для участия в конкурсном отборе;</w:t>
      </w:r>
    </w:p>
    <w:p>
      <w:pPr>
        <w:pStyle w:val="0"/>
        <w:spacing w:before="200" w:lineRule="auto"/>
        <w:ind w:firstLine="540"/>
        <w:jc w:val="both"/>
      </w:pPr>
      <w:r>
        <w:rPr>
          <w:sz w:val="20"/>
        </w:rPr>
        <w:t xml:space="preserve">ни один из участников конкурсного отбора, подавших конкурсные заявки, не соответствует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w:t>
      </w:r>
    </w:p>
    <w:p>
      <w:pPr>
        <w:pStyle w:val="0"/>
        <w:spacing w:before="200" w:lineRule="auto"/>
        <w:ind w:firstLine="540"/>
        <w:jc w:val="both"/>
      </w:pPr>
      <w:r>
        <w:rPr>
          <w:sz w:val="20"/>
        </w:rPr>
        <w:t xml:space="preserve">экспертная комиссия не определила ни одного победителя конкурсного отбора.</w:t>
      </w:r>
    </w:p>
    <w:p>
      <w:pPr>
        <w:pStyle w:val="0"/>
        <w:spacing w:before="200" w:lineRule="auto"/>
        <w:ind w:firstLine="540"/>
        <w:jc w:val="both"/>
      </w:pPr>
      <w:r>
        <w:rPr>
          <w:sz w:val="20"/>
        </w:rPr>
        <w:t xml:space="preserve">2.21. Для проведения конкурсного отбора в системе "Электронный бюджет":</w:t>
      </w:r>
    </w:p>
    <w:p>
      <w:pPr>
        <w:pStyle w:val="0"/>
        <w:spacing w:before="200" w:lineRule="auto"/>
        <w:ind w:firstLine="540"/>
        <w:jc w:val="both"/>
      </w:pPr>
      <w:r>
        <w:rPr>
          <w:sz w:val="20"/>
        </w:rPr>
        <w:t xml:space="preserve">министерством не позднее 1-го рабочего дня, следующего за днем начала срока подачи конкурсных заявок, обеспечивается открытие доступа в системе "Электронный бюджет" к конкурсным заявкам для их рассмотрения;</w:t>
      </w:r>
    </w:p>
    <w:p>
      <w:pPr>
        <w:pStyle w:val="0"/>
        <w:spacing w:before="200" w:lineRule="auto"/>
        <w:ind w:firstLine="540"/>
        <w:jc w:val="both"/>
      </w:pPr>
      <w:r>
        <w:rPr>
          <w:sz w:val="20"/>
        </w:rPr>
        <w:t xml:space="preserve">министерством осуществляется автоматическое формирование протокола вскрытия конкурсных заявок на едином портале и подписание усиленной квалифицированной подписью министра молодежной политики Кировской области (далее - министр) (заместителя министра молодежной политики Кировской области (далее - заместитель министра))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2.22. Министерство не позднее 10-го рабочего дня, следующего за днем окончания срока подачи конкурсных заявок, рассматривает конкурсные заявки, осуществляет проверку полноты и достоверности содержащихся в конкурсных заявках сведений, осуществляет проверку участников конкурсного отбора на соответствие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конкурсных заявок не позднее 1-го рабочего дня со дня окончания срока рассмотрения конкурсных заявок автоматически на едином портале формируется протокол рассмотрения конкурсных заявок, включающий информацию о количестве поступивших и рассмотренных конкурсных заявок с указанием регистрационного номера каждой конкурсной заявки, даты и времени поступления конкурсной заявки, а также информацию по каждому участнику конкурсного отбора (полное наименование, идентификационный номер налогоплательщика, адрес), запрашиваемый участником конкурсного отбора размер гранта, информацию по каждому участнику конкурсного отбора о признании его конкурсной заявки надлежащей или об отклонении его конкурсной заявки с указанием оснований для отклонения, который подписывается усиленной квалифицированной электронной подписью министра (заместителя министра) в системе "Электронный бюджет" и размещается министерством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Решение о соответствии заявок принимается министерством в случае, если участники отбора соответствуют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 и отсутствуют основания для отклонения конкурсных заявок, и указывается в протоколе рассмотрения конкурсных заявок.</w:t>
      </w:r>
    </w:p>
    <w:p>
      <w:pPr>
        <w:pStyle w:val="0"/>
        <w:spacing w:before="200" w:lineRule="auto"/>
        <w:ind w:firstLine="540"/>
        <w:jc w:val="both"/>
      </w:pPr>
      <w:r>
        <w:rPr>
          <w:sz w:val="20"/>
        </w:rPr>
        <w:t xml:space="preserve">Решение об отклонении конкурсных заявок принимается министерством по основаниям, указанным в </w:t>
      </w:r>
      <w:hyperlink w:history="0" w:anchor="P840" w:tooltip="2.23. Основаниями для отклонения конкурсных заявок являются:">
        <w:r>
          <w:rPr>
            <w:sz w:val="20"/>
            <w:color w:val="0000ff"/>
          </w:rPr>
          <w:t xml:space="preserve">пункте 2.23</w:t>
        </w:r>
      </w:hyperlink>
      <w:r>
        <w:rPr>
          <w:sz w:val="20"/>
        </w:rPr>
        <w:t xml:space="preserve"> настоящего Порядка, и указывается в протоколе рассмотрения конкурсных заявок.</w:t>
      </w:r>
    </w:p>
    <w:p>
      <w:pPr>
        <w:pStyle w:val="0"/>
        <w:spacing w:before="200" w:lineRule="auto"/>
        <w:ind w:firstLine="540"/>
        <w:jc w:val="both"/>
      </w:pPr>
      <w:r>
        <w:rPr>
          <w:sz w:val="20"/>
        </w:rPr>
        <w:t xml:space="preserve">Соответствующие конкурсные заявки подлежит оценке экспертной комиссией.</w:t>
      </w:r>
    </w:p>
    <w:bookmarkStart w:id="840" w:name="P840"/>
    <w:bookmarkEnd w:id="840"/>
    <w:p>
      <w:pPr>
        <w:pStyle w:val="0"/>
        <w:spacing w:before="200" w:lineRule="auto"/>
        <w:ind w:firstLine="540"/>
        <w:jc w:val="both"/>
      </w:pPr>
      <w:r>
        <w:rPr>
          <w:sz w:val="20"/>
        </w:rPr>
        <w:t xml:space="preserve">2.23. Основаниями для отклонения конкурсных заявок являются:</w:t>
      </w:r>
    </w:p>
    <w:p>
      <w:pPr>
        <w:pStyle w:val="0"/>
        <w:spacing w:before="200" w:lineRule="auto"/>
        <w:ind w:firstLine="540"/>
        <w:jc w:val="both"/>
      </w:pPr>
      <w:r>
        <w:rPr>
          <w:sz w:val="20"/>
        </w:rPr>
        <w:t xml:space="preserve">несоответствие участников конкурсного отбора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участниками конкурсного отбора документов, предусмотренных </w:t>
      </w:r>
      <w:hyperlink w:history="0" w:anchor="P787" w:tooltip="2.6. Участники конкурсного отбора формируют в электронной форме конкурсные заявки посредством заполнения соответствующих экранных форм веб-интерфейса системы &quot;Электронный бюджет&quot; и представления в систему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 о проведении конкурсного отбора.">
        <w:r>
          <w:rPr>
            <w:sz w:val="20"/>
            <w:color w:val="0000ff"/>
          </w:rPr>
          <w:t xml:space="preserve">пунктами 2.6</w:t>
        </w:r>
      </w:hyperlink>
      <w:r>
        <w:rPr>
          <w:sz w:val="20"/>
        </w:rPr>
        <w:t xml:space="preserve"> и </w:t>
      </w:r>
      <w:hyperlink w:history="0" w:anchor="P825" w:tooltip="2.18. Участники конкурсного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конкурсного отбора, предусмотренным подпунктами 2.17.1 - 2.17.5 настоящего Порядка.">
        <w:r>
          <w:rPr>
            <w:sz w:val="20"/>
            <w:color w:val="0000ff"/>
          </w:rPr>
          <w:t xml:space="preserve">2.18</w:t>
        </w:r>
      </w:hyperlink>
      <w:r>
        <w:rPr>
          <w:sz w:val="20"/>
        </w:rPr>
        <w:t xml:space="preserve"> настоящего Порядка, в установленные сроки;</w:t>
      </w:r>
    </w:p>
    <w:p>
      <w:pPr>
        <w:pStyle w:val="0"/>
        <w:spacing w:before="200" w:lineRule="auto"/>
        <w:ind w:firstLine="540"/>
        <w:jc w:val="both"/>
      </w:pPr>
      <w:r>
        <w:rPr>
          <w:sz w:val="20"/>
        </w:rPr>
        <w:t xml:space="preserve">несоответствие представленных участниками конкурсного отбора заявок и (или) документов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предусмотренных </w:t>
      </w:r>
      <w:hyperlink w:history="0" w:anchor="P787" w:tooltip="2.6. Участники конкурсного отбора формируют в электронной форме конкурсные заявки посредством заполнения соответствующих экранных форм веб-интерфейса системы &quot;Электронный бюджет&quot; и представления в систему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 о проведении конкурсного отбора.">
        <w:r>
          <w:rPr>
            <w:sz w:val="20"/>
            <w:color w:val="0000ff"/>
          </w:rPr>
          <w:t xml:space="preserve">пунктами 2.6</w:t>
        </w:r>
      </w:hyperlink>
      <w:r>
        <w:rPr>
          <w:sz w:val="20"/>
        </w:rPr>
        <w:t xml:space="preserve"> и </w:t>
      </w:r>
      <w:hyperlink w:history="0" w:anchor="P825" w:tooltip="2.18. Участники конкурсного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конкурсного отбора, предусмотренным подпунктами 2.17.1 - 2.17.5 настоящего Порядка.">
        <w:r>
          <w:rPr>
            <w:sz w:val="20"/>
            <w:color w:val="0000ff"/>
          </w:rPr>
          <w:t xml:space="preserve">2.18</w:t>
        </w:r>
      </w:hyperlink>
      <w:r>
        <w:rPr>
          <w:sz w:val="20"/>
        </w:rPr>
        <w:t xml:space="preserve"> настоящего Порядка;</w:t>
      </w:r>
    </w:p>
    <w:p>
      <w:pPr>
        <w:pStyle w:val="0"/>
        <w:spacing w:before="200" w:lineRule="auto"/>
        <w:ind w:firstLine="540"/>
        <w:jc w:val="both"/>
      </w:pPr>
      <w:r>
        <w:rPr>
          <w:sz w:val="20"/>
        </w:rPr>
        <w:t xml:space="preserve">недостоверность информации, содержащейся в документах, представленных участниками конкурсного отбора, предусмотренных </w:t>
      </w:r>
      <w:hyperlink w:history="0" w:anchor="P787" w:tooltip="2.6. Участники конкурсного отбора формируют в электронной форме конкурсные заявки посредством заполнения соответствующих экранных форм веб-интерфейса системы &quot;Электронный бюджет&quot; и представления в систему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ем о проведении конкурсного отбора.">
        <w:r>
          <w:rPr>
            <w:sz w:val="20"/>
            <w:color w:val="0000ff"/>
          </w:rPr>
          <w:t xml:space="preserve">пунктами 2.6</w:t>
        </w:r>
      </w:hyperlink>
      <w:r>
        <w:rPr>
          <w:sz w:val="20"/>
        </w:rPr>
        <w:t xml:space="preserve"> и </w:t>
      </w:r>
      <w:hyperlink w:history="0" w:anchor="P825" w:tooltip="2.18. Участники конкурсного отбора представляют одновременно с заявкой в систему &quot;Электронный бюджет&quot; электронные копии документов (документов на бумажном носителе, преобразованных в электронную форму путем сканирования) для подтверждения соответствия критериям конкурсного отбора, предусмотренным подпунктами 2.17.1 - 2.17.5 настоящего Порядка.">
        <w:r>
          <w:rPr>
            <w:sz w:val="20"/>
            <w:color w:val="0000ff"/>
          </w:rPr>
          <w:t xml:space="preserve">2.18</w:t>
        </w:r>
      </w:hyperlink>
      <w:r>
        <w:rPr>
          <w:sz w:val="20"/>
        </w:rPr>
        <w:t xml:space="preserve"> настоящего Порядка;</w:t>
      </w:r>
    </w:p>
    <w:p>
      <w:pPr>
        <w:pStyle w:val="0"/>
        <w:spacing w:before="200" w:lineRule="auto"/>
        <w:ind w:firstLine="540"/>
        <w:jc w:val="both"/>
      </w:pPr>
      <w:r>
        <w:rPr>
          <w:sz w:val="20"/>
        </w:rPr>
        <w:t xml:space="preserve">отсутствие лимитов бюджетных обязательств на предоставление грантов, доведенных на текущий финансовый год до министерства как получателя бюджетных средств на предоставление грантов, в соответствии с бюджетным законодательством Российской Федерации;</w:t>
      </w:r>
    </w:p>
    <w:p>
      <w:pPr>
        <w:pStyle w:val="0"/>
        <w:spacing w:before="200" w:lineRule="auto"/>
        <w:ind w:firstLine="540"/>
        <w:jc w:val="both"/>
      </w:pPr>
      <w:r>
        <w:rPr>
          <w:sz w:val="20"/>
        </w:rPr>
        <w:t xml:space="preserve">подача участниками конкурсного отбора конкурсных заявок и прилагаемых документов после даты и (или) времени, определенных для подачи конкурсных заявок в объявлении о проведении конкурсного отбора.</w:t>
      </w:r>
    </w:p>
    <w:p>
      <w:pPr>
        <w:pStyle w:val="0"/>
        <w:spacing w:before="200" w:lineRule="auto"/>
        <w:ind w:firstLine="540"/>
        <w:jc w:val="both"/>
      </w:pPr>
      <w:r>
        <w:rPr>
          <w:sz w:val="20"/>
        </w:rPr>
        <w:t xml:space="preserve">2.24. В случае принятия решения об отклонении конкурсных заявок по основаниям, указанным в </w:t>
      </w:r>
      <w:hyperlink w:history="0" w:anchor="P840" w:tooltip="2.23. Основаниями для отклонения конкурсных заявок являются:">
        <w:r>
          <w:rPr>
            <w:sz w:val="20"/>
            <w:color w:val="0000ff"/>
          </w:rPr>
          <w:t xml:space="preserve">пункте 2.23</w:t>
        </w:r>
      </w:hyperlink>
      <w:r>
        <w:rPr>
          <w:sz w:val="20"/>
        </w:rPr>
        <w:t xml:space="preserve"> настоящего Порядка, министерство уведомляет участников конкурсного отбора об отклонении конкурсных заявок с указанием причин такого отклонения в течение 7 рабочих дней со дня принятия соответствующего решения.</w:t>
      </w:r>
    </w:p>
    <w:bookmarkStart w:id="848" w:name="P848"/>
    <w:bookmarkEnd w:id="848"/>
    <w:p>
      <w:pPr>
        <w:pStyle w:val="0"/>
        <w:spacing w:before="200" w:lineRule="auto"/>
        <w:ind w:firstLine="540"/>
        <w:jc w:val="both"/>
      </w:pPr>
      <w:r>
        <w:rPr>
          <w:sz w:val="20"/>
        </w:rPr>
        <w:t xml:space="preserve">2.25. Оценка конкурсных заявок осуществляется экспертной комиссией, состав которой утверждается приказом министерства.</w:t>
      </w:r>
    </w:p>
    <w:p>
      <w:pPr>
        <w:pStyle w:val="0"/>
        <w:spacing w:before="200" w:lineRule="auto"/>
        <w:ind w:firstLine="540"/>
        <w:jc w:val="both"/>
      </w:pPr>
      <w:r>
        <w:rPr>
          <w:sz w:val="20"/>
        </w:rPr>
        <w:t xml:space="preserve">Экспертная комиссия осуществляет оценку конкурсных заявок в системе "Электронный бюджет".</w:t>
      </w:r>
    </w:p>
    <w:p>
      <w:pPr>
        <w:pStyle w:val="0"/>
        <w:spacing w:before="200" w:lineRule="auto"/>
        <w:ind w:firstLine="540"/>
        <w:jc w:val="both"/>
      </w:pPr>
      <w:r>
        <w:rPr>
          <w:sz w:val="20"/>
        </w:rPr>
        <w:t xml:space="preserve">Работа экспертной комиссии считается правомочной, если не менее двух третей от общего числа членов экспертной комиссии приняли участие в рассмотрении и оценке заявок в системе "Электронный бюджет".</w:t>
      </w:r>
    </w:p>
    <w:p>
      <w:pPr>
        <w:pStyle w:val="0"/>
        <w:spacing w:before="200" w:lineRule="auto"/>
        <w:ind w:firstLine="540"/>
        <w:jc w:val="both"/>
      </w:pPr>
      <w:r>
        <w:rPr>
          <w:sz w:val="20"/>
        </w:rPr>
        <w:t xml:space="preserve">2.26. Экспертная комиссия формируется на основе добровольного участия в ее деятельности граждан Российской Федерации. В состав экспертной комиссии включаются представители органов государственной власти и (или) местного самоуправления муниципальных образований Кировской области, а также по согласованию представители институтов гражданского общества.</w:t>
      </w:r>
    </w:p>
    <w:p>
      <w:pPr>
        <w:pStyle w:val="0"/>
        <w:spacing w:before="200" w:lineRule="auto"/>
        <w:ind w:firstLine="540"/>
        <w:jc w:val="both"/>
      </w:pPr>
      <w:r>
        <w:rPr>
          <w:sz w:val="20"/>
        </w:rPr>
        <w:t xml:space="preserve">Число членов экспертной комиссии, замещающих государственные должности Кировской области, должности государственной гражданской службы Кировской области, муниципальные должности, должности муниципальной службы, должно быть не более одной трети от общего числа членов экспертной комиссии.</w:t>
      </w:r>
    </w:p>
    <w:p>
      <w:pPr>
        <w:pStyle w:val="0"/>
        <w:spacing w:before="200" w:lineRule="auto"/>
        <w:ind w:firstLine="540"/>
        <w:jc w:val="both"/>
      </w:pPr>
      <w:r>
        <w:rPr>
          <w:sz w:val="20"/>
        </w:rPr>
        <w:t xml:space="preserve">2.27. Член экспертной комиссии не вправе при рассмотрении конкурсной заявки вести переговоры с участниками конкурсного отбора, в том числе обсуждать поданные ими конкурсные заявки, напрямую запрашивать документы, информацию, пояснения.</w:t>
      </w:r>
    </w:p>
    <w:p>
      <w:pPr>
        <w:pStyle w:val="0"/>
        <w:spacing w:before="200" w:lineRule="auto"/>
        <w:ind w:firstLine="540"/>
        <w:jc w:val="both"/>
      </w:pPr>
      <w:r>
        <w:rPr>
          <w:sz w:val="20"/>
        </w:rPr>
        <w:t xml:space="preserve">Член экспертной комиссии обязан сообщить в министерство информацию о наличии конфликта интересов, если такой конфликт возник при рассмотрении конкурсных заявок.</w:t>
      </w:r>
    </w:p>
    <w:p>
      <w:pPr>
        <w:pStyle w:val="0"/>
        <w:spacing w:before="200" w:lineRule="auto"/>
        <w:ind w:firstLine="540"/>
        <w:jc w:val="both"/>
      </w:pPr>
      <w:r>
        <w:rPr>
          <w:sz w:val="20"/>
        </w:rPr>
        <w:t xml:space="preserve">Для целей настоящего Порядка используется понятие "конфликт интересов", установленное </w:t>
      </w:r>
      <w:hyperlink w:history="0" r:id="rId27"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частью 1 статьи 10</w:t>
        </w:r>
      </w:hyperlink>
      <w:r>
        <w:rPr>
          <w:sz w:val="20"/>
        </w:rPr>
        <w:t xml:space="preserve"> Федерального закона от 25.12.2008 N 273-ФЗ "О противодействии коррупции".</w:t>
      </w:r>
    </w:p>
    <w:p>
      <w:pPr>
        <w:pStyle w:val="0"/>
        <w:spacing w:before="200" w:lineRule="auto"/>
        <w:ind w:firstLine="540"/>
        <w:jc w:val="both"/>
      </w:pPr>
      <w:r>
        <w:rPr>
          <w:sz w:val="20"/>
        </w:rPr>
        <w:t xml:space="preserve">В случае наличия конфликта интересов член экспертной комиссии исключается из состава экспертной комиссии.</w:t>
      </w:r>
    </w:p>
    <w:bookmarkStart w:id="857" w:name="P857"/>
    <w:bookmarkEnd w:id="857"/>
    <w:p>
      <w:pPr>
        <w:pStyle w:val="0"/>
        <w:spacing w:before="200" w:lineRule="auto"/>
        <w:ind w:firstLine="540"/>
        <w:jc w:val="both"/>
      </w:pPr>
      <w:r>
        <w:rPr>
          <w:sz w:val="20"/>
        </w:rPr>
        <w:t xml:space="preserve">2.28. Министерством в течение 1-го рабочего дня, следующего за датой окончания срока рассмотрения конкурсных заявок, обеспечивается доступ экспертной комиссии к конкурсным заявкам в системе "Электронный бюджет" для их оценки.</w:t>
      </w:r>
    </w:p>
    <w:p>
      <w:pPr>
        <w:pStyle w:val="0"/>
        <w:spacing w:before="200" w:lineRule="auto"/>
        <w:ind w:firstLine="540"/>
        <w:jc w:val="both"/>
      </w:pPr>
      <w:r>
        <w:rPr>
          <w:sz w:val="20"/>
        </w:rPr>
        <w:t xml:space="preserve">Экспертная комиссия в течение 10 рабочих дней после получения от министерства конкурсных заявок проводит оценку конкурсных заявок в соответствии с </w:t>
      </w:r>
      <w:hyperlink w:history="0" w:anchor="P1262" w:tooltip="КРИТЕРИИ">
        <w:r>
          <w:rPr>
            <w:sz w:val="20"/>
            <w:color w:val="0000ff"/>
          </w:rPr>
          <w:t xml:space="preserve">критериями</w:t>
        </w:r>
      </w:hyperlink>
      <w:r>
        <w:rPr>
          <w:sz w:val="20"/>
        </w:rPr>
        <w:t xml:space="preserve"> (показателями) оценки конкурсного отбора в соответствии с приложением N 2.</w:t>
      </w:r>
    </w:p>
    <w:p>
      <w:pPr>
        <w:pStyle w:val="0"/>
        <w:spacing w:before="200" w:lineRule="auto"/>
        <w:ind w:firstLine="540"/>
        <w:jc w:val="both"/>
      </w:pPr>
      <w:r>
        <w:rPr>
          <w:sz w:val="20"/>
        </w:rPr>
        <w:t xml:space="preserve">Конкурсные заявки ранжируются в порядке убывания общей суммы баллов, полученных в соответствии с критериями (показателями) оценки конкурсных заявок, с учетом баллов, выставленных членами экспертной комиссии при оценке конкурсных заявок.</w:t>
      </w:r>
    </w:p>
    <w:p>
      <w:pPr>
        <w:pStyle w:val="0"/>
        <w:spacing w:before="200" w:lineRule="auto"/>
        <w:ind w:firstLine="540"/>
        <w:jc w:val="both"/>
      </w:pPr>
      <w:r>
        <w:rPr>
          <w:sz w:val="20"/>
        </w:rPr>
        <w:t xml:space="preserve">В случае равенства количества полученных баллов конкурсные заявки ранжируются в зависимости от очередности их поступления с учетом даты подачи и регистрационного номера конкурсных заявок.</w:t>
      </w:r>
    </w:p>
    <w:p>
      <w:pPr>
        <w:pStyle w:val="0"/>
        <w:spacing w:before="200" w:lineRule="auto"/>
        <w:ind w:firstLine="540"/>
        <w:jc w:val="both"/>
      </w:pPr>
      <w:r>
        <w:rPr>
          <w:sz w:val="20"/>
        </w:rPr>
        <w:t xml:space="preserve">По итогам оценки конкурсных заявок в системе "Электронный бюджет" автоматически формируется итоговый ранжированный список участников конкурсного отбора (рейтинг).</w:t>
      </w:r>
    </w:p>
    <w:p>
      <w:pPr>
        <w:pStyle w:val="0"/>
        <w:spacing w:before="200" w:lineRule="auto"/>
        <w:ind w:firstLine="540"/>
        <w:jc w:val="both"/>
      </w:pPr>
      <w:r>
        <w:rPr>
          <w:sz w:val="20"/>
        </w:rPr>
        <w:t xml:space="preserve">2.29. Экспертная комиссия на основании рейтинга, указанного в </w:t>
      </w:r>
      <w:hyperlink w:history="0" w:anchor="P857" w:tooltip="2.28. Министерством в течение 1-го рабочего дня, следующего за датой окончания срока рассмотрения конкурсных заявок, обеспечивается доступ экспертной комиссии к конкурсным заявкам в системе &quot;Электронный бюджет&quot; для их оценки.">
        <w:r>
          <w:rPr>
            <w:sz w:val="20"/>
            <w:color w:val="0000ff"/>
          </w:rPr>
          <w:t xml:space="preserve">пункте 2.28</w:t>
        </w:r>
      </w:hyperlink>
      <w:r>
        <w:rPr>
          <w:sz w:val="20"/>
        </w:rPr>
        <w:t xml:space="preserve"> настоящего Порядка, определяет победителей конкурсного отбора и проводит распределение общего фонда грантов в срок не позднее 3-го рабочего дня, следующего за днем формирования рейтинга, указанного в </w:t>
      </w:r>
      <w:hyperlink w:history="0" w:anchor="P857" w:tooltip="2.28. Министерством в течение 1-го рабочего дня, следующего за датой окончания срока рассмотрения конкурсных заявок, обеспечивается доступ экспертной комиссии к конкурсным заявкам в системе &quot;Электронный бюджет&quot; для их оценки.">
        <w:r>
          <w:rPr>
            <w:sz w:val="20"/>
            <w:color w:val="0000ff"/>
          </w:rPr>
          <w:t xml:space="preserve">пункте 2.28</w:t>
        </w:r>
      </w:hyperlink>
      <w:r>
        <w:rPr>
          <w:sz w:val="20"/>
        </w:rPr>
        <w:t xml:space="preserve"> настоящего Порядка.</w:t>
      </w:r>
    </w:p>
    <w:p>
      <w:pPr>
        <w:pStyle w:val="0"/>
        <w:spacing w:before="200" w:lineRule="auto"/>
        <w:ind w:firstLine="540"/>
        <w:jc w:val="both"/>
      </w:pPr>
      <w:r>
        <w:rPr>
          <w:sz w:val="20"/>
        </w:rPr>
        <w:t xml:space="preserve">Победителями конкурсного отбора признаются участники конкурсного отбора, набравшие наибольшее количество баллов, включенные в рейтинг, сформированный экспертной комиссией, на основании сформированных и поступивших в электронной форме в систему "Электронный бюджет" конкурсных заявок исходя из соответствия участника конкурсного отбора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 в пределах лимитов бюджетных обязательств на предоставление грантов, доведенных в установленном порядке до министерства в текущем финансовом году.</w:t>
      </w:r>
    </w:p>
    <w:p>
      <w:pPr>
        <w:pStyle w:val="0"/>
        <w:spacing w:before="200" w:lineRule="auto"/>
        <w:ind w:firstLine="540"/>
        <w:jc w:val="both"/>
      </w:pPr>
      <w:r>
        <w:rPr>
          <w:sz w:val="20"/>
        </w:rPr>
        <w:t xml:space="preserve">Количество победителей конкурсного отбора ограничивается суммой бюджетных ассигнований, предусмотренных в областном бюджете на предоставление грантов.</w:t>
      </w:r>
    </w:p>
    <w:p>
      <w:pPr>
        <w:pStyle w:val="0"/>
        <w:spacing w:before="200" w:lineRule="auto"/>
        <w:ind w:firstLine="540"/>
        <w:jc w:val="both"/>
      </w:pPr>
      <w:r>
        <w:rPr>
          <w:sz w:val="20"/>
        </w:rPr>
        <w:t xml:space="preserve">2.30. Объем гранта, предоставляемого i-му получателю гранта на реализацию проекта (программы) (Si), определяется по следующей формуле:</w:t>
      </w:r>
    </w:p>
    <w:p>
      <w:pPr>
        <w:pStyle w:val="0"/>
        <w:jc w:val="both"/>
      </w:pPr>
      <w:r>
        <w:rPr>
          <w:sz w:val="20"/>
        </w:rPr>
      </w:r>
    </w:p>
    <w:p>
      <w:pPr>
        <w:pStyle w:val="0"/>
        <w:jc w:val="center"/>
      </w:pPr>
      <w:r>
        <w:rPr>
          <w:position w:val="-10"/>
        </w:rPr>
        <w:drawing>
          <wp:inline distT="0" distB="0" distL="0" distR="0">
            <wp:extent cx="6953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695325"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Vi - запрашиваемый i-м получателем гранта размер гранта на реализацию проекта (программы) в соответствии с поданной конкурсной заявкой.</w:t>
      </w:r>
    </w:p>
    <w:p>
      <w:pPr>
        <w:pStyle w:val="0"/>
        <w:spacing w:before="200" w:lineRule="auto"/>
        <w:ind w:firstLine="540"/>
        <w:jc w:val="both"/>
      </w:pPr>
      <w:r>
        <w:rPr>
          <w:sz w:val="20"/>
        </w:rPr>
        <w:t xml:space="preserve">2.31. Размер гранта, предоставляемого получателю гранта на реализацию проекта (программы), не может превышать 1000000 рублей.</w:t>
      </w:r>
    </w:p>
    <w:p>
      <w:pPr>
        <w:pStyle w:val="0"/>
        <w:spacing w:before="200" w:lineRule="auto"/>
        <w:ind w:firstLine="540"/>
        <w:jc w:val="both"/>
      </w:pPr>
      <w:r>
        <w:rPr>
          <w:sz w:val="20"/>
        </w:rPr>
        <w:t xml:space="preserve">2.32. Реализация мероприятий проекта (программы) осуществляется в течение календарного года, в котором предоставляется грант, но не позднее 30 ноября 2025 года.</w:t>
      </w:r>
    </w:p>
    <w:p>
      <w:pPr>
        <w:pStyle w:val="0"/>
        <w:spacing w:before="200" w:lineRule="auto"/>
        <w:ind w:firstLine="540"/>
        <w:jc w:val="both"/>
      </w:pPr>
      <w:r>
        <w:rPr>
          <w:sz w:val="20"/>
        </w:rPr>
        <w:t xml:space="preserve">2.33. По итогам конкурсного отбора и определения его победителей формируется протокол подведения итогов конкурсного отбора, включающий следующую информацию:</w:t>
      </w:r>
    </w:p>
    <w:p>
      <w:pPr>
        <w:pStyle w:val="0"/>
        <w:spacing w:before="200" w:lineRule="auto"/>
        <w:ind w:firstLine="540"/>
        <w:jc w:val="both"/>
      </w:pPr>
      <w:r>
        <w:rPr>
          <w:sz w:val="20"/>
        </w:rPr>
        <w:t xml:space="preserve">дату и время регистрации конкурсных заявок в системе "Электронный бюджет";</w:t>
      </w:r>
    </w:p>
    <w:p>
      <w:pPr>
        <w:pStyle w:val="0"/>
        <w:spacing w:before="200" w:lineRule="auto"/>
        <w:ind w:firstLine="540"/>
        <w:jc w:val="both"/>
      </w:pPr>
      <w:r>
        <w:rPr>
          <w:sz w:val="20"/>
        </w:rPr>
        <w:t xml:space="preserve">дату, время и место проведения рассмотрения конкурсных заявок;</w:t>
      </w:r>
    </w:p>
    <w:p>
      <w:pPr>
        <w:pStyle w:val="0"/>
        <w:spacing w:before="200" w:lineRule="auto"/>
        <w:ind w:firstLine="540"/>
        <w:jc w:val="both"/>
      </w:pPr>
      <w:r>
        <w:rPr>
          <w:sz w:val="20"/>
        </w:rPr>
        <w:t xml:space="preserve">дату, время и место оценки конкурсных заявок;</w:t>
      </w:r>
    </w:p>
    <w:p>
      <w:pPr>
        <w:pStyle w:val="0"/>
        <w:spacing w:before="200" w:lineRule="auto"/>
        <w:ind w:firstLine="540"/>
        <w:jc w:val="both"/>
      </w:pPr>
      <w:r>
        <w:rPr>
          <w:sz w:val="20"/>
        </w:rPr>
        <w:t xml:space="preserve">информацию об участниках конкурсного отбора, конкурсные заявки которых были рассмотрены;</w:t>
      </w:r>
    </w:p>
    <w:p>
      <w:pPr>
        <w:pStyle w:val="0"/>
        <w:spacing w:before="200" w:lineRule="auto"/>
        <w:ind w:firstLine="540"/>
        <w:jc w:val="both"/>
      </w:pPr>
      <w:r>
        <w:rPr>
          <w:sz w:val="20"/>
        </w:rPr>
        <w:t xml:space="preserve">информацию об участниках конкурсного отбора, конкурсные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конкурсные заявки;</w:t>
      </w:r>
    </w:p>
    <w:p>
      <w:pPr>
        <w:pStyle w:val="0"/>
        <w:spacing w:before="200" w:lineRule="auto"/>
        <w:ind w:firstLine="540"/>
        <w:jc w:val="both"/>
      </w:pPr>
      <w:r>
        <w:rPr>
          <w:sz w:val="20"/>
        </w:rPr>
        <w:t xml:space="preserve">присвоенное экспертной комиссией конкурсным заявкам количество баллов по каждому критерию (показателю) оценки конкурсного отбора, решение о присвоении конкурсным заявкам порядковых номеров, принятое на основании результатов оценки конкурсных заявок;</w:t>
      </w:r>
    </w:p>
    <w:p>
      <w:pPr>
        <w:pStyle w:val="0"/>
        <w:spacing w:before="200" w:lineRule="auto"/>
        <w:ind w:firstLine="540"/>
        <w:jc w:val="both"/>
      </w:pPr>
      <w:r>
        <w:rPr>
          <w:sz w:val="20"/>
        </w:rPr>
        <w:t xml:space="preserve">наименование получателей гранта с указанием размера предоставляемых грантов.</w:t>
      </w:r>
    </w:p>
    <w:p>
      <w:pPr>
        <w:pStyle w:val="0"/>
        <w:spacing w:before="200" w:lineRule="auto"/>
        <w:ind w:firstLine="540"/>
        <w:jc w:val="both"/>
      </w:pPr>
      <w:r>
        <w:rPr>
          <w:sz w:val="20"/>
        </w:rPr>
        <w:t xml:space="preserve">2.34. Протокол подведения итогов конкурсного отбора формируется на едином портале автоматически и подписывается усиленной квалифицированной электронной подписью председателя экспертной комиссии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2.35. Внесение изменений в протокол подведения итогов конкурсного отбора осуществляется не позднее 10 календарных дней со дня подписания первых версий протокола подведения итогов конкурсного отбора путем формирования новых версий указанного протокола с указанием причин внесения изменений.</w:t>
      </w:r>
    </w:p>
    <w:bookmarkStart w:id="883" w:name="P883"/>
    <w:bookmarkEnd w:id="883"/>
    <w:p>
      <w:pPr>
        <w:pStyle w:val="0"/>
        <w:spacing w:before="200" w:lineRule="auto"/>
        <w:ind w:firstLine="540"/>
        <w:jc w:val="both"/>
      </w:pPr>
      <w:r>
        <w:rPr>
          <w:sz w:val="20"/>
        </w:rPr>
        <w:t xml:space="preserve">2.36. Не позднее 10 рабочих дней со дня подписания протокола подведения итогов конкурсного отбора правовым актом министерства утверждается перечень получателей грантов и распределение грантов в текущем финансовом году.</w:t>
      </w:r>
    </w:p>
    <w:p>
      <w:pPr>
        <w:pStyle w:val="0"/>
        <w:jc w:val="both"/>
      </w:pPr>
      <w:r>
        <w:rPr>
          <w:sz w:val="20"/>
        </w:rPr>
      </w:r>
    </w:p>
    <w:p>
      <w:pPr>
        <w:pStyle w:val="2"/>
        <w:outlineLvl w:val="1"/>
        <w:ind w:firstLine="540"/>
        <w:jc w:val="both"/>
      </w:pPr>
      <w:r>
        <w:rPr>
          <w:sz w:val="20"/>
        </w:rPr>
        <w:t xml:space="preserve">3. Условия и порядок предоставления гранта</w:t>
      </w:r>
    </w:p>
    <w:p>
      <w:pPr>
        <w:pStyle w:val="0"/>
        <w:jc w:val="both"/>
      </w:pPr>
      <w:r>
        <w:rPr>
          <w:sz w:val="20"/>
        </w:rPr>
      </w:r>
    </w:p>
    <w:bookmarkStart w:id="887" w:name="P887"/>
    <w:bookmarkEnd w:id="887"/>
    <w:p>
      <w:pPr>
        <w:pStyle w:val="0"/>
        <w:ind w:firstLine="540"/>
        <w:jc w:val="both"/>
      </w:pPr>
      <w:r>
        <w:rPr>
          <w:sz w:val="20"/>
        </w:rPr>
        <w:t xml:space="preserve">3.1. Министерство в течение 20 рабочих дней со дня опубликования правового акта, указанного в </w:t>
      </w:r>
      <w:hyperlink w:history="0" w:anchor="P883" w:tooltip="2.36. Не позднее 10 рабочих дней со дня подписания протокола подведения итогов конкурсного отбора правовым актом министерства утверждается перечень получателей грантов и распределение грантов в текущем финансовом году.">
        <w:r>
          <w:rPr>
            <w:sz w:val="20"/>
            <w:color w:val="0000ff"/>
          </w:rPr>
          <w:t xml:space="preserve">пункте 2.36</w:t>
        </w:r>
      </w:hyperlink>
      <w:r>
        <w:rPr>
          <w:sz w:val="20"/>
        </w:rPr>
        <w:t xml:space="preserve"> настоящего Порядка, заключает с получателями грантов соглашения о предоставлении грантов.</w:t>
      </w:r>
    </w:p>
    <w:p>
      <w:pPr>
        <w:pStyle w:val="0"/>
        <w:spacing w:before="200" w:lineRule="auto"/>
        <w:ind w:firstLine="540"/>
        <w:jc w:val="both"/>
      </w:pPr>
      <w:r>
        <w:rPr>
          <w:sz w:val="20"/>
        </w:rPr>
        <w:t xml:space="preserve">Обязательными условиями, включаемыми в соглашение о предоставлении гранта, являются:</w:t>
      </w:r>
    </w:p>
    <w:p>
      <w:pPr>
        <w:pStyle w:val="0"/>
        <w:spacing w:before="200" w:lineRule="auto"/>
        <w:ind w:firstLine="540"/>
        <w:jc w:val="both"/>
      </w:pPr>
      <w:r>
        <w:rPr>
          <w:sz w:val="20"/>
        </w:rPr>
        <w:t xml:space="preserve">согласие на осуществление министерством проверки соблюдения порядка и условий предоставления грантов, в том числе в части достижения результата предоставления грантов, а также проверки органами государственного финансового контроля в соответствии со </w:t>
      </w:r>
      <w:hyperlink w:history="0" r:id="rId2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условие о согласовании новых условий соглашений о предоставлении грантов или о расторжении соглашений о предоставлении грантов при недостижении согласия по новым условиям соглашений о предоставлении грантов в случае уменьшения министерству как главному распорядителю бюджетных средств ранее доведенных лимитов бюджетных обязательств на предоставление гранта, приводящего к невозможности предоставления грантов в размере, определенном соглашениями о предоставлении грантов;</w:t>
      </w:r>
    </w:p>
    <w:p>
      <w:pPr>
        <w:pStyle w:val="0"/>
        <w:spacing w:before="200" w:lineRule="auto"/>
        <w:ind w:firstLine="540"/>
        <w:jc w:val="both"/>
      </w:pPr>
      <w:r>
        <w:rPr>
          <w:sz w:val="20"/>
        </w:rPr>
        <w:t xml:space="preserve">обязательство о внесении изменений в соглашения о предоставлении грантов в части перемены лиц, являющихся правопреемниками при реорганизации получателей грантов в форме слияния, присоединения или преобразования, путем заключения дополнительных соглашений к соглашениям о предоставлении грантов;</w:t>
      </w:r>
    </w:p>
    <w:p>
      <w:pPr>
        <w:pStyle w:val="0"/>
        <w:spacing w:before="200" w:lineRule="auto"/>
        <w:ind w:firstLine="540"/>
        <w:jc w:val="both"/>
      </w:pPr>
      <w:r>
        <w:rPr>
          <w:sz w:val="20"/>
        </w:rPr>
        <w:t xml:space="preserve">обязательство о расторжении соглашений о предоставлении грантов с формированием уведомлений о расторжении соглашений о предоставлении грантов в одностороннем порядке и акта об исполнении обязательств по соглашениям о предоставлении грантов с отражением информации о не исполненных получателями грантов обязательствах, источником финансового обеспечения которых являются гранты, и возврате неиспользованных остатков грантов в областной бюджет при реорганизации получателей грантов в форме разделения, выделения, а также при ликвидации получателей грантов;</w:t>
      </w:r>
    </w:p>
    <w:p>
      <w:pPr>
        <w:pStyle w:val="0"/>
        <w:spacing w:before="200" w:lineRule="auto"/>
        <w:ind w:firstLine="540"/>
        <w:jc w:val="both"/>
      </w:pPr>
      <w:r>
        <w:rPr>
          <w:sz w:val="20"/>
        </w:rPr>
        <w:t xml:space="preserve">запрет приобретения получателями грантов, а также иными лицами, получающими средства на основании договоров (соглашений), заключенных с получателями грантов,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положения о казначейском сопровождении грантов в соответствии с бюджетным законодательством Российской Федерации, за исключением грантов, предоставляемых получателям грантов, включенным в реестр социально ориентированных некоммерческих организаций, сформированный в соответствии с </w:t>
      </w:r>
      <w:hyperlink w:history="0" r:id="rId31"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30.07.2021 N 1290 "О реестре социально ориентированных некоммерческих организаций".</w:t>
      </w:r>
    </w:p>
    <w:p>
      <w:pPr>
        <w:pStyle w:val="0"/>
        <w:spacing w:before="200" w:lineRule="auto"/>
        <w:ind w:firstLine="540"/>
        <w:jc w:val="both"/>
      </w:pPr>
      <w:r>
        <w:rPr>
          <w:sz w:val="20"/>
        </w:rPr>
        <w:t xml:space="preserve">3.2. Соглашения о предоставлении грантов заключаются при условии соответствия получателей грантов требованиям к участникам конкурсного отбора, указанным в </w:t>
      </w:r>
      <w:hyperlink w:history="0" w:anchor="P805" w:tooltip="2.12. По состоянию на 1-е число месяца, предшествующего месяцу подачи документов, участники конкурсного отбора должны соответствовать следующим требованиям:">
        <w:r>
          <w:rPr>
            <w:sz w:val="20"/>
            <w:color w:val="0000ff"/>
          </w:rPr>
          <w:t xml:space="preserve">пунктах 2.12</w:t>
        </w:r>
      </w:hyperlink>
      <w:r>
        <w:rPr>
          <w:sz w:val="20"/>
        </w:rPr>
        <w:t xml:space="preserve"> и </w:t>
      </w:r>
      <w:hyperlink w:history="0" w:anchor="P814" w:tooltip="2.13.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и процентов у участника конкурсного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2.13</w:t>
        </w:r>
      </w:hyperlink>
      <w:r>
        <w:rPr>
          <w:sz w:val="20"/>
        </w:rPr>
        <w:t xml:space="preserve"> настоящего Порядка, и критериям конкурсного отбора, указанным в </w:t>
      </w:r>
      <w:hyperlink w:history="0" w:anchor="P818" w:tooltip="2.17. Участники конкурсного отбора по состоянию на дату подачи конкурсной заявки должны соответствовать следующим критериям конкурсного отбора:">
        <w:r>
          <w:rPr>
            <w:sz w:val="20"/>
            <w:color w:val="0000ff"/>
          </w:rPr>
          <w:t xml:space="preserve">пункте 2.17</w:t>
        </w:r>
      </w:hyperlink>
      <w:r>
        <w:rPr>
          <w:sz w:val="20"/>
        </w:rPr>
        <w:t xml:space="preserve"> настоящего Порядка.</w:t>
      </w:r>
    </w:p>
    <w:p>
      <w:pPr>
        <w:pStyle w:val="0"/>
        <w:spacing w:before="200" w:lineRule="auto"/>
        <w:ind w:firstLine="540"/>
        <w:jc w:val="both"/>
      </w:pPr>
      <w:r>
        <w:rPr>
          <w:sz w:val="20"/>
        </w:rPr>
        <w:t xml:space="preserve">3.3. Не допускается осуществление за счет грантов следующих расходов:</w:t>
      </w:r>
    </w:p>
    <w:p>
      <w:pPr>
        <w:pStyle w:val="0"/>
        <w:spacing w:before="200" w:lineRule="auto"/>
        <w:ind w:firstLine="540"/>
        <w:jc w:val="both"/>
      </w:pPr>
      <w:r>
        <w:rPr>
          <w:sz w:val="20"/>
        </w:rPr>
        <w:t xml:space="preserve">расходов, непосредственно не связанных с реализацией проектов (программ);</w:t>
      </w:r>
    </w:p>
    <w:p>
      <w:pPr>
        <w:pStyle w:val="0"/>
        <w:spacing w:before="200" w:lineRule="auto"/>
        <w:ind w:firstLine="540"/>
        <w:jc w:val="both"/>
      </w:pPr>
      <w:r>
        <w:rPr>
          <w:sz w:val="20"/>
        </w:rPr>
        <w:t xml:space="preserve">расходов на приобретение недвижимого имущества (включая земельные участки), расходов на капитальное строительство новых зданий;</w:t>
      </w:r>
    </w:p>
    <w:p>
      <w:pPr>
        <w:pStyle w:val="0"/>
        <w:spacing w:before="200" w:lineRule="auto"/>
        <w:ind w:firstLine="540"/>
        <w:jc w:val="both"/>
      </w:pPr>
      <w:r>
        <w:rPr>
          <w:sz w:val="20"/>
        </w:rPr>
        <w:t xml:space="preserve">расходов на приобретение алкогольной и табачной продукции;</w:t>
      </w:r>
    </w:p>
    <w:p>
      <w:pPr>
        <w:pStyle w:val="0"/>
        <w:spacing w:before="200" w:lineRule="auto"/>
        <w:ind w:firstLine="540"/>
        <w:jc w:val="both"/>
      </w:pPr>
      <w:r>
        <w:rPr>
          <w:sz w:val="20"/>
        </w:rPr>
        <w:t xml:space="preserve">расходов, предусматривающих финансирование политических партий, компаний и акций, подготовку и проведение митингов, демонстраций, пикетирований;</w:t>
      </w:r>
    </w:p>
    <w:p>
      <w:pPr>
        <w:pStyle w:val="0"/>
        <w:spacing w:before="200" w:lineRule="auto"/>
        <w:ind w:firstLine="540"/>
        <w:jc w:val="both"/>
      </w:pPr>
      <w:r>
        <w:rPr>
          <w:sz w:val="20"/>
        </w:rPr>
        <w:t xml:space="preserve">погашения задолженности;</w:t>
      </w:r>
    </w:p>
    <w:p>
      <w:pPr>
        <w:pStyle w:val="0"/>
        <w:spacing w:before="200" w:lineRule="auto"/>
        <w:ind w:firstLine="540"/>
        <w:jc w:val="both"/>
      </w:pPr>
      <w:r>
        <w:rPr>
          <w:sz w:val="20"/>
        </w:rPr>
        <w:t xml:space="preserve">уплаты штрафов, пеней, кредитных обязательств;</w:t>
      </w:r>
    </w:p>
    <w:p>
      <w:pPr>
        <w:pStyle w:val="0"/>
        <w:spacing w:before="200" w:lineRule="auto"/>
        <w:ind w:firstLine="540"/>
        <w:jc w:val="both"/>
      </w:pPr>
      <w:r>
        <w:rPr>
          <w:sz w:val="20"/>
        </w:rPr>
        <w:t xml:space="preserve">приобретения иностранной валюты.</w:t>
      </w:r>
    </w:p>
    <w:p>
      <w:pPr>
        <w:pStyle w:val="0"/>
        <w:spacing w:before="200" w:lineRule="auto"/>
        <w:ind w:firstLine="540"/>
        <w:jc w:val="both"/>
      </w:pPr>
      <w:r>
        <w:rPr>
          <w:sz w:val="20"/>
        </w:rPr>
        <w:t xml:space="preserve">3.4. Ответственность за достоверность сведений и подлинность представленных в министерство документов несут получатели грантов.</w:t>
      </w:r>
    </w:p>
    <w:p>
      <w:pPr>
        <w:pStyle w:val="0"/>
        <w:spacing w:before="200" w:lineRule="auto"/>
        <w:ind w:firstLine="540"/>
        <w:jc w:val="both"/>
      </w:pPr>
      <w:r>
        <w:rPr>
          <w:sz w:val="20"/>
        </w:rPr>
        <w:t xml:space="preserve">3.5. Соглашения о предоставлении грантов, дополнительные соглашения к соглашениям о предоставлении грантов, в том числе дополнительные соглашения о расторжении соглашений о предоставлении грантов (при необходимости), заключаются в электронном виде в автоматизированной системе управления бюджетным процессом Кировской области в соответствии с типовой формой, утвержденной министерством финансов Кировской области.</w:t>
      </w:r>
    </w:p>
    <w:bookmarkStart w:id="906" w:name="P906"/>
    <w:bookmarkEnd w:id="906"/>
    <w:p>
      <w:pPr>
        <w:pStyle w:val="0"/>
        <w:spacing w:before="200" w:lineRule="auto"/>
        <w:ind w:firstLine="540"/>
        <w:jc w:val="both"/>
      </w:pPr>
      <w:r>
        <w:rPr>
          <w:sz w:val="20"/>
        </w:rPr>
        <w:t xml:space="preserve">3.6. В случае незаключения получателями грантов соглашений о предоставлении грантов в установленный срок или расторжения соглашений о предоставлении грантов с получателями грантов в период реализации проектов (программ) министерство в течение 5 рабочих дней со дня истечения установленного срока вносит изменение в правовой акт, указанный в </w:t>
      </w:r>
      <w:hyperlink w:history="0" w:anchor="P883" w:tooltip="2.36. Не позднее 10 рабочих дней со дня подписания протокола подведения итогов конкурсного отбора правовым актом министерства утверждается перечень получателей грантов и распределение грантов в текущем финансовом году.">
        <w:r>
          <w:rPr>
            <w:sz w:val="20"/>
            <w:color w:val="0000ff"/>
          </w:rPr>
          <w:t xml:space="preserve">пункте 2.36</w:t>
        </w:r>
      </w:hyperlink>
      <w:r>
        <w:rPr>
          <w:sz w:val="20"/>
        </w:rPr>
        <w:t xml:space="preserve"> настоящего Порядка, в части исключения данных получателей грантов из числа получателей грантов.</w:t>
      </w:r>
    </w:p>
    <w:p>
      <w:pPr>
        <w:pStyle w:val="0"/>
        <w:spacing w:before="200" w:lineRule="auto"/>
        <w:ind w:firstLine="540"/>
        <w:jc w:val="both"/>
      </w:pPr>
      <w:r>
        <w:rPr>
          <w:sz w:val="20"/>
        </w:rPr>
        <w:t xml:space="preserve">3.7. Правовой акт министерства о внесении изменений в правовой акт министерства об определении получателей грантов в части изменения перечня получателей грантов в случае, указанном в </w:t>
      </w:r>
      <w:hyperlink w:history="0" w:anchor="P906" w:tooltip="3.6. В случае незаключения получателями грантов соглашений о предоставлении грантов в установленный срок или расторжения соглашений о предоставлении грантов с получателями грантов в период реализации проектов (программ) министерство в течение 5 рабочих дней со дня истечения установленного срока вносит изменение в правовой акт, указанный в пункте 2.36 настоящего Порядка, в части исключения данных получателей грантов из числа получателей грантов.">
        <w:r>
          <w:rPr>
            <w:sz w:val="20"/>
            <w:color w:val="0000ff"/>
          </w:rPr>
          <w:t xml:space="preserve">пункте 3.6</w:t>
        </w:r>
      </w:hyperlink>
      <w:r>
        <w:rPr>
          <w:sz w:val="20"/>
        </w:rPr>
        <w:t xml:space="preserve"> настоящего Порядка, размещается министерством в системе "Электронный бюджет".</w:t>
      </w:r>
    </w:p>
    <w:p>
      <w:pPr>
        <w:pStyle w:val="0"/>
        <w:spacing w:before="200" w:lineRule="auto"/>
        <w:ind w:firstLine="540"/>
        <w:jc w:val="both"/>
      </w:pPr>
      <w:r>
        <w:rPr>
          <w:sz w:val="20"/>
        </w:rPr>
        <w:t xml:space="preserve">3.8. В случае незаключения министерством соглашений о предоставлении грантов с получателями грантов и изменения перечня получателей грантов в случае, указанном в </w:t>
      </w:r>
      <w:hyperlink w:history="0" w:anchor="P906" w:tooltip="3.6. В случае незаключения получателями грантов соглашений о предоставлении грантов в установленный срок или расторжения соглашений о предоставлении грантов с получателями грантов в период реализации проектов (программ) министерство в течение 5 рабочих дней со дня истечения установленного срока вносит изменение в правовой акт, указанный в пункте 2.36 настоящего Порядка, в части исключения данных получателей грантов из числа получателей грантов.">
        <w:r>
          <w:rPr>
            <w:sz w:val="20"/>
            <w:color w:val="0000ff"/>
          </w:rPr>
          <w:t xml:space="preserve">пункте 3.6</w:t>
        </w:r>
      </w:hyperlink>
      <w:r>
        <w:rPr>
          <w:sz w:val="20"/>
        </w:rPr>
        <w:t xml:space="preserve"> настоящего Порядка, министерство заключает соглашения о предоставлении грантов с иными участниками конкурсного отбора, которые являются следующими в итоговом рейтинге оценки проектов (программ), при условии согласия таких участников конкурсного отбора и при соответствующем согласовании экспертной комиссии в течение 30 рабочих дней со дня внесения изменений в правовой акт, указанный в </w:t>
      </w:r>
      <w:hyperlink w:history="0" w:anchor="P883" w:tooltip="2.36. Не позднее 10 рабочих дней со дня подписания протокола подведения итогов конкурсного отбора правовым актом министерства утверждается перечень получателей грантов и распределение грантов в текущем финансовом году.">
        <w:r>
          <w:rPr>
            <w:sz w:val="20"/>
            <w:color w:val="0000ff"/>
          </w:rPr>
          <w:t xml:space="preserve">пункте 2.36</w:t>
        </w:r>
      </w:hyperlink>
      <w:r>
        <w:rPr>
          <w:sz w:val="20"/>
        </w:rPr>
        <w:t xml:space="preserve"> настоящего Порядка.</w:t>
      </w:r>
    </w:p>
    <w:p>
      <w:pPr>
        <w:pStyle w:val="0"/>
        <w:spacing w:before="200" w:lineRule="auto"/>
        <w:ind w:firstLine="540"/>
        <w:jc w:val="both"/>
      </w:pPr>
      <w:r>
        <w:rPr>
          <w:sz w:val="20"/>
        </w:rPr>
        <w:t xml:space="preserve">3.9. В случае расторжения соглашений о предоставлении грантов с получателями грантов в период реализации проектов (программ) министерство заключает соглашения о предоставлении грантов с иными участниками конкурсного отбора, которые являются следующими в итоговом рейтинге оценки социально значимых проектов (инициатив), при условии согласия таких участников конкурсного отбора и при соответствующем согласовании конкурсной комиссии в течение 30 рабочих дней со дня внесения изменений в правовой акт, указанный в </w:t>
      </w:r>
      <w:hyperlink w:history="0" w:anchor="P883" w:tooltip="2.36. Не позднее 10 рабочих дней со дня подписания протокола подведения итогов конкурсного отбора правовым актом министерства утверждается перечень получателей грантов и распределение грантов в текущем финансовом году.">
        <w:r>
          <w:rPr>
            <w:sz w:val="20"/>
            <w:color w:val="0000ff"/>
          </w:rPr>
          <w:t xml:space="preserve">пункте 2.36</w:t>
        </w:r>
      </w:hyperlink>
      <w:r>
        <w:rPr>
          <w:sz w:val="20"/>
        </w:rPr>
        <w:t xml:space="preserve"> настоящего Порядка.</w:t>
      </w:r>
    </w:p>
    <w:p>
      <w:pPr>
        <w:pStyle w:val="0"/>
        <w:spacing w:before="200" w:lineRule="auto"/>
        <w:ind w:firstLine="540"/>
        <w:jc w:val="both"/>
      </w:pPr>
      <w:r>
        <w:rPr>
          <w:sz w:val="20"/>
        </w:rPr>
        <w:t xml:space="preserve">3.10. При образовании остатка денежных средств, предусмотренных на проведение конкурсного отбора (далее - остаток), размер которого меньше, чем запрашиваемый следующими в рейтинге участниками отбора размер грантов, экспертная комиссия предлагает министерству предоставить данным участникам конкурсного отбора грант в размере остатка с возможностью корректировки запрашиваемых размеров грантов и значений показателей результативности предоставления грантов с учетом сохранения содержания проектов (программ), что отражается в итоговом протоколе.</w:t>
      </w:r>
    </w:p>
    <w:p>
      <w:pPr>
        <w:pStyle w:val="0"/>
        <w:spacing w:before="200" w:lineRule="auto"/>
        <w:ind w:firstLine="540"/>
        <w:jc w:val="both"/>
      </w:pPr>
      <w:r>
        <w:rPr>
          <w:sz w:val="20"/>
        </w:rPr>
        <w:t xml:space="preserve">3.11. Средства грантов подлежат казначейскому сопровождению, за исключением грантов, предоставляемых получателям грантов, включенным в реестр социально ориентированных некоммерческих организаций, сформированный в соответствии с </w:t>
      </w:r>
      <w:hyperlink w:history="0" r:id="rId32" w:tooltip="Постановление Правительства РФ от 30.07.2021 N 1290 (ред. от 03.10.2025)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30.07.2021 N 1290 "О реестре социально ориентированных некоммерческих организаций" (далее - реестр социально ориентированных некоммерческих организаций).</w:t>
      </w:r>
    </w:p>
    <w:p>
      <w:pPr>
        <w:pStyle w:val="0"/>
        <w:spacing w:before="200" w:lineRule="auto"/>
        <w:ind w:firstLine="540"/>
        <w:jc w:val="both"/>
      </w:pPr>
      <w:r>
        <w:rPr>
          <w:sz w:val="20"/>
        </w:rPr>
        <w:t xml:space="preserve">3.12. Перечисление грантов осуществляется в установленном порядке на лицевые счета для учета операций со средствами участников казначейского сопровождения, открытые получателями грантов в министерстве финансов Кировской области, за исключением субсидий, предоставляемых некоммерческим организациям, включенным в реестр социально ориентированных некоммерческих организаций, в течение 30 рабочих дней после представления заявки в соответствии с формой, определенной соглашением о предоставлении гранта, и документов, подтверждающих возникновение денежных обязательств, связанных с выполнением работ, оказанием услуг по реализации проектов (программ).</w:t>
      </w:r>
    </w:p>
    <w:p>
      <w:pPr>
        <w:pStyle w:val="0"/>
        <w:spacing w:before="200" w:lineRule="auto"/>
        <w:ind w:firstLine="540"/>
        <w:jc w:val="both"/>
      </w:pPr>
      <w:r>
        <w:rPr>
          <w:sz w:val="20"/>
        </w:rPr>
        <w:t xml:space="preserve">Перечисление грантов получателям грантов, включенным в реестр социально ориентированных некоммерческих организаций, осуществляется на расчетные счета, открытые ими в кредитных организациях, в течение 30 рабочих дней после представления получателями грантов платежных и иных документов, подтверждающих возникновение денежных обязательств.</w:t>
      </w:r>
    </w:p>
    <w:p>
      <w:pPr>
        <w:pStyle w:val="0"/>
        <w:spacing w:before="200" w:lineRule="auto"/>
        <w:ind w:firstLine="540"/>
        <w:jc w:val="both"/>
      </w:pPr>
      <w:r>
        <w:rPr>
          <w:sz w:val="20"/>
        </w:rPr>
        <w:t xml:space="preserve">3.13. Для санкционирования операций участники казначейского сопровождения представляют в министерство финансов Кировской области документы, установленные </w:t>
      </w:r>
      <w:hyperlink w:history="0" r:id="rId33" w:tooltip="Распоряжение министерства финансов Кировской области от 11.05.2023 N 15 &quot;Об утверждении Порядка санкционирования операций со средствами участников казначейского сопровождения&quot; {КонсультантПлюс}">
        <w:r>
          <w:rPr>
            <w:sz w:val="20"/>
            <w:color w:val="0000ff"/>
          </w:rPr>
          <w:t xml:space="preserve">распоряжением</w:t>
        </w:r>
      </w:hyperlink>
      <w:r>
        <w:rPr>
          <w:sz w:val="20"/>
        </w:rPr>
        <w:t xml:space="preserve"> министерства финансов Кировской области от 11.05.2023 N 15 "Об утверждении Порядка санкционирования операций со средствами участников казначейского сопровождения".</w:t>
      </w:r>
    </w:p>
    <w:bookmarkStart w:id="915" w:name="P915"/>
    <w:bookmarkEnd w:id="915"/>
    <w:p>
      <w:pPr>
        <w:pStyle w:val="0"/>
        <w:spacing w:before="200" w:lineRule="auto"/>
        <w:ind w:firstLine="540"/>
        <w:jc w:val="both"/>
      </w:pPr>
      <w:r>
        <w:rPr>
          <w:sz w:val="20"/>
        </w:rPr>
        <w:t xml:space="preserve">3.14. Министерство в течение 5 рабочих дней после представления получателями грантов заявок на перечисление средств в соответствии с формой, определенной соглашениями на предоставление грантов, платежных и иных документов, подтверждающих возникновение денежных обязательств, осуществляет проверку представленных документов на предмет комплектности и достоверности информации, содержащейся в них, и принимает решение о перечислении грантов получателям грантов либо решение об отказе в перечислении грантов получателям грантов в соответствии с основаниями для отказа в перечислении грантов, указанными в </w:t>
      </w:r>
      <w:hyperlink w:history="0" w:anchor="P917" w:tooltip="3.15. Основаниями для отказа в перечислении грантов являются:">
        <w:r>
          <w:rPr>
            <w:sz w:val="20"/>
            <w:color w:val="0000ff"/>
          </w:rPr>
          <w:t xml:space="preserve">пункте 3.15</w:t>
        </w:r>
      </w:hyperlink>
      <w:r>
        <w:rPr>
          <w:sz w:val="20"/>
        </w:rPr>
        <w:t xml:space="preserve"> настоящего Порядка.</w:t>
      </w:r>
    </w:p>
    <w:p>
      <w:pPr>
        <w:pStyle w:val="0"/>
        <w:spacing w:before="200" w:lineRule="auto"/>
        <w:ind w:firstLine="540"/>
        <w:jc w:val="both"/>
      </w:pPr>
      <w:r>
        <w:rPr>
          <w:sz w:val="20"/>
        </w:rPr>
        <w:t xml:space="preserve">В случае принятия решений об отказе в перечислении грантов министерство в течение 7 рабочих дней со дня принятия решений об отказе в перечислении грантов по электронной почте уведомляет получателей грантов об отказе в перечислении грантов с указанием оснований отказа в перечислении грантов и разъясняет порядок обжалования данных решений.</w:t>
      </w:r>
    </w:p>
    <w:bookmarkStart w:id="917" w:name="P917"/>
    <w:bookmarkEnd w:id="917"/>
    <w:p>
      <w:pPr>
        <w:pStyle w:val="0"/>
        <w:spacing w:before="200" w:lineRule="auto"/>
        <w:ind w:firstLine="540"/>
        <w:jc w:val="both"/>
      </w:pPr>
      <w:r>
        <w:rPr>
          <w:sz w:val="20"/>
        </w:rPr>
        <w:t xml:space="preserve">3.15. Основаниями для отказа в перечислении грантов являются:</w:t>
      </w:r>
    </w:p>
    <w:p>
      <w:pPr>
        <w:pStyle w:val="0"/>
        <w:spacing w:before="200" w:lineRule="auto"/>
        <w:ind w:firstLine="540"/>
        <w:jc w:val="both"/>
      </w:pPr>
      <w:r>
        <w:rPr>
          <w:sz w:val="20"/>
        </w:rPr>
        <w:t xml:space="preserve">3.15.1. Установление факта недостоверности представленной получателями грантов информации, содержащейся в представленных документах, указанных в </w:t>
      </w:r>
      <w:hyperlink w:history="0" w:anchor="P915" w:tooltip="3.14. Министерство в течение 5 рабочих дней после представления получателями грантов заявок на перечисление средств в соответствии с формой, определенной соглашениями на предоставление грантов, платежных и иных документов, подтверждающих возникновение денежных обязательств, осуществляет проверку представленных документов на предмет комплектности и достоверности информации, содержащейся в них, и принимает решение о перечислении грантов получателям грантов либо решение об отказе в перечислении грантов полу...">
        <w:r>
          <w:rPr>
            <w:sz w:val="20"/>
            <w:color w:val="0000ff"/>
          </w:rPr>
          <w:t xml:space="preserve">пункте 3.14</w:t>
        </w:r>
      </w:hyperlink>
      <w:r>
        <w:rPr>
          <w:sz w:val="20"/>
        </w:rPr>
        <w:t xml:space="preserve"> настоящего Порядка.</w:t>
      </w:r>
    </w:p>
    <w:p>
      <w:pPr>
        <w:pStyle w:val="0"/>
        <w:spacing w:before="200" w:lineRule="auto"/>
        <w:ind w:firstLine="540"/>
        <w:jc w:val="both"/>
      </w:pPr>
      <w:r>
        <w:rPr>
          <w:sz w:val="20"/>
        </w:rPr>
        <w:t xml:space="preserve">3.15.2. Непредставление (представление не в полном объеме) документов, указанных в </w:t>
      </w:r>
      <w:hyperlink w:history="0" w:anchor="P915" w:tooltip="3.14. Министерство в течение 5 рабочих дней после представления получателями грантов заявок на перечисление средств в соответствии с формой, определенной соглашениями на предоставление грантов, платежных и иных документов, подтверждающих возникновение денежных обязательств, осуществляет проверку представленных документов на предмет комплектности и достоверности информации, содержащейся в них, и принимает решение о перечислении грантов получателям грантов либо решение об отказе в перечислении грантов полу...">
        <w:r>
          <w:rPr>
            <w:sz w:val="20"/>
            <w:color w:val="0000ff"/>
          </w:rPr>
          <w:t xml:space="preserve">пункте 3.14</w:t>
        </w:r>
      </w:hyperlink>
      <w:r>
        <w:rPr>
          <w:sz w:val="20"/>
        </w:rPr>
        <w:t xml:space="preserve"> настоящего Порядка.</w:t>
      </w:r>
    </w:p>
    <w:p>
      <w:pPr>
        <w:pStyle w:val="0"/>
        <w:spacing w:before="200" w:lineRule="auto"/>
        <w:ind w:firstLine="540"/>
        <w:jc w:val="both"/>
      </w:pPr>
      <w:r>
        <w:rPr>
          <w:sz w:val="20"/>
        </w:rPr>
        <w:t xml:space="preserve">3.15.3. Отсутствие лимитов бюджетных обязательств на предоставление грантов, доведенных на 2025 год в соответствии с бюджетным законодательством Российской Федерации до министерства как получателя бюджетных средств.</w:t>
      </w:r>
    </w:p>
    <w:bookmarkStart w:id="921" w:name="P921"/>
    <w:bookmarkEnd w:id="921"/>
    <w:p>
      <w:pPr>
        <w:pStyle w:val="0"/>
        <w:spacing w:before="200" w:lineRule="auto"/>
        <w:ind w:firstLine="540"/>
        <w:jc w:val="both"/>
      </w:pPr>
      <w:r>
        <w:rPr>
          <w:sz w:val="20"/>
        </w:rPr>
        <w:t xml:space="preserve">3.16. Результатом предоставления грантов является количество реализованных получателями грантов проектов (программ). Значение, точная дата завершения результата предоставления гранта устанавливаются в соглашениях о предоставлении грантов. Типом результата предоставления грантов является оказание услуг (выполнение работ).</w:t>
      </w:r>
    </w:p>
    <w:p>
      <w:pPr>
        <w:pStyle w:val="0"/>
        <w:spacing w:before="200" w:lineRule="auto"/>
        <w:ind w:firstLine="540"/>
        <w:jc w:val="both"/>
      </w:pPr>
      <w:r>
        <w:rPr>
          <w:sz w:val="20"/>
        </w:rPr>
        <w:t xml:space="preserve">3.17. Не использованные по состоянию на 1 января 2026 года средства грантов подлежат возврату в областной бюджет до 1 февраля 2026 года в порядке, установленном бюджетным законодательством Российской Федерации.</w:t>
      </w:r>
    </w:p>
    <w:p>
      <w:pPr>
        <w:pStyle w:val="0"/>
        <w:jc w:val="both"/>
      </w:pPr>
      <w:r>
        <w:rPr>
          <w:sz w:val="20"/>
        </w:rPr>
      </w:r>
    </w:p>
    <w:p>
      <w:pPr>
        <w:pStyle w:val="2"/>
        <w:outlineLvl w:val="1"/>
        <w:ind w:firstLine="540"/>
        <w:jc w:val="both"/>
      </w:pPr>
      <w:r>
        <w:rPr>
          <w:sz w:val="20"/>
        </w:rPr>
        <w:t xml:space="preserve">4. Требования к отчетности</w:t>
      </w:r>
    </w:p>
    <w:p>
      <w:pPr>
        <w:pStyle w:val="0"/>
        <w:jc w:val="both"/>
      </w:pPr>
      <w:r>
        <w:rPr>
          <w:sz w:val="20"/>
        </w:rPr>
      </w:r>
    </w:p>
    <w:bookmarkStart w:id="926" w:name="P926"/>
    <w:bookmarkEnd w:id="926"/>
    <w:p>
      <w:pPr>
        <w:pStyle w:val="0"/>
        <w:ind w:firstLine="540"/>
        <w:jc w:val="both"/>
      </w:pPr>
      <w:r>
        <w:rPr>
          <w:sz w:val="20"/>
        </w:rPr>
        <w:t xml:space="preserve">4.1. Получатели грантов представляют в министерство:</w:t>
      </w:r>
    </w:p>
    <w:p>
      <w:pPr>
        <w:pStyle w:val="0"/>
        <w:spacing w:before="200" w:lineRule="auto"/>
        <w:ind w:firstLine="540"/>
        <w:jc w:val="both"/>
      </w:pPr>
      <w:r>
        <w:rPr>
          <w:sz w:val="20"/>
        </w:rPr>
        <w:t xml:space="preserve">4.1.1. В срок до 5-го числа месяца, следующего за отчетным кварталом, - отчет о расходах, источником финансового обеспечения которых являются гранты, по форме, предусмотренной соглашениями о предоставлении грантов.</w:t>
      </w:r>
    </w:p>
    <w:p>
      <w:pPr>
        <w:pStyle w:val="0"/>
        <w:spacing w:before="200" w:lineRule="auto"/>
        <w:ind w:firstLine="540"/>
        <w:jc w:val="both"/>
      </w:pPr>
      <w:r>
        <w:rPr>
          <w:sz w:val="20"/>
        </w:rPr>
        <w:t xml:space="preserve">4.1.2. В срок до 5-го числа месяца, следующего за отчетным кварталом, - отчет о достижении значения результата предоставления грантов по форме, предусмотренной соглашениями о предоставлении грантов.</w:t>
      </w:r>
    </w:p>
    <w:p>
      <w:pPr>
        <w:pStyle w:val="0"/>
        <w:spacing w:before="200" w:lineRule="auto"/>
        <w:ind w:firstLine="540"/>
        <w:jc w:val="both"/>
      </w:pPr>
      <w:r>
        <w:rPr>
          <w:sz w:val="20"/>
        </w:rPr>
        <w:t xml:space="preserve">4.2. Министерство в течение 5 рабочих дней со дня получения отчетов, указанных в </w:t>
      </w:r>
      <w:hyperlink w:history="0" w:anchor="P926" w:tooltip="4.1. Получатели грантов представляют в министерство:">
        <w:r>
          <w:rPr>
            <w:sz w:val="20"/>
            <w:color w:val="0000ff"/>
          </w:rPr>
          <w:t xml:space="preserve">пункте 4.1</w:t>
        </w:r>
      </w:hyperlink>
      <w:r>
        <w:rPr>
          <w:sz w:val="20"/>
        </w:rPr>
        <w:t xml:space="preserve"> настоящего Порядка (далее - отчеты), проверяет полноту и достоверность сведений, содержащихся в отчетах.</w:t>
      </w:r>
    </w:p>
    <w:p>
      <w:pPr>
        <w:pStyle w:val="0"/>
        <w:spacing w:before="200" w:lineRule="auto"/>
        <w:ind w:firstLine="540"/>
        <w:jc w:val="both"/>
      </w:pPr>
      <w:r>
        <w:rPr>
          <w:sz w:val="20"/>
        </w:rPr>
        <w:t xml:space="preserve">4.3. В случае достаточности и достоверности сведений, содержащихся в отчетах, отчеты принимаются министерством, в случае выявления в отчетах неполной или недостоверной информации министерство принимает решение об отказе в принятии отчетов.</w:t>
      </w:r>
    </w:p>
    <w:p>
      <w:pPr>
        <w:pStyle w:val="0"/>
        <w:spacing w:before="200" w:lineRule="auto"/>
        <w:ind w:firstLine="540"/>
        <w:jc w:val="both"/>
      </w:pPr>
      <w:r>
        <w:rPr>
          <w:sz w:val="20"/>
        </w:rPr>
        <w:t xml:space="preserve">4.4. В случае принятия решения об отказе в принятии отчетов министерство в течение 3 рабочих дней со дня принятия соответствующего решения по электронной почте уведомляет получателей грантов об отказе в принятии отчетов с указанием причин такого отказа.</w:t>
      </w:r>
    </w:p>
    <w:p>
      <w:pPr>
        <w:pStyle w:val="0"/>
        <w:spacing w:before="200" w:lineRule="auto"/>
        <w:ind w:firstLine="540"/>
        <w:jc w:val="both"/>
      </w:pPr>
      <w:r>
        <w:rPr>
          <w:sz w:val="20"/>
        </w:rPr>
        <w:t xml:space="preserve">4.5. В случае устранения замечаний, явившихся основанием для отказа в принятии отчетов, получателям грантов в течение 2 рабочих дней со дня уведомления получателей грантов об отказе в принятии указанных отчетов необходимо представить в министерство уточненные отчеты.</w:t>
      </w:r>
    </w:p>
    <w:p>
      <w:pPr>
        <w:pStyle w:val="0"/>
        <w:spacing w:before="200" w:lineRule="auto"/>
        <w:ind w:firstLine="540"/>
        <w:jc w:val="both"/>
      </w:pPr>
      <w:r>
        <w:rPr>
          <w:sz w:val="20"/>
        </w:rPr>
        <w:t xml:space="preserve">4.6. Рассмотрение уточненных отчетов осуществляется министерством в течение 2 рабочих дней со дня их поступления.</w:t>
      </w:r>
    </w:p>
    <w:p>
      <w:pPr>
        <w:pStyle w:val="0"/>
        <w:spacing w:before="200" w:lineRule="auto"/>
        <w:ind w:firstLine="540"/>
        <w:jc w:val="both"/>
      </w:pPr>
      <w:r>
        <w:rPr>
          <w:sz w:val="20"/>
        </w:rPr>
        <w:t xml:space="preserve">4.7. Министерство вправе устанавливать в соглашениях о предоставлении грантов иные формы представления получателями грантов дополнительной отчетности и сроки ее представления.</w:t>
      </w:r>
    </w:p>
    <w:p>
      <w:pPr>
        <w:pStyle w:val="0"/>
        <w:jc w:val="both"/>
      </w:pPr>
      <w:r>
        <w:rPr>
          <w:sz w:val="20"/>
        </w:rPr>
      </w:r>
    </w:p>
    <w:p>
      <w:pPr>
        <w:pStyle w:val="2"/>
        <w:outlineLvl w:val="1"/>
        <w:ind w:firstLine="540"/>
        <w:jc w:val="both"/>
      </w:pPr>
      <w:r>
        <w:rPr>
          <w:sz w:val="20"/>
        </w:rPr>
        <w:t xml:space="preserve">5. Требования к осуществлению контроля (мониторинга) за соблюдением условий и порядка предоставления грантов, ответственность за их нарушение</w:t>
      </w:r>
    </w:p>
    <w:p>
      <w:pPr>
        <w:pStyle w:val="0"/>
        <w:jc w:val="both"/>
      </w:pPr>
      <w:r>
        <w:rPr>
          <w:sz w:val="20"/>
        </w:rPr>
      </w:r>
    </w:p>
    <w:p>
      <w:pPr>
        <w:pStyle w:val="0"/>
        <w:ind w:firstLine="540"/>
        <w:jc w:val="both"/>
      </w:pPr>
      <w:r>
        <w:rPr>
          <w:sz w:val="20"/>
        </w:rPr>
        <w:t xml:space="preserve">5.1. Министерством осуществляется обязательная проверка соблюдения получателями грантов условий и порядка предоставления грантов, в том числе в части достижения результата предоставления гранта, органами государственного финансового контроля - проверка в соответствии со </w:t>
      </w:r>
      <w:hyperlink w:history="0" r:id="rId3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Министерство осуществляет мониторинг достижения результатов предоставления грантов исходя из достижений значений результатов предоставления грантов, определенных соглашениями о предоставлении грантов, и событий, отражающих факт завершения соответствующих мероприятий по получению результатов предоставления грантов (контрольной точки),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5.3. Руководители получателей грантов несут ответственность в соответствии с действующим законодательством за нецелевое использование средств грантов, за недостоверность и несвоевременность представляемых в министерство отчетов.</w:t>
      </w:r>
    </w:p>
    <w:bookmarkStart w:id="941" w:name="P941"/>
    <w:bookmarkEnd w:id="941"/>
    <w:p>
      <w:pPr>
        <w:pStyle w:val="0"/>
        <w:spacing w:before="200" w:lineRule="auto"/>
        <w:ind w:firstLine="540"/>
        <w:jc w:val="both"/>
      </w:pPr>
      <w:r>
        <w:rPr>
          <w:sz w:val="20"/>
        </w:rPr>
        <w:t xml:space="preserve">5.4. Несоблюдение получателями грантов условий и порядка предоставления грантов, выявленное по результатам проверки, влечет за собой возврат грантов в областной бюджет и применение к получателям грантов мер ответственности, предусмотренных действующим законодательством Российской Федерации.</w:t>
      </w:r>
    </w:p>
    <w:p>
      <w:pPr>
        <w:pStyle w:val="0"/>
        <w:spacing w:before="200" w:lineRule="auto"/>
        <w:ind w:firstLine="540"/>
        <w:jc w:val="both"/>
      </w:pPr>
      <w:r>
        <w:rPr>
          <w:sz w:val="20"/>
        </w:rPr>
        <w:t xml:space="preserve">5.5. При выявлении нарушений, указанных в </w:t>
      </w:r>
      <w:hyperlink w:history="0" w:anchor="P941" w:tooltip="5.4. Несоблюдение получателями грантов условий и порядка предоставления грантов, выявленное по результатам проверки, влечет за собой возврат грантов в областной бюджет и применение к получателям грантов мер ответственности, предусмотренных действующим законодательством Российской Федерации.">
        <w:r>
          <w:rPr>
            <w:sz w:val="20"/>
            <w:color w:val="0000ff"/>
          </w:rPr>
          <w:t xml:space="preserve">пункте 5.4</w:t>
        </w:r>
      </w:hyperlink>
      <w:r>
        <w:rPr>
          <w:sz w:val="20"/>
        </w:rPr>
        <w:t xml:space="preserve"> настоящего Порядка, министерство в течение 30 календарных дней со дня выявления указанных нарушений направляет получателям грантов требование о возврате гранта в областной бюджет в срок, не превышающий 30 рабочих дней с даты получения требования.</w:t>
      </w:r>
    </w:p>
    <w:p>
      <w:pPr>
        <w:pStyle w:val="0"/>
        <w:spacing w:before="200" w:lineRule="auto"/>
        <w:ind w:firstLine="540"/>
        <w:jc w:val="both"/>
      </w:pPr>
      <w:r>
        <w:rPr>
          <w:sz w:val="20"/>
        </w:rPr>
        <w:t xml:space="preserve">5.6. В случае невозврата получателями грантов в областной бюджет грантов в установленный срок министерство осуществляет подготовку исковых заявлений о взыскании грантов в областной бюджет в судебном порядке и направляет его в течение 1 месяца после истечения установленного срока в суд.</w:t>
      </w:r>
    </w:p>
    <w:p>
      <w:pPr>
        <w:pStyle w:val="0"/>
        <w:spacing w:before="200" w:lineRule="auto"/>
        <w:ind w:firstLine="540"/>
        <w:jc w:val="both"/>
      </w:pPr>
      <w:r>
        <w:rPr>
          <w:sz w:val="20"/>
        </w:rPr>
        <w:t xml:space="preserve">5.7. Недостижение получателями грантов значения результата предоставления грантов, определенного соглашениями о предоставлении грантов, влечет возврат средств грантов в областной бюджет в объеме, рассчитанном министерством.</w:t>
      </w:r>
    </w:p>
    <w:p>
      <w:pPr>
        <w:pStyle w:val="0"/>
        <w:spacing w:before="200" w:lineRule="auto"/>
        <w:ind w:firstLine="540"/>
        <w:jc w:val="both"/>
      </w:pPr>
      <w:r>
        <w:rPr>
          <w:sz w:val="20"/>
        </w:rPr>
        <w:t xml:space="preserve">5.8. Объем средств, подлежащий возврату в 2026 году в областной бюджет (V</w:t>
      </w:r>
      <w:r>
        <w:rPr>
          <w:sz w:val="20"/>
          <w:vertAlign w:val="superscript"/>
        </w:rPr>
        <w:t xml:space="preserve">в</w:t>
      </w:r>
      <w:r>
        <w:rPr>
          <w:sz w:val="20"/>
        </w:rPr>
        <w:t xml:space="preserve">), рассчитывается по следующей формуле:</w:t>
      </w:r>
    </w:p>
    <w:p>
      <w:pPr>
        <w:pStyle w:val="0"/>
        <w:jc w:val="both"/>
      </w:pPr>
      <w:r>
        <w:rPr>
          <w:sz w:val="20"/>
        </w:rPr>
      </w:r>
    </w:p>
    <w:p>
      <w:pPr>
        <w:pStyle w:val="0"/>
        <w:jc w:val="center"/>
      </w:pPr>
      <w:r>
        <w:rPr>
          <w:position w:val="-28"/>
        </w:rPr>
        <w:drawing>
          <wp:inline distT="0" distB="0" distL="0" distR="0">
            <wp:extent cx="12477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247775"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perscript"/>
        </w:rPr>
        <w:t xml:space="preserve">с</w:t>
      </w:r>
      <w:r>
        <w:rPr>
          <w:sz w:val="20"/>
        </w:rPr>
        <w:t xml:space="preserve"> - размер гранта, предоставленного получателю гранта (без учета размера остатка гранта, не использованного по состоянию на 1 января 2026 года);</w:t>
      </w:r>
    </w:p>
    <w:p>
      <w:pPr>
        <w:pStyle w:val="0"/>
        <w:spacing w:before="200" w:lineRule="auto"/>
        <w:ind w:firstLine="540"/>
        <w:jc w:val="both"/>
      </w:pPr>
      <w:r>
        <w:rPr>
          <w:sz w:val="20"/>
        </w:rPr>
        <w:t xml:space="preserve">P</w:t>
      </w:r>
      <w:r>
        <w:rPr>
          <w:sz w:val="20"/>
          <w:vertAlign w:val="subscript"/>
        </w:rPr>
        <w:t xml:space="preserve">ф</w:t>
      </w:r>
      <w:r>
        <w:rPr>
          <w:sz w:val="20"/>
        </w:rPr>
        <w:t xml:space="preserve"> - фактическое значение результата предоставления гранта;</w:t>
      </w:r>
    </w:p>
    <w:p>
      <w:pPr>
        <w:pStyle w:val="0"/>
        <w:spacing w:before="200" w:lineRule="auto"/>
        <w:ind w:firstLine="540"/>
        <w:jc w:val="both"/>
      </w:pPr>
      <w:r>
        <w:rPr>
          <w:sz w:val="20"/>
        </w:rPr>
        <w:t xml:space="preserve">P</w:t>
      </w:r>
      <w:r>
        <w:rPr>
          <w:sz w:val="20"/>
          <w:vertAlign w:val="subscript"/>
        </w:rPr>
        <w:t xml:space="preserve">пл</w:t>
      </w:r>
      <w:r>
        <w:rPr>
          <w:sz w:val="20"/>
        </w:rPr>
        <w:t xml:space="preserve"> - плановое значение результата предоставления гранта.</w:t>
      </w:r>
    </w:p>
    <w:p>
      <w:pPr>
        <w:pStyle w:val="0"/>
        <w:spacing w:before="200" w:lineRule="auto"/>
        <w:ind w:firstLine="540"/>
        <w:jc w:val="both"/>
      </w:pPr>
      <w:r>
        <w:rPr>
          <w:sz w:val="20"/>
        </w:rPr>
        <w:t xml:space="preserve">5.9. Министерство в срок до 1 апреля 2026 года направляет получателям грантов требование о возврате средств в областной бюджет в срок до 1 мая 2026 года.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both"/>
      </w:pPr>
      <w:r>
        <w:rPr>
          <w:sz w:val="20"/>
        </w:rPr>
      </w:r>
    </w:p>
    <w:bookmarkStart w:id="962" w:name="P962"/>
    <w:bookmarkEnd w:id="962"/>
    <w:p>
      <w:pPr>
        <w:pStyle w:val="0"/>
        <w:jc w:val="center"/>
      </w:pPr>
      <w:r>
        <w:rPr>
          <w:sz w:val="20"/>
          <w:b w:val="on"/>
        </w:rPr>
        <w:t xml:space="preserve">КОНКУРСНАЯ ЗАЯВКА</w:t>
      </w:r>
    </w:p>
    <w:p>
      <w:pPr>
        <w:pStyle w:val="0"/>
        <w:jc w:val="both"/>
      </w:pPr>
      <w:r>
        <w:rPr>
          <w:sz w:val="20"/>
        </w:rPr>
      </w:r>
    </w:p>
    <w:p>
      <w:pPr>
        <w:pStyle w:val="0"/>
        <w:outlineLvl w:val="2"/>
        <w:ind w:firstLine="540"/>
        <w:jc w:val="both"/>
      </w:pPr>
      <w:r>
        <w:rPr>
          <w:sz w:val="20"/>
          <w:b w:val="on"/>
        </w:rPr>
        <w:t xml:space="preserve">1. Информационная карта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499"/>
        <w:gridCol w:w="2891"/>
      </w:tblGrid>
      <w:tr>
        <w:tc>
          <w:tcPr>
            <w:tcW w:w="680" w:type="dxa"/>
          </w:tcPr>
          <w:p>
            <w:pPr>
              <w:pStyle w:val="0"/>
              <w:jc w:val="center"/>
            </w:pPr>
            <w:r>
              <w:rPr>
                <w:sz w:val="20"/>
              </w:rPr>
              <w:t xml:space="preserve">N п/п</w:t>
            </w:r>
          </w:p>
        </w:tc>
        <w:tc>
          <w:tcPr>
            <w:tcW w:w="5499" w:type="dxa"/>
          </w:tcPr>
          <w:p>
            <w:pPr>
              <w:pStyle w:val="0"/>
              <w:jc w:val="center"/>
            </w:pPr>
            <w:r>
              <w:rPr>
                <w:sz w:val="20"/>
              </w:rPr>
              <w:t xml:space="preserve">Наименование показателя</w:t>
            </w:r>
          </w:p>
        </w:tc>
        <w:tc>
          <w:tcPr>
            <w:tcW w:w="2891" w:type="dxa"/>
          </w:tcPr>
          <w:p>
            <w:pPr>
              <w:pStyle w:val="0"/>
              <w:jc w:val="center"/>
            </w:pPr>
            <w:r>
              <w:rPr>
                <w:sz w:val="20"/>
              </w:rPr>
              <w:t xml:space="preserve">Информация</w:t>
            </w:r>
          </w:p>
        </w:tc>
      </w:tr>
      <w:tr>
        <w:tc>
          <w:tcPr>
            <w:tcW w:w="680" w:type="dxa"/>
          </w:tcPr>
          <w:p>
            <w:pPr>
              <w:pStyle w:val="0"/>
              <w:jc w:val="center"/>
            </w:pPr>
            <w:r>
              <w:rPr>
                <w:sz w:val="20"/>
              </w:rPr>
              <w:t xml:space="preserve">1.</w:t>
            </w:r>
          </w:p>
        </w:tc>
        <w:tc>
          <w:tcPr>
            <w:tcW w:w="5499" w:type="dxa"/>
          </w:tcPr>
          <w:p>
            <w:pPr>
              <w:pStyle w:val="0"/>
            </w:pPr>
            <w:r>
              <w:rPr>
                <w:sz w:val="20"/>
              </w:rPr>
              <w:t xml:space="preserve">Полное наименование проекта (программы)</w:t>
            </w:r>
          </w:p>
        </w:tc>
        <w:tc>
          <w:tcPr>
            <w:tcW w:w="2891" w:type="dxa"/>
          </w:tcPr>
          <w:p>
            <w:pPr>
              <w:pStyle w:val="0"/>
            </w:pPr>
            <w:r>
              <w:rPr>
                <w:sz w:val="20"/>
              </w:rPr>
            </w:r>
          </w:p>
        </w:tc>
      </w:tr>
      <w:tr>
        <w:tc>
          <w:tcPr>
            <w:tcW w:w="680" w:type="dxa"/>
          </w:tcPr>
          <w:p>
            <w:pPr>
              <w:pStyle w:val="0"/>
              <w:jc w:val="center"/>
            </w:pPr>
            <w:r>
              <w:rPr>
                <w:sz w:val="20"/>
              </w:rPr>
              <w:t xml:space="preserve">2.</w:t>
            </w:r>
          </w:p>
        </w:tc>
        <w:tc>
          <w:tcPr>
            <w:tcW w:w="5499" w:type="dxa"/>
          </w:tcPr>
          <w:p>
            <w:pPr>
              <w:pStyle w:val="0"/>
            </w:pPr>
            <w:r>
              <w:rPr>
                <w:sz w:val="20"/>
              </w:rPr>
              <w:t xml:space="preserve">Наименование направления, на реализацию которого направлен (направлена) проект (программа)</w:t>
            </w:r>
          </w:p>
        </w:tc>
        <w:tc>
          <w:tcPr>
            <w:tcW w:w="2891" w:type="dxa"/>
          </w:tcPr>
          <w:p>
            <w:pPr>
              <w:pStyle w:val="0"/>
            </w:pPr>
            <w:r>
              <w:rPr>
                <w:sz w:val="20"/>
              </w:rPr>
            </w:r>
          </w:p>
        </w:tc>
      </w:tr>
      <w:tr>
        <w:tc>
          <w:tcPr>
            <w:tcW w:w="680" w:type="dxa"/>
          </w:tcPr>
          <w:p>
            <w:pPr>
              <w:pStyle w:val="0"/>
              <w:jc w:val="center"/>
            </w:pPr>
            <w:r>
              <w:rPr>
                <w:sz w:val="20"/>
              </w:rPr>
              <w:t xml:space="preserve">3.</w:t>
            </w:r>
          </w:p>
        </w:tc>
        <w:tc>
          <w:tcPr>
            <w:tcW w:w="5499" w:type="dxa"/>
          </w:tcPr>
          <w:p>
            <w:pPr>
              <w:pStyle w:val="0"/>
            </w:pPr>
            <w:r>
              <w:rPr>
                <w:sz w:val="20"/>
              </w:rPr>
              <w:t xml:space="preserve">Ф.И.О. автора, разработчика (коллектива) проекта (программы) с указанием занимаемой должности (занимаемых должностей)</w:t>
            </w:r>
          </w:p>
        </w:tc>
        <w:tc>
          <w:tcPr>
            <w:tcW w:w="2891" w:type="dxa"/>
          </w:tcPr>
          <w:p>
            <w:pPr>
              <w:pStyle w:val="0"/>
            </w:pPr>
            <w:r>
              <w:rPr>
                <w:sz w:val="20"/>
              </w:rPr>
            </w:r>
          </w:p>
        </w:tc>
      </w:tr>
      <w:tr>
        <w:tc>
          <w:tcPr>
            <w:tcW w:w="680" w:type="dxa"/>
          </w:tcPr>
          <w:p>
            <w:pPr>
              <w:pStyle w:val="0"/>
              <w:jc w:val="center"/>
            </w:pPr>
            <w:r>
              <w:rPr>
                <w:sz w:val="20"/>
              </w:rPr>
              <w:t xml:space="preserve">4.</w:t>
            </w:r>
          </w:p>
        </w:tc>
        <w:tc>
          <w:tcPr>
            <w:tcW w:w="5499" w:type="dxa"/>
          </w:tcPr>
          <w:p>
            <w:pPr>
              <w:pStyle w:val="0"/>
            </w:pPr>
            <w:r>
              <w:rPr>
                <w:sz w:val="20"/>
              </w:rPr>
              <w:t xml:space="preserve">Контактный телефон, электронный адрес</w:t>
            </w:r>
          </w:p>
        </w:tc>
        <w:tc>
          <w:tcPr>
            <w:tcW w:w="2891" w:type="dxa"/>
          </w:tcPr>
          <w:p>
            <w:pPr>
              <w:pStyle w:val="0"/>
            </w:pPr>
            <w:r>
              <w:rPr>
                <w:sz w:val="20"/>
              </w:rPr>
            </w:r>
          </w:p>
        </w:tc>
      </w:tr>
      <w:tr>
        <w:tc>
          <w:tcPr>
            <w:tcW w:w="680" w:type="dxa"/>
          </w:tcPr>
          <w:p>
            <w:pPr>
              <w:pStyle w:val="0"/>
              <w:jc w:val="center"/>
            </w:pPr>
            <w:r>
              <w:rPr>
                <w:sz w:val="20"/>
              </w:rPr>
              <w:t xml:space="preserve">5.</w:t>
            </w:r>
          </w:p>
        </w:tc>
        <w:tc>
          <w:tcPr>
            <w:tcW w:w="5499" w:type="dxa"/>
          </w:tcPr>
          <w:p>
            <w:pPr>
              <w:pStyle w:val="0"/>
            </w:pPr>
            <w:r>
              <w:rPr>
                <w:sz w:val="20"/>
              </w:rPr>
              <w:t xml:space="preserve">Полное наименование молодежного или детского общественного объединения, подающего документы на конкурсный отбор</w:t>
            </w:r>
          </w:p>
        </w:tc>
        <w:tc>
          <w:tcPr>
            <w:tcW w:w="2891" w:type="dxa"/>
          </w:tcPr>
          <w:p>
            <w:pPr>
              <w:pStyle w:val="0"/>
            </w:pPr>
            <w:r>
              <w:rPr>
                <w:sz w:val="20"/>
              </w:rPr>
            </w:r>
          </w:p>
        </w:tc>
      </w:tr>
      <w:tr>
        <w:tc>
          <w:tcPr>
            <w:tcW w:w="680" w:type="dxa"/>
          </w:tcPr>
          <w:p>
            <w:pPr>
              <w:pStyle w:val="0"/>
              <w:jc w:val="center"/>
            </w:pPr>
            <w:r>
              <w:rPr>
                <w:sz w:val="20"/>
              </w:rPr>
              <w:t xml:space="preserve">6.</w:t>
            </w:r>
          </w:p>
        </w:tc>
        <w:tc>
          <w:tcPr>
            <w:tcW w:w="5499" w:type="dxa"/>
          </w:tcPr>
          <w:p>
            <w:pPr>
              <w:pStyle w:val="0"/>
            </w:pPr>
            <w:r>
              <w:rPr>
                <w:sz w:val="20"/>
              </w:rPr>
              <w:t xml:space="preserve">Ф.И.О. руководителя молодежного или детского общественного объединения, контактный телефон, электронный адрес молодежного или детского общественного объединения</w:t>
            </w:r>
          </w:p>
        </w:tc>
        <w:tc>
          <w:tcPr>
            <w:tcW w:w="2891" w:type="dxa"/>
          </w:tcPr>
          <w:p>
            <w:pPr>
              <w:pStyle w:val="0"/>
            </w:pPr>
            <w:r>
              <w:rPr>
                <w:sz w:val="20"/>
              </w:rPr>
            </w:r>
          </w:p>
        </w:tc>
      </w:tr>
      <w:tr>
        <w:tc>
          <w:tcPr>
            <w:tcW w:w="680" w:type="dxa"/>
          </w:tcPr>
          <w:p>
            <w:pPr>
              <w:pStyle w:val="0"/>
              <w:jc w:val="center"/>
            </w:pPr>
            <w:r>
              <w:rPr>
                <w:sz w:val="20"/>
              </w:rPr>
              <w:t xml:space="preserve">7.</w:t>
            </w:r>
          </w:p>
        </w:tc>
        <w:tc>
          <w:tcPr>
            <w:tcW w:w="5499" w:type="dxa"/>
          </w:tcPr>
          <w:p>
            <w:pPr>
              <w:pStyle w:val="0"/>
            </w:pPr>
            <w:r>
              <w:rPr>
                <w:sz w:val="20"/>
              </w:rPr>
              <w:t xml:space="preserve">Банковские реквизиты молодежного или детского общественного объединения, подающего документы на конкурсный отбор</w:t>
            </w:r>
          </w:p>
        </w:tc>
        <w:tc>
          <w:tcPr>
            <w:tcW w:w="2891" w:type="dxa"/>
          </w:tcPr>
          <w:p>
            <w:pPr>
              <w:pStyle w:val="0"/>
            </w:pPr>
            <w:r>
              <w:rPr>
                <w:sz w:val="20"/>
              </w:rPr>
            </w:r>
          </w:p>
        </w:tc>
      </w:tr>
      <w:tr>
        <w:tc>
          <w:tcPr>
            <w:tcW w:w="680" w:type="dxa"/>
          </w:tcPr>
          <w:p>
            <w:pPr>
              <w:pStyle w:val="0"/>
              <w:jc w:val="center"/>
            </w:pPr>
            <w:r>
              <w:rPr>
                <w:sz w:val="20"/>
              </w:rPr>
              <w:t xml:space="preserve">8.</w:t>
            </w:r>
          </w:p>
        </w:tc>
        <w:tc>
          <w:tcPr>
            <w:tcW w:w="5499" w:type="dxa"/>
          </w:tcPr>
          <w:p>
            <w:pPr>
              <w:pStyle w:val="0"/>
            </w:pPr>
            <w:r>
              <w:rPr>
                <w:sz w:val="20"/>
              </w:rPr>
              <w:t xml:space="preserve">Сроки реализации проекта (программы)</w:t>
            </w:r>
          </w:p>
        </w:tc>
        <w:tc>
          <w:tcPr>
            <w:tcW w:w="2891" w:type="dxa"/>
          </w:tcPr>
          <w:p>
            <w:pPr>
              <w:pStyle w:val="0"/>
            </w:pPr>
            <w:r>
              <w:rPr>
                <w:sz w:val="20"/>
              </w:rPr>
            </w:r>
          </w:p>
        </w:tc>
      </w:tr>
      <w:tr>
        <w:tc>
          <w:tcPr>
            <w:tcW w:w="680" w:type="dxa"/>
          </w:tcPr>
          <w:p>
            <w:pPr>
              <w:pStyle w:val="0"/>
              <w:jc w:val="center"/>
            </w:pPr>
            <w:r>
              <w:rPr>
                <w:sz w:val="20"/>
              </w:rPr>
              <w:t xml:space="preserve">9.</w:t>
            </w:r>
          </w:p>
        </w:tc>
        <w:tc>
          <w:tcPr>
            <w:tcW w:w="5499" w:type="dxa"/>
          </w:tcPr>
          <w:p>
            <w:pPr>
              <w:pStyle w:val="0"/>
            </w:pPr>
            <w:r>
              <w:rPr>
                <w:sz w:val="20"/>
              </w:rPr>
              <w:t xml:space="preserve">Цель проекта (программы)</w:t>
            </w:r>
          </w:p>
        </w:tc>
        <w:tc>
          <w:tcPr>
            <w:tcW w:w="2891" w:type="dxa"/>
          </w:tcPr>
          <w:p>
            <w:pPr>
              <w:pStyle w:val="0"/>
            </w:pPr>
            <w:r>
              <w:rPr>
                <w:sz w:val="20"/>
              </w:rPr>
            </w:r>
          </w:p>
        </w:tc>
      </w:tr>
      <w:tr>
        <w:tc>
          <w:tcPr>
            <w:tcW w:w="680" w:type="dxa"/>
          </w:tcPr>
          <w:p>
            <w:pPr>
              <w:pStyle w:val="0"/>
              <w:jc w:val="center"/>
            </w:pPr>
            <w:r>
              <w:rPr>
                <w:sz w:val="20"/>
              </w:rPr>
              <w:t xml:space="preserve">10.</w:t>
            </w:r>
          </w:p>
        </w:tc>
        <w:tc>
          <w:tcPr>
            <w:tcW w:w="5499" w:type="dxa"/>
          </w:tcPr>
          <w:p>
            <w:pPr>
              <w:pStyle w:val="0"/>
            </w:pPr>
            <w:r>
              <w:rPr>
                <w:sz w:val="20"/>
              </w:rPr>
              <w:t xml:space="preserve">Задачи проекта (программы)</w:t>
            </w:r>
          </w:p>
        </w:tc>
        <w:tc>
          <w:tcPr>
            <w:tcW w:w="2891" w:type="dxa"/>
          </w:tcPr>
          <w:p>
            <w:pPr>
              <w:pStyle w:val="0"/>
            </w:pPr>
            <w:r>
              <w:rPr>
                <w:sz w:val="20"/>
              </w:rPr>
            </w:r>
          </w:p>
        </w:tc>
      </w:tr>
      <w:tr>
        <w:tc>
          <w:tcPr>
            <w:tcW w:w="680" w:type="dxa"/>
          </w:tcPr>
          <w:p>
            <w:pPr>
              <w:pStyle w:val="0"/>
              <w:jc w:val="center"/>
            </w:pPr>
            <w:r>
              <w:rPr>
                <w:sz w:val="20"/>
              </w:rPr>
              <w:t xml:space="preserve">11.</w:t>
            </w:r>
          </w:p>
        </w:tc>
        <w:tc>
          <w:tcPr>
            <w:tcW w:w="5499" w:type="dxa"/>
          </w:tcPr>
          <w:p>
            <w:pPr>
              <w:pStyle w:val="0"/>
            </w:pPr>
            <w:r>
              <w:rPr>
                <w:sz w:val="20"/>
              </w:rPr>
              <w:t xml:space="preserve">Актуальность и целесообразность реализации проекта (программы)</w:t>
            </w:r>
          </w:p>
        </w:tc>
        <w:tc>
          <w:tcPr>
            <w:tcW w:w="2891" w:type="dxa"/>
          </w:tcPr>
          <w:p>
            <w:pPr>
              <w:pStyle w:val="0"/>
            </w:pPr>
            <w:r>
              <w:rPr>
                <w:sz w:val="20"/>
              </w:rPr>
            </w:r>
          </w:p>
        </w:tc>
      </w:tr>
      <w:tr>
        <w:tc>
          <w:tcPr>
            <w:tcW w:w="680" w:type="dxa"/>
          </w:tcPr>
          <w:p>
            <w:pPr>
              <w:pStyle w:val="0"/>
              <w:jc w:val="center"/>
            </w:pPr>
            <w:r>
              <w:rPr>
                <w:sz w:val="20"/>
              </w:rPr>
              <w:t xml:space="preserve">12.</w:t>
            </w:r>
          </w:p>
        </w:tc>
        <w:tc>
          <w:tcPr>
            <w:tcW w:w="5499" w:type="dxa"/>
          </w:tcPr>
          <w:p>
            <w:pPr>
              <w:pStyle w:val="0"/>
            </w:pPr>
            <w:r>
              <w:rPr>
                <w:sz w:val="20"/>
              </w:rPr>
              <w:t xml:space="preserve">Характеристика целевой группы проекта (программы) (возраст, категории, география участников)</w:t>
            </w:r>
          </w:p>
        </w:tc>
        <w:tc>
          <w:tcPr>
            <w:tcW w:w="2891" w:type="dxa"/>
          </w:tcPr>
          <w:p>
            <w:pPr>
              <w:pStyle w:val="0"/>
            </w:pPr>
            <w:r>
              <w:rPr>
                <w:sz w:val="20"/>
              </w:rPr>
            </w:r>
          </w:p>
        </w:tc>
      </w:tr>
      <w:tr>
        <w:tc>
          <w:tcPr>
            <w:tcW w:w="680" w:type="dxa"/>
          </w:tcPr>
          <w:p>
            <w:pPr>
              <w:pStyle w:val="0"/>
              <w:jc w:val="center"/>
            </w:pPr>
            <w:r>
              <w:rPr>
                <w:sz w:val="20"/>
              </w:rPr>
              <w:t xml:space="preserve">13.</w:t>
            </w:r>
          </w:p>
        </w:tc>
        <w:tc>
          <w:tcPr>
            <w:tcW w:w="5499" w:type="dxa"/>
          </w:tcPr>
          <w:p>
            <w:pPr>
              <w:pStyle w:val="0"/>
            </w:pPr>
            <w:r>
              <w:rPr>
                <w:sz w:val="20"/>
              </w:rPr>
              <w:t xml:space="preserve">Кадровое обеспечение проекта (программы) (Ф.И.О., должность, опыт и квалификация специалистов, реализующих проект (программу))</w:t>
            </w:r>
          </w:p>
        </w:tc>
        <w:tc>
          <w:tcPr>
            <w:tcW w:w="2891" w:type="dxa"/>
          </w:tcPr>
          <w:p>
            <w:pPr>
              <w:pStyle w:val="0"/>
            </w:pPr>
            <w:r>
              <w:rPr>
                <w:sz w:val="20"/>
              </w:rPr>
            </w:r>
          </w:p>
        </w:tc>
      </w:tr>
      <w:tr>
        <w:tc>
          <w:tcPr>
            <w:tcW w:w="680" w:type="dxa"/>
            <w:vMerge w:val="restart"/>
          </w:tcPr>
          <w:p>
            <w:pPr>
              <w:pStyle w:val="0"/>
              <w:jc w:val="center"/>
            </w:pPr>
            <w:r>
              <w:rPr>
                <w:sz w:val="20"/>
              </w:rPr>
              <w:t xml:space="preserve">14.</w:t>
            </w:r>
          </w:p>
        </w:tc>
        <w:tc>
          <w:tcPr>
            <w:tcW w:w="5499" w:type="dxa"/>
          </w:tcPr>
          <w:p>
            <w:pPr>
              <w:pStyle w:val="0"/>
            </w:pPr>
            <w:r>
              <w:rPr>
                <w:sz w:val="20"/>
              </w:rPr>
              <w:t xml:space="preserve">Финансовое обеспечение проекта - всего, в том числе:</w:t>
            </w:r>
          </w:p>
        </w:tc>
        <w:tc>
          <w:tcPr>
            <w:tcW w:w="2891" w:type="dxa"/>
          </w:tcPr>
          <w:p>
            <w:pPr>
              <w:pStyle w:val="0"/>
            </w:pPr>
            <w:r>
              <w:rPr>
                <w:sz w:val="20"/>
              </w:rPr>
            </w:r>
          </w:p>
        </w:tc>
      </w:tr>
      <w:tr>
        <w:tc>
          <w:tcPr>
            <w:vMerge w:val="continue"/>
          </w:tcPr>
          <w:p/>
        </w:tc>
        <w:tc>
          <w:tcPr>
            <w:tcW w:w="5499" w:type="dxa"/>
          </w:tcPr>
          <w:p>
            <w:pPr>
              <w:pStyle w:val="0"/>
            </w:pPr>
            <w:r>
              <w:rPr>
                <w:sz w:val="20"/>
              </w:rPr>
              <w:t xml:space="preserve">средства гранта</w:t>
            </w:r>
          </w:p>
        </w:tc>
        <w:tc>
          <w:tcPr>
            <w:tcW w:w="2891" w:type="dxa"/>
          </w:tcPr>
          <w:p>
            <w:pPr>
              <w:pStyle w:val="0"/>
            </w:pPr>
            <w:r>
              <w:rPr>
                <w:sz w:val="20"/>
              </w:rPr>
            </w:r>
          </w:p>
        </w:tc>
      </w:tr>
      <w:tr>
        <w:tc>
          <w:tcPr>
            <w:vMerge w:val="continue"/>
          </w:tcPr>
          <w:p/>
        </w:tc>
        <w:tc>
          <w:tcPr>
            <w:tcW w:w="5499" w:type="dxa"/>
          </w:tcPr>
          <w:p>
            <w:pPr>
              <w:pStyle w:val="0"/>
            </w:pPr>
            <w:r>
              <w:rPr>
                <w:sz w:val="20"/>
              </w:rPr>
              <w:t xml:space="preserve">средства некоммерческой организации</w:t>
            </w:r>
          </w:p>
        </w:tc>
        <w:tc>
          <w:tcPr>
            <w:tcW w:w="2891" w:type="dxa"/>
          </w:tcPr>
          <w:p>
            <w:pPr>
              <w:pStyle w:val="0"/>
            </w:pPr>
            <w:r>
              <w:rPr>
                <w:sz w:val="20"/>
              </w:rPr>
            </w:r>
          </w:p>
        </w:tc>
      </w:tr>
      <w:tr>
        <w:tc>
          <w:tcPr>
            <w:vMerge w:val="continue"/>
          </w:tcPr>
          <w:p/>
        </w:tc>
        <w:tc>
          <w:tcPr>
            <w:tcW w:w="5499" w:type="dxa"/>
          </w:tcPr>
          <w:p>
            <w:pPr>
              <w:pStyle w:val="0"/>
            </w:pPr>
            <w:r>
              <w:rPr>
                <w:sz w:val="20"/>
              </w:rPr>
              <w:t xml:space="preserve">средства спонсоров</w:t>
            </w:r>
          </w:p>
        </w:tc>
        <w:tc>
          <w:tcPr>
            <w:tcW w:w="2891" w:type="dxa"/>
          </w:tcPr>
          <w:p>
            <w:pPr>
              <w:pStyle w:val="0"/>
            </w:pPr>
            <w:r>
              <w:rPr>
                <w:sz w:val="20"/>
              </w:rPr>
            </w:r>
          </w:p>
        </w:tc>
      </w:tr>
      <w:tr>
        <w:tc>
          <w:tcPr>
            <w:vMerge w:val="continue"/>
          </w:tcPr>
          <w:p/>
        </w:tc>
        <w:tc>
          <w:tcPr>
            <w:tcW w:w="5499" w:type="dxa"/>
          </w:tcPr>
          <w:p>
            <w:pPr>
              <w:pStyle w:val="0"/>
            </w:pPr>
            <w:r>
              <w:rPr>
                <w:sz w:val="20"/>
              </w:rPr>
              <w:t xml:space="preserve">иные средства (указать какие)</w:t>
            </w:r>
          </w:p>
        </w:tc>
        <w:tc>
          <w:tcPr>
            <w:tcW w:w="2891" w:type="dxa"/>
          </w:tcPr>
          <w:p>
            <w:pPr>
              <w:pStyle w:val="0"/>
            </w:pPr>
            <w:r>
              <w:rPr>
                <w:sz w:val="20"/>
              </w:rPr>
            </w:r>
          </w:p>
        </w:tc>
      </w:tr>
      <w:tr>
        <w:tc>
          <w:tcPr>
            <w:tcW w:w="680" w:type="dxa"/>
          </w:tcPr>
          <w:p>
            <w:pPr>
              <w:pStyle w:val="0"/>
              <w:jc w:val="center"/>
            </w:pPr>
            <w:r>
              <w:rPr>
                <w:sz w:val="20"/>
              </w:rPr>
              <w:t xml:space="preserve">15.</w:t>
            </w:r>
          </w:p>
        </w:tc>
        <w:tc>
          <w:tcPr>
            <w:tcW w:w="5499" w:type="dxa"/>
          </w:tcPr>
          <w:p>
            <w:pPr>
              <w:pStyle w:val="0"/>
            </w:pPr>
            <w:r>
              <w:rPr>
                <w:sz w:val="20"/>
              </w:rPr>
              <w:t xml:space="preserve">Ресурсное обеспечение проекта (материально-техническая база)</w:t>
            </w:r>
          </w:p>
        </w:tc>
        <w:tc>
          <w:tcPr>
            <w:tcW w:w="2891" w:type="dxa"/>
          </w:tcPr>
          <w:p>
            <w:pPr>
              <w:pStyle w:val="0"/>
            </w:pPr>
            <w:r>
              <w:rPr>
                <w:sz w:val="20"/>
              </w:rPr>
            </w:r>
          </w:p>
        </w:tc>
      </w:tr>
      <w:tr>
        <w:tc>
          <w:tcPr>
            <w:tcW w:w="680" w:type="dxa"/>
          </w:tcPr>
          <w:p>
            <w:pPr>
              <w:pStyle w:val="0"/>
              <w:jc w:val="center"/>
            </w:pPr>
            <w:r>
              <w:rPr>
                <w:sz w:val="20"/>
              </w:rPr>
              <w:t xml:space="preserve">16.</w:t>
            </w:r>
          </w:p>
        </w:tc>
        <w:tc>
          <w:tcPr>
            <w:tcW w:w="5499" w:type="dxa"/>
          </w:tcPr>
          <w:p>
            <w:pPr>
              <w:pStyle w:val="0"/>
            </w:pPr>
            <w:r>
              <w:rPr>
                <w:sz w:val="20"/>
              </w:rPr>
              <w:t xml:space="preserve">Информационное обеспечение деятельности молодежного или детского общественного объединения (публикации в средствах массовой информации, информационно-телекоммуникационной сети "Интернет", планируемое совокупное количество просмотров)</w:t>
            </w:r>
          </w:p>
        </w:tc>
        <w:tc>
          <w:tcPr>
            <w:tcW w:w="2891" w:type="dxa"/>
          </w:tcPr>
          <w:p>
            <w:pPr>
              <w:pStyle w:val="0"/>
            </w:pPr>
            <w:r>
              <w:rPr>
                <w:sz w:val="20"/>
              </w:rPr>
            </w:r>
          </w:p>
        </w:tc>
      </w:tr>
      <w:tr>
        <w:tc>
          <w:tcPr>
            <w:tcW w:w="680" w:type="dxa"/>
          </w:tcPr>
          <w:p>
            <w:pPr>
              <w:pStyle w:val="0"/>
              <w:jc w:val="center"/>
            </w:pPr>
            <w:r>
              <w:rPr>
                <w:sz w:val="20"/>
              </w:rPr>
              <w:t xml:space="preserve">17.</w:t>
            </w:r>
          </w:p>
        </w:tc>
        <w:tc>
          <w:tcPr>
            <w:tcW w:w="5499" w:type="dxa"/>
          </w:tcPr>
          <w:p>
            <w:pPr>
              <w:pStyle w:val="0"/>
            </w:pPr>
            <w:r>
              <w:rPr>
                <w:sz w:val="20"/>
              </w:rPr>
              <w:t xml:space="preserve">Наличие социальных партнеров при реализации проекта (программы)</w:t>
            </w:r>
          </w:p>
        </w:tc>
        <w:tc>
          <w:tcPr>
            <w:tcW w:w="2891" w:type="dxa"/>
          </w:tcPr>
          <w:p>
            <w:pPr>
              <w:pStyle w:val="0"/>
            </w:pPr>
            <w:r>
              <w:rPr>
                <w:sz w:val="20"/>
              </w:rPr>
            </w:r>
          </w:p>
        </w:tc>
      </w:tr>
      <w:tr>
        <w:tc>
          <w:tcPr>
            <w:tcW w:w="680" w:type="dxa"/>
          </w:tcPr>
          <w:p>
            <w:pPr>
              <w:pStyle w:val="0"/>
              <w:jc w:val="center"/>
            </w:pPr>
            <w:r>
              <w:rPr>
                <w:sz w:val="20"/>
              </w:rPr>
              <w:t xml:space="preserve">18.</w:t>
            </w:r>
          </w:p>
        </w:tc>
        <w:tc>
          <w:tcPr>
            <w:tcW w:w="5499" w:type="dxa"/>
          </w:tcPr>
          <w:p>
            <w:pPr>
              <w:pStyle w:val="0"/>
            </w:pPr>
            <w:r>
              <w:rPr>
                <w:sz w:val="20"/>
              </w:rPr>
              <w:t xml:space="preserve">Содержание проекта (программы) (краткая аннотация)</w:t>
            </w:r>
          </w:p>
        </w:tc>
        <w:tc>
          <w:tcPr>
            <w:tcW w:w="2891" w:type="dxa"/>
          </w:tcPr>
          <w:p>
            <w:pPr>
              <w:pStyle w:val="0"/>
            </w:pPr>
            <w:r>
              <w:rPr>
                <w:sz w:val="20"/>
              </w:rPr>
            </w:r>
          </w:p>
        </w:tc>
      </w:tr>
      <w:tr>
        <w:tc>
          <w:tcPr>
            <w:tcW w:w="680" w:type="dxa"/>
          </w:tcPr>
          <w:p>
            <w:pPr>
              <w:pStyle w:val="0"/>
              <w:jc w:val="center"/>
            </w:pPr>
            <w:r>
              <w:rPr>
                <w:sz w:val="20"/>
              </w:rPr>
              <w:t xml:space="preserve">19.</w:t>
            </w:r>
          </w:p>
        </w:tc>
        <w:tc>
          <w:tcPr>
            <w:tcW w:w="5499" w:type="dxa"/>
          </w:tcPr>
          <w:p>
            <w:pPr>
              <w:pStyle w:val="0"/>
            </w:pPr>
            <w:r>
              <w:rPr>
                <w:sz w:val="20"/>
              </w:rPr>
              <w:t xml:space="preserve">Этапы реализации проекта (программы) с указанием конкретных мероприятий</w:t>
            </w:r>
          </w:p>
        </w:tc>
        <w:tc>
          <w:tcPr>
            <w:tcW w:w="2891" w:type="dxa"/>
          </w:tcPr>
          <w:p>
            <w:pPr>
              <w:pStyle w:val="0"/>
            </w:pPr>
            <w:r>
              <w:rPr>
                <w:sz w:val="20"/>
              </w:rPr>
            </w:r>
          </w:p>
        </w:tc>
      </w:tr>
      <w:tr>
        <w:tc>
          <w:tcPr>
            <w:tcW w:w="680" w:type="dxa"/>
          </w:tcPr>
          <w:p>
            <w:pPr>
              <w:pStyle w:val="0"/>
              <w:jc w:val="center"/>
            </w:pPr>
            <w:r>
              <w:rPr>
                <w:sz w:val="20"/>
              </w:rPr>
              <w:t xml:space="preserve">20.</w:t>
            </w:r>
          </w:p>
        </w:tc>
        <w:tc>
          <w:tcPr>
            <w:tcW w:w="5499" w:type="dxa"/>
          </w:tcPr>
          <w:p>
            <w:pPr>
              <w:pStyle w:val="0"/>
            </w:pPr>
            <w:r>
              <w:rPr>
                <w:sz w:val="20"/>
              </w:rPr>
              <w:t xml:space="preserve">Наличие механизма оценки эффективности проекта (программы) (система количественных и качественных индикаторов)</w:t>
            </w:r>
          </w:p>
        </w:tc>
        <w:tc>
          <w:tcPr>
            <w:tcW w:w="2891" w:type="dxa"/>
          </w:tcPr>
          <w:p>
            <w:pPr>
              <w:pStyle w:val="0"/>
            </w:pPr>
            <w:r>
              <w:rPr>
                <w:sz w:val="20"/>
              </w:rPr>
            </w:r>
          </w:p>
        </w:tc>
      </w:tr>
      <w:tr>
        <w:tc>
          <w:tcPr>
            <w:tcW w:w="680" w:type="dxa"/>
          </w:tcPr>
          <w:p>
            <w:pPr>
              <w:pStyle w:val="0"/>
              <w:jc w:val="center"/>
            </w:pPr>
            <w:r>
              <w:rPr>
                <w:sz w:val="20"/>
              </w:rPr>
              <w:t xml:space="preserve">21.</w:t>
            </w:r>
          </w:p>
        </w:tc>
        <w:tc>
          <w:tcPr>
            <w:tcW w:w="5499" w:type="dxa"/>
          </w:tcPr>
          <w:p>
            <w:pPr>
              <w:pStyle w:val="0"/>
            </w:pPr>
            <w:r>
              <w:rPr>
                <w:sz w:val="20"/>
              </w:rPr>
              <w:t xml:space="preserve">Перспективность реализации проекта (программы), возможность его (ее) применения другими пользователями</w:t>
            </w:r>
          </w:p>
        </w:tc>
        <w:tc>
          <w:tcPr>
            <w:tcW w:w="2891" w:type="dxa"/>
          </w:tcPr>
          <w:p>
            <w:pPr>
              <w:pStyle w:val="0"/>
            </w:pPr>
            <w:r>
              <w:rPr>
                <w:sz w:val="20"/>
              </w:rPr>
            </w:r>
          </w:p>
        </w:tc>
      </w:tr>
    </w:tbl>
    <w:p>
      <w:pPr>
        <w:pStyle w:val="0"/>
        <w:jc w:val="both"/>
      </w:pPr>
      <w:r>
        <w:rPr>
          <w:sz w:val="20"/>
        </w:rPr>
      </w:r>
    </w:p>
    <w:p>
      <w:pPr>
        <w:pStyle w:val="0"/>
        <w:outlineLvl w:val="2"/>
        <w:ind w:firstLine="540"/>
        <w:jc w:val="both"/>
      </w:pPr>
      <w:r>
        <w:rPr>
          <w:sz w:val="20"/>
          <w:b w:val="on"/>
        </w:rPr>
        <w:t xml:space="preserve">2. План реализации проекта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701"/>
        <w:gridCol w:w="850"/>
        <w:gridCol w:w="991"/>
        <w:gridCol w:w="991"/>
        <w:gridCol w:w="2268"/>
        <w:gridCol w:w="1587"/>
      </w:tblGrid>
      <w:tr>
        <w:tc>
          <w:tcPr>
            <w:tcW w:w="680" w:type="dxa"/>
            <w:vMerge w:val="restart"/>
          </w:tcPr>
          <w:p>
            <w:pPr>
              <w:pStyle w:val="0"/>
              <w:jc w:val="center"/>
            </w:pPr>
            <w:r>
              <w:rPr>
                <w:sz w:val="20"/>
              </w:rPr>
              <w:t xml:space="preserve">N п/п</w:t>
            </w:r>
          </w:p>
        </w:tc>
        <w:tc>
          <w:tcPr>
            <w:tcW w:w="1701" w:type="dxa"/>
            <w:vMerge w:val="restart"/>
          </w:tcPr>
          <w:p>
            <w:pPr>
              <w:pStyle w:val="0"/>
              <w:jc w:val="center"/>
            </w:pPr>
            <w:r>
              <w:rPr>
                <w:sz w:val="20"/>
              </w:rPr>
              <w:t xml:space="preserve">Наименование мероприятия</w:t>
            </w:r>
          </w:p>
        </w:tc>
        <w:tc>
          <w:tcPr>
            <w:gridSpan w:val="3"/>
            <w:tcW w:w="2832" w:type="dxa"/>
          </w:tcPr>
          <w:p>
            <w:pPr>
              <w:pStyle w:val="0"/>
              <w:jc w:val="center"/>
            </w:pPr>
            <w:r>
              <w:rPr>
                <w:sz w:val="20"/>
              </w:rPr>
              <w:t xml:space="preserve">Объем финансирования, тыс. рублей</w:t>
            </w:r>
          </w:p>
        </w:tc>
        <w:tc>
          <w:tcPr>
            <w:tcW w:w="2268" w:type="dxa"/>
            <w:vMerge w:val="restart"/>
          </w:tcPr>
          <w:p>
            <w:pPr>
              <w:pStyle w:val="0"/>
              <w:jc w:val="center"/>
            </w:pPr>
            <w:r>
              <w:rPr>
                <w:sz w:val="20"/>
              </w:rPr>
              <w:t xml:space="preserve">Значение результата предоставления гранта и показателей, необходимых для достижения результата предоставления гранта</w:t>
            </w:r>
          </w:p>
        </w:tc>
        <w:tc>
          <w:tcPr>
            <w:tcW w:w="1587" w:type="dxa"/>
            <w:vMerge w:val="restart"/>
          </w:tcPr>
          <w:p>
            <w:pPr>
              <w:pStyle w:val="0"/>
              <w:jc w:val="center"/>
            </w:pPr>
            <w:r>
              <w:rPr>
                <w:sz w:val="20"/>
              </w:rPr>
              <w:t xml:space="preserve">Информация, обосновывающая размер расходов, а также источники получения указанной информации</w:t>
            </w:r>
          </w:p>
        </w:tc>
      </w:tr>
      <w:tr>
        <w:tc>
          <w:tcPr>
            <w:vMerge w:val="continue"/>
          </w:tcPr>
          <w:p/>
        </w:tc>
        <w:tc>
          <w:tcPr>
            <w:vMerge w:val="continue"/>
          </w:tcPr>
          <w:p/>
        </w:tc>
        <w:tc>
          <w:tcPr>
            <w:tcW w:w="850" w:type="dxa"/>
          </w:tcPr>
          <w:p>
            <w:pPr>
              <w:pStyle w:val="0"/>
              <w:jc w:val="center"/>
            </w:pPr>
            <w:r>
              <w:rPr>
                <w:sz w:val="20"/>
              </w:rPr>
              <w:t xml:space="preserve">всего</w:t>
            </w:r>
          </w:p>
        </w:tc>
        <w:tc>
          <w:tcPr>
            <w:tcW w:w="991" w:type="dxa"/>
          </w:tcPr>
          <w:p>
            <w:pPr>
              <w:pStyle w:val="0"/>
              <w:jc w:val="center"/>
            </w:pPr>
            <w:r>
              <w:rPr>
                <w:sz w:val="20"/>
              </w:rPr>
              <w:t xml:space="preserve">за счет средств гранта</w:t>
            </w:r>
          </w:p>
        </w:tc>
        <w:tc>
          <w:tcPr>
            <w:tcW w:w="991" w:type="dxa"/>
          </w:tcPr>
          <w:p>
            <w:pPr>
              <w:pStyle w:val="0"/>
              <w:jc w:val="center"/>
            </w:pPr>
            <w:r>
              <w:rPr>
                <w:sz w:val="20"/>
              </w:rPr>
              <w:t xml:space="preserve">за счет собственных средств</w:t>
            </w:r>
          </w:p>
        </w:tc>
        <w:tc>
          <w:tcPr>
            <w:vMerge w:val="continue"/>
          </w:tcPr>
          <w:p/>
        </w:tc>
        <w:tc>
          <w:tcPr>
            <w:vMerge w:val="continue"/>
          </w:tcPr>
          <w:p/>
        </w:tc>
      </w:tr>
      <w:tr>
        <w:tc>
          <w:tcPr>
            <w:tcW w:w="680" w:type="dxa"/>
          </w:tcPr>
          <w:bookmarkStart w:id="1051" w:name="P1051"/>
          <w:bookmarkEnd w:id="1051"/>
          <w:p>
            <w:pPr>
              <w:pStyle w:val="0"/>
              <w:jc w:val="center"/>
            </w:pPr>
            <w:r>
              <w:rPr>
                <w:sz w:val="20"/>
              </w:rPr>
              <w:t xml:space="preserve">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1.1.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1.2.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bookmarkStart w:id="1072" w:name="P1072"/>
          <w:bookmarkEnd w:id="1072"/>
          <w:p>
            <w:pPr>
              <w:pStyle w:val="0"/>
              <w:jc w:val="center"/>
            </w:pPr>
            <w:r>
              <w:rPr>
                <w:sz w:val="20"/>
              </w:rPr>
              <w:t xml:space="preserve">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2.1.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2.2.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bookmarkStart w:id="1093" w:name="P1093"/>
          <w:bookmarkEnd w:id="1093"/>
          <w:p>
            <w:pPr>
              <w:pStyle w:val="0"/>
              <w:jc w:val="center"/>
            </w:pPr>
            <w:r>
              <w:rPr>
                <w:sz w:val="20"/>
              </w:rPr>
              <w:t xml:space="preserve">3.</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3.1.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3.2.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bookmarkStart w:id="1114" w:name="P1114"/>
          <w:bookmarkEnd w:id="1114"/>
          <w:p>
            <w:pPr>
              <w:pStyle w:val="0"/>
              <w:jc w:val="center"/>
            </w:pPr>
            <w:r>
              <w:rPr>
                <w:sz w:val="20"/>
              </w:rPr>
              <w:t xml:space="preserve">4.</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4.1.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4.2.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bookmarkStart w:id="1135" w:name="P1135"/>
          <w:bookmarkEnd w:id="1135"/>
          <w:p>
            <w:pPr>
              <w:pStyle w:val="0"/>
              <w:jc w:val="center"/>
            </w:pPr>
            <w:r>
              <w:rPr>
                <w:sz w:val="20"/>
              </w:rPr>
              <w:t xml:space="preserve">5.</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5.1.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5.2.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bookmarkStart w:id="1156" w:name="P1156"/>
          <w:bookmarkEnd w:id="1156"/>
          <w:p>
            <w:pPr>
              <w:pStyle w:val="0"/>
              <w:jc w:val="center"/>
            </w:pPr>
            <w:r>
              <w:rPr>
                <w:sz w:val="20"/>
              </w:rPr>
              <w:t xml:space="preserve">6.</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6.1.</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6.2.</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jc w:val="center"/>
            </w:pPr>
            <w:r>
              <w:rPr>
                <w:sz w:val="20"/>
              </w:rPr>
              <w:t xml:space="preserve">....</w:t>
            </w:r>
          </w:p>
        </w:tc>
        <w:tc>
          <w:tcPr>
            <w:tcW w:w="1701" w:type="dxa"/>
          </w:tcPr>
          <w:p>
            <w:pPr>
              <w:pStyle w:val="0"/>
            </w:pPr>
            <w:r>
              <w:rPr>
                <w:sz w:val="20"/>
              </w:rPr>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r>
        <w:tc>
          <w:tcPr>
            <w:tcW w:w="680" w:type="dxa"/>
          </w:tcPr>
          <w:p>
            <w:pPr>
              <w:pStyle w:val="0"/>
            </w:pPr>
            <w:r>
              <w:rPr>
                <w:sz w:val="20"/>
              </w:rPr>
            </w:r>
          </w:p>
        </w:tc>
        <w:tc>
          <w:tcPr>
            <w:tcW w:w="1701" w:type="dxa"/>
          </w:tcPr>
          <w:p>
            <w:pPr>
              <w:pStyle w:val="0"/>
            </w:pPr>
            <w:r>
              <w:rPr>
                <w:sz w:val="20"/>
              </w:rPr>
              <w:t xml:space="preserve">Итого затрат (</w:t>
            </w:r>
            <w:hyperlink w:history="0" w:anchor="P1051" w:tooltip="1.">
              <w:r>
                <w:rPr>
                  <w:sz w:val="20"/>
                  <w:color w:val="0000ff"/>
                </w:rPr>
                <w:t xml:space="preserve">строка 1</w:t>
              </w:r>
            </w:hyperlink>
            <w:r>
              <w:rPr>
                <w:sz w:val="20"/>
              </w:rPr>
              <w:t xml:space="preserve"> + </w:t>
            </w:r>
            <w:hyperlink w:history="0" w:anchor="P1072" w:tooltip="2.">
              <w:r>
                <w:rPr>
                  <w:sz w:val="20"/>
                  <w:color w:val="0000ff"/>
                </w:rPr>
                <w:t xml:space="preserve">строка 2</w:t>
              </w:r>
            </w:hyperlink>
            <w:r>
              <w:rPr>
                <w:sz w:val="20"/>
              </w:rPr>
              <w:t xml:space="preserve"> + </w:t>
            </w:r>
            <w:hyperlink w:history="0" w:anchor="P1093" w:tooltip="3.">
              <w:r>
                <w:rPr>
                  <w:sz w:val="20"/>
                  <w:color w:val="0000ff"/>
                </w:rPr>
                <w:t xml:space="preserve">строка 3</w:t>
              </w:r>
            </w:hyperlink>
            <w:r>
              <w:rPr>
                <w:sz w:val="20"/>
              </w:rPr>
              <w:t xml:space="preserve"> + </w:t>
            </w:r>
            <w:hyperlink w:history="0" w:anchor="P1114" w:tooltip="4.">
              <w:r>
                <w:rPr>
                  <w:sz w:val="20"/>
                  <w:color w:val="0000ff"/>
                </w:rPr>
                <w:t xml:space="preserve">строка 4</w:t>
              </w:r>
            </w:hyperlink>
            <w:r>
              <w:rPr>
                <w:sz w:val="20"/>
              </w:rPr>
              <w:t xml:space="preserve"> + </w:t>
            </w:r>
            <w:hyperlink w:history="0" w:anchor="P1135" w:tooltip="5.">
              <w:r>
                <w:rPr>
                  <w:sz w:val="20"/>
                  <w:color w:val="0000ff"/>
                </w:rPr>
                <w:t xml:space="preserve">строка 5</w:t>
              </w:r>
            </w:hyperlink>
            <w:r>
              <w:rPr>
                <w:sz w:val="20"/>
              </w:rPr>
              <w:t xml:space="preserve"> + </w:t>
            </w:r>
            <w:hyperlink w:history="0" w:anchor="P1156" w:tooltip="6.">
              <w:r>
                <w:rPr>
                  <w:sz w:val="20"/>
                  <w:color w:val="0000ff"/>
                </w:rPr>
                <w:t xml:space="preserve">строка 6</w:t>
              </w:r>
            </w:hyperlink>
            <w:r>
              <w:rPr>
                <w:sz w:val="20"/>
              </w:rPr>
              <w:t xml:space="preserve"> + ...)</w:t>
            </w:r>
          </w:p>
        </w:tc>
        <w:tc>
          <w:tcPr>
            <w:tcW w:w="850" w:type="dxa"/>
          </w:tcPr>
          <w:p>
            <w:pPr>
              <w:pStyle w:val="0"/>
            </w:pPr>
            <w:r>
              <w:rPr>
                <w:sz w:val="20"/>
              </w:rPr>
            </w:r>
          </w:p>
        </w:tc>
        <w:tc>
          <w:tcPr>
            <w:tcW w:w="991" w:type="dxa"/>
          </w:tcPr>
          <w:p>
            <w:pPr>
              <w:pStyle w:val="0"/>
            </w:pPr>
            <w:r>
              <w:rPr>
                <w:sz w:val="20"/>
              </w:rPr>
            </w:r>
          </w:p>
        </w:tc>
        <w:tc>
          <w:tcPr>
            <w:tcW w:w="991" w:type="dxa"/>
          </w:tcPr>
          <w:p>
            <w:pPr>
              <w:pStyle w:val="0"/>
            </w:pPr>
            <w:r>
              <w:rPr>
                <w:sz w:val="20"/>
              </w:rPr>
            </w:r>
          </w:p>
        </w:tc>
        <w:tc>
          <w:tcPr>
            <w:tcW w:w="2268" w:type="dxa"/>
          </w:tcPr>
          <w:p>
            <w:pPr>
              <w:pStyle w:val="0"/>
            </w:pPr>
            <w:r>
              <w:rPr>
                <w:sz w:val="20"/>
              </w:rPr>
            </w:r>
          </w:p>
        </w:tc>
        <w:tc>
          <w:tcPr>
            <w:tcW w:w="1587" w:type="dxa"/>
          </w:tcPr>
          <w:p>
            <w:pPr>
              <w:pStyle w:val="0"/>
            </w:pPr>
            <w:r>
              <w:rPr>
                <w:sz w:val="20"/>
              </w:rPr>
            </w:r>
          </w:p>
        </w:tc>
      </w:tr>
    </w:tbl>
    <w:p>
      <w:pPr>
        <w:pStyle w:val="0"/>
        <w:jc w:val="both"/>
      </w:pPr>
      <w:r>
        <w:rPr>
          <w:sz w:val="20"/>
        </w:rPr>
      </w:r>
    </w:p>
    <w:p>
      <w:pPr>
        <w:pStyle w:val="0"/>
        <w:outlineLvl w:val="2"/>
        <w:ind w:firstLine="540"/>
        <w:jc w:val="both"/>
      </w:pPr>
      <w:r>
        <w:rPr>
          <w:sz w:val="20"/>
          <w:b w:val="on"/>
        </w:rPr>
        <w:t xml:space="preserve">3. Смета расходов на реализацию проектов (программ)</w:t>
      </w:r>
    </w:p>
    <w:p>
      <w:pPr>
        <w:pStyle w:val="0"/>
        <w:jc w:val="both"/>
      </w:pPr>
      <w:r>
        <w:rPr>
          <w:sz w:val="20"/>
        </w:rPr>
      </w:r>
    </w:p>
    <w:tbl>
      <w:tblPr>
        <w:tblInd w:w="0" w:type="dxa"/>
        <w:tblLayout w:type="fixed"/>
        <w:tblCellMar>
          <w:top w:w="102" w:type="dxa"/>
          <w:left w:w="62" w:type="dxa"/>
          <w:bottom w:w="102" w:type="dxa"/>
          <w:right w:w="62" w:type="dxa"/>
        </w:tblCellMar>
      </w:tblPr>
      <w:tblGrid>
        <w:gridCol w:w="2608"/>
        <w:gridCol w:w="907"/>
        <w:gridCol w:w="624"/>
        <w:gridCol w:w="3798"/>
        <w:gridCol w:w="1128"/>
      </w:tblGrid>
      <w:tr>
        <w:tc>
          <w:tcPr>
            <w:tcW w:w="2608" w:type="dxa"/>
            <w:tcBorders>
              <w:top w:val="nil"/>
              <w:left w:val="nil"/>
              <w:bottom w:val="nil"/>
              <w:right w:val="nil"/>
            </w:tcBorders>
          </w:tcPr>
          <w:p>
            <w:pPr>
              <w:pStyle w:val="0"/>
              <w:jc w:val="both"/>
            </w:pPr>
            <w:r>
              <w:rPr>
                <w:sz w:val="20"/>
              </w:rPr>
              <w:t xml:space="preserve">Общая сумма расходов:</w:t>
            </w:r>
          </w:p>
        </w:tc>
        <w:tc>
          <w:tcPr>
            <w:gridSpan w:val="3"/>
            <w:tcW w:w="5329" w:type="dxa"/>
            <w:tcBorders>
              <w:top w:val="nil"/>
              <w:left w:val="nil"/>
              <w:bottom w:val="single" w:sz="4"/>
              <w:right w:val="nil"/>
            </w:tcBorders>
          </w:tcPr>
          <w:p>
            <w:pPr>
              <w:pStyle w:val="0"/>
            </w:pPr>
            <w:r>
              <w:rPr>
                <w:sz w:val="20"/>
              </w:rPr>
            </w:r>
          </w:p>
        </w:tc>
        <w:tc>
          <w:tcPr>
            <w:tcW w:w="1128" w:type="dxa"/>
            <w:tcBorders>
              <w:top w:val="nil"/>
              <w:left w:val="nil"/>
              <w:bottom w:val="nil"/>
              <w:right w:val="nil"/>
            </w:tcBorders>
          </w:tcPr>
          <w:p>
            <w:pPr>
              <w:pStyle w:val="0"/>
              <w:jc w:val="both"/>
            </w:pPr>
            <w:r>
              <w:rPr>
                <w:sz w:val="20"/>
              </w:rPr>
              <w:t xml:space="preserve">рублей.</w:t>
            </w:r>
          </w:p>
        </w:tc>
      </w:tr>
      <w:tr>
        <w:tc>
          <w:tcPr>
            <w:tcW w:w="2608" w:type="dxa"/>
            <w:tcBorders>
              <w:top w:val="nil"/>
              <w:left w:val="nil"/>
              <w:bottom w:val="nil"/>
              <w:right w:val="nil"/>
            </w:tcBorders>
          </w:tcPr>
          <w:p>
            <w:pPr>
              <w:pStyle w:val="0"/>
              <w:jc w:val="both"/>
            </w:pPr>
            <w:r>
              <w:rPr>
                <w:sz w:val="20"/>
              </w:rPr>
              <w:t xml:space="preserve">Собственные средства:</w:t>
            </w:r>
          </w:p>
        </w:tc>
        <w:tc>
          <w:tcPr>
            <w:gridSpan w:val="3"/>
            <w:tcW w:w="5329" w:type="dxa"/>
            <w:tcBorders>
              <w:top w:val="single" w:sz="4"/>
              <w:left w:val="nil"/>
              <w:bottom w:val="single" w:sz="4"/>
              <w:right w:val="nil"/>
            </w:tcBorders>
          </w:tcPr>
          <w:p>
            <w:pPr>
              <w:pStyle w:val="0"/>
            </w:pPr>
            <w:r>
              <w:rPr>
                <w:sz w:val="20"/>
              </w:rPr>
            </w:r>
          </w:p>
        </w:tc>
        <w:tc>
          <w:tcPr>
            <w:tcW w:w="1128" w:type="dxa"/>
            <w:tcBorders>
              <w:top w:val="nil"/>
              <w:left w:val="nil"/>
              <w:bottom w:val="nil"/>
              <w:right w:val="nil"/>
            </w:tcBorders>
          </w:tcPr>
          <w:p>
            <w:pPr>
              <w:pStyle w:val="0"/>
              <w:jc w:val="both"/>
            </w:pPr>
            <w:r>
              <w:rPr>
                <w:sz w:val="20"/>
              </w:rPr>
              <w:t xml:space="preserve">рублей.</w:t>
            </w:r>
          </w:p>
        </w:tc>
      </w:tr>
      <w:tr>
        <w:tc>
          <w:tcPr>
            <w:gridSpan w:val="2"/>
            <w:tcW w:w="3515" w:type="dxa"/>
            <w:tcBorders>
              <w:top w:val="nil"/>
              <w:left w:val="nil"/>
              <w:bottom w:val="nil"/>
              <w:right w:val="nil"/>
            </w:tcBorders>
          </w:tcPr>
          <w:p>
            <w:pPr>
              <w:pStyle w:val="0"/>
              <w:jc w:val="both"/>
            </w:pPr>
            <w:r>
              <w:rPr>
                <w:sz w:val="20"/>
              </w:rPr>
              <w:t xml:space="preserve">Запрашиваемый размер гранта:</w:t>
            </w:r>
          </w:p>
        </w:tc>
        <w:tc>
          <w:tcPr>
            <w:gridSpan w:val="2"/>
            <w:tcW w:w="4422" w:type="dxa"/>
            <w:tcBorders>
              <w:top w:val="single" w:sz="4"/>
              <w:left w:val="nil"/>
              <w:bottom w:val="single" w:sz="4"/>
              <w:right w:val="nil"/>
            </w:tcBorders>
          </w:tcPr>
          <w:p>
            <w:pPr>
              <w:pStyle w:val="0"/>
            </w:pPr>
            <w:r>
              <w:rPr>
                <w:sz w:val="20"/>
              </w:rPr>
            </w:r>
          </w:p>
        </w:tc>
        <w:tc>
          <w:tcPr>
            <w:tcW w:w="1128" w:type="dxa"/>
            <w:tcBorders>
              <w:top w:val="nil"/>
              <w:left w:val="nil"/>
              <w:bottom w:val="nil"/>
              <w:right w:val="nil"/>
            </w:tcBorders>
          </w:tcPr>
          <w:p>
            <w:pPr>
              <w:pStyle w:val="0"/>
              <w:jc w:val="both"/>
            </w:pPr>
            <w:r>
              <w:rPr>
                <w:sz w:val="20"/>
              </w:rPr>
              <w:t xml:space="preserve">рублей.</w:t>
            </w:r>
          </w:p>
        </w:tc>
      </w:tr>
      <w:tr>
        <w:tc>
          <w:tcPr>
            <w:gridSpan w:val="3"/>
            <w:tcW w:w="4139" w:type="dxa"/>
            <w:tcBorders>
              <w:top w:val="nil"/>
              <w:left w:val="nil"/>
              <w:bottom w:val="nil"/>
              <w:right w:val="nil"/>
            </w:tcBorders>
          </w:tcPr>
          <w:p>
            <w:pPr>
              <w:pStyle w:val="0"/>
              <w:jc w:val="both"/>
            </w:pPr>
            <w:r>
              <w:rPr>
                <w:sz w:val="20"/>
              </w:rPr>
              <w:t xml:space="preserve">Другие предполагаемые поступления:</w:t>
            </w:r>
          </w:p>
        </w:tc>
        <w:tc>
          <w:tcPr>
            <w:tcW w:w="3798" w:type="dxa"/>
            <w:tcBorders>
              <w:top w:val="single" w:sz="4"/>
              <w:left w:val="nil"/>
              <w:bottom w:val="single" w:sz="4"/>
              <w:right w:val="nil"/>
            </w:tcBorders>
          </w:tcPr>
          <w:p>
            <w:pPr>
              <w:pStyle w:val="0"/>
            </w:pPr>
            <w:r>
              <w:rPr>
                <w:sz w:val="20"/>
              </w:rPr>
            </w:r>
          </w:p>
        </w:tc>
        <w:tc>
          <w:tcPr>
            <w:tcW w:w="1128" w:type="dxa"/>
            <w:tcBorders>
              <w:top w:val="nil"/>
              <w:left w:val="nil"/>
              <w:bottom w:val="nil"/>
              <w:right w:val="nil"/>
            </w:tcBorders>
          </w:tcPr>
          <w:p>
            <w:pPr>
              <w:pStyle w:val="0"/>
              <w:jc w:val="both"/>
            </w:pPr>
            <w:r>
              <w:rPr>
                <w:sz w:val="20"/>
              </w:rPr>
              <w:t xml:space="preserve">рублей.</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023"/>
        <w:gridCol w:w="1474"/>
        <w:gridCol w:w="1484"/>
        <w:gridCol w:w="1821"/>
        <w:gridCol w:w="1701"/>
      </w:tblGrid>
      <w:tr>
        <w:tc>
          <w:tcPr>
            <w:tcW w:w="567" w:type="dxa"/>
          </w:tcPr>
          <w:p>
            <w:pPr>
              <w:pStyle w:val="0"/>
              <w:jc w:val="center"/>
            </w:pPr>
            <w:r>
              <w:rPr>
                <w:sz w:val="20"/>
              </w:rPr>
              <w:t xml:space="preserve">N п/п</w:t>
            </w:r>
          </w:p>
        </w:tc>
        <w:tc>
          <w:tcPr>
            <w:tcW w:w="2023" w:type="dxa"/>
          </w:tcPr>
          <w:p>
            <w:pPr>
              <w:pStyle w:val="0"/>
              <w:jc w:val="center"/>
            </w:pPr>
            <w:r>
              <w:rPr>
                <w:sz w:val="20"/>
              </w:rPr>
              <w:t xml:space="preserve">Наименование расходов</w:t>
            </w:r>
          </w:p>
        </w:tc>
        <w:tc>
          <w:tcPr>
            <w:tcW w:w="1474" w:type="dxa"/>
          </w:tcPr>
          <w:p>
            <w:pPr>
              <w:pStyle w:val="0"/>
              <w:jc w:val="center"/>
            </w:pPr>
            <w:r>
              <w:rPr>
                <w:sz w:val="20"/>
              </w:rPr>
              <w:t xml:space="preserve">Единица измерения</w:t>
            </w:r>
          </w:p>
        </w:tc>
        <w:tc>
          <w:tcPr>
            <w:tcW w:w="1484" w:type="dxa"/>
          </w:tcPr>
          <w:p>
            <w:pPr>
              <w:pStyle w:val="0"/>
              <w:jc w:val="center"/>
            </w:pPr>
            <w:r>
              <w:rPr>
                <w:sz w:val="20"/>
              </w:rPr>
              <w:t xml:space="preserve">Количество</w:t>
            </w:r>
          </w:p>
        </w:tc>
        <w:tc>
          <w:tcPr>
            <w:tcW w:w="1821" w:type="dxa"/>
          </w:tcPr>
          <w:p>
            <w:pPr>
              <w:pStyle w:val="0"/>
              <w:jc w:val="center"/>
            </w:pPr>
            <w:r>
              <w:rPr>
                <w:sz w:val="20"/>
              </w:rPr>
              <w:t xml:space="preserve">Цена, рублей</w:t>
            </w:r>
          </w:p>
        </w:tc>
        <w:tc>
          <w:tcPr>
            <w:tcW w:w="1701" w:type="dxa"/>
          </w:tcPr>
          <w:p>
            <w:pPr>
              <w:pStyle w:val="0"/>
              <w:jc w:val="center"/>
            </w:pPr>
            <w:r>
              <w:rPr>
                <w:sz w:val="20"/>
              </w:rPr>
              <w:t xml:space="preserve">Общая сумма, рублей</w:t>
            </w:r>
          </w:p>
        </w:tc>
      </w:tr>
      <w:tr>
        <w:tc>
          <w:tcPr>
            <w:tcW w:w="567" w:type="dxa"/>
          </w:tcPr>
          <w:p>
            <w:pPr>
              <w:pStyle w:val="0"/>
            </w:pPr>
            <w:r>
              <w:rPr>
                <w:sz w:val="20"/>
              </w:rPr>
            </w:r>
          </w:p>
        </w:tc>
        <w:tc>
          <w:tcPr>
            <w:tcW w:w="2023" w:type="dxa"/>
          </w:tcPr>
          <w:p>
            <w:pPr>
              <w:pStyle w:val="0"/>
            </w:pPr>
            <w:r>
              <w:rPr>
                <w:sz w:val="20"/>
              </w:rPr>
            </w:r>
          </w:p>
        </w:tc>
        <w:tc>
          <w:tcPr>
            <w:tcW w:w="1474" w:type="dxa"/>
          </w:tcPr>
          <w:p>
            <w:pPr>
              <w:pStyle w:val="0"/>
            </w:pPr>
            <w:r>
              <w:rPr>
                <w:sz w:val="20"/>
              </w:rPr>
            </w:r>
          </w:p>
        </w:tc>
        <w:tc>
          <w:tcPr>
            <w:tcW w:w="1484" w:type="dxa"/>
          </w:tcPr>
          <w:p>
            <w:pPr>
              <w:pStyle w:val="0"/>
            </w:pPr>
            <w:r>
              <w:rPr>
                <w:sz w:val="20"/>
              </w:rPr>
            </w:r>
          </w:p>
        </w:tc>
        <w:tc>
          <w:tcPr>
            <w:tcW w:w="1821" w:type="dxa"/>
          </w:tcPr>
          <w:p>
            <w:pPr>
              <w:pStyle w:val="0"/>
            </w:pPr>
            <w:r>
              <w:rPr>
                <w:sz w:val="20"/>
              </w:rPr>
            </w:r>
          </w:p>
        </w:tc>
        <w:tc>
          <w:tcPr>
            <w:tcW w:w="1701" w:type="dxa"/>
          </w:tcPr>
          <w:p>
            <w:pPr>
              <w:pStyle w:val="0"/>
            </w:pPr>
            <w:r>
              <w:rPr>
                <w:sz w:val="20"/>
              </w:rPr>
            </w:r>
          </w:p>
        </w:tc>
      </w:tr>
      <w:tr>
        <w:tc>
          <w:tcPr>
            <w:tcW w:w="567" w:type="dxa"/>
          </w:tcPr>
          <w:p>
            <w:pPr>
              <w:pStyle w:val="0"/>
            </w:pPr>
            <w:r>
              <w:rPr>
                <w:sz w:val="20"/>
              </w:rPr>
            </w:r>
          </w:p>
        </w:tc>
        <w:tc>
          <w:tcPr>
            <w:tcW w:w="2023" w:type="dxa"/>
          </w:tcPr>
          <w:p>
            <w:pPr>
              <w:pStyle w:val="0"/>
            </w:pPr>
            <w:r>
              <w:rPr>
                <w:sz w:val="20"/>
              </w:rPr>
            </w:r>
          </w:p>
        </w:tc>
        <w:tc>
          <w:tcPr>
            <w:tcW w:w="1474" w:type="dxa"/>
          </w:tcPr>
          <w:p>
            <w:pPr>
              <w:pStyle w:val="0"/>
            </w:pPr>
            <w:r>
              <w:rPr>
                <w:sz w:val="20"/>
              </w:rPr>
            </w:r>
          </w:p>
        </w:tc>
        <w:tc>
          <w:tcPr>
            <w:tcW w:w="1484" w:type="dxa"/>
          </w:tcPr>
          <w:p>
            <w:pPr>
              <w:pStyle w:val="0"/>
            </w:pPr>
            <w:r>
              <w:rPr>
                <w:sz w:val="20"/>
              </w:rPr>
            </w:r>
          </w:p>
        </w:tc>
        <w:tc>
          <w:tcPr>
            <w:tcW w:w="1821" w:type="dxa"/>
          </w:tcPr>
          <w:p>
            <w:pPr>
              <w:pStyle w:val="0"/>
            </w:pPr>
            <w:r>
              <w:rPr>
                <w:sz w:val="20"/>
              </w:rPr>
            </w:r>
          </w:p>
        </w:tc>
        <w:tc>
          <w:tcPr>
            <w:tcW w:w="1701" w:type="dxa"/>
          </w:tcPr>
          <w:p>
            <w:pPr>
              <w:pStyle w:val="0"/>
            </w:pPr>
            <w:r>
              <w:rPr>
                <w:sz w:val="20"/>
              </w:rPr>
            </w:r>
          </w:p>
        </w:tc>
      </w:tr>
      <w:tr>
        <w:tc>
          <w:tcPr>
            <w:tcW w:w="567" w:type="dxa"/>
          </w:tcPr>
          <w:p>
            <w:pPr>
              <w:pStyle w:val="0"/>
            </w:pPr>
            <w:r>
              <w:rPr>
                <w:sz w:val="20"/>
              </w:rPr>
            </w:r>
          </w:p>
        </w:tc>
        <w:tc>
          <w:tcPr>
            <w:tcW w:w="2023" w:type="dxa"/>
          </w:tcPr>
          <w:p>
            <w:pPr>
              <w:pStyle w:val="0"/>
            </w:pPr>
            <w:r>
              <w:rPr>
                <w:sz w:val="20"/>
              </w:rPr>
            </w:r>
          </w:p>
        </w:tc>
        <w:tc>
          <w:tcPr>
            <w:tcW w:w="1474" w:type="dxa"/>
          </w:tcPr>
          <w:p>
            <w:pPr>
              <w:pStyle w:val="0"/>
            </w:pPr>
            <w:r>
              <w:rPr>
                <w:sz w:val="20"/>
              </w:rPr>
            </w:r>
          </w:p>
        </w:tc>
        <w:tc>
          <w:tcPr>
            <w:tcW w:w="1484" w:type="dxa"/>
          </w:tcPr>
          <w:p>
            <w:pPr>
              <w:pStyle w:val="0"/>
            </w:pPr>
            <w:r>
              <w:rPr>
                <w:sz w:val="20"/>
              </w:rPr>
            </w:r>
          </w:p>
        </w:tc>
        <w:tc>
          <w:tcPr>
            <w:tcW w:w="1821" w:type="dxa"/>
          </w:tcPr>
          <w:p>
            <w:pPr>
              <w:pStyle w:val="0"/>
            </w:pPr>
            <w:r>
              <w:rPr>
                <w:sz w:val="20"/>
              </w:rPr>
            </w:r>
          </w:p>
        </w:tc>
        <w:tc>
          <w:tcPr>
            <w:tcW w:w="1701" w:type="dxa"/>
          </w:tcPr>
          <w:p>
            <w:pPr>
              <w:pStyle w:val="0"/>
            </w:pPr>
            <w:r>
              <w:rPr>
                <w:sz w:val="20"/>
              </w:rPr>
            </w:r>
          </w:p>
        </w:tc>
      </w:tr>
      <w:tr>
        <w:tc>
          <w:tcPr>
            <w:tcW w:w="567" w:type="dxa"/>
          </w:tcPr>
          <w:p>
            <w:pPr>
              <w:pStyle w:val="0"/>
            </w:pPr>
            <w:r>
              <w:rPr>
                <w:sz w:val="20"/>
              </w:rPr>
            </w:r>
          </w:p>
        </w:tc>
        <w:tc>
          <w:tcPr>
            <w:tcW w:w="2023" w:type="dxa"/>
          </w:tcPr>
          <w:p>
            <w:pPr>
              <w:pStyle w:val="0"/>
            </w:pPr>
            <w:r>
              <w:rPr>
                <w:sz w:val="20"/>
              </w:rPr>
            </w:r>
          </w:p>
        </w:tc>
        <w:tc>
          <w:tcPr>
            <w:tcW w:w="1474" w:type="dxa"/>
          </w:tcPr>
          <w:p>
            <w:pPr>
              <w:pStyle w:val="0"/>
            </w:pPr>
            <w:r>
              <w:rPr>
                <w:sz w:val="20"/>
              </w:rPr>
            </w:r>
          </w:p>
        </w:tc>
        <w:tc>
          <w:tcPr>
            <w:tcW w:w="1484" w:type="dxa"/>
          </w:tcPr>
          <w:p>
            <w:pPr>
              <w:pStyle w:val="0"/>
            </w:pPr>
            <w:r>
              <w:rPr>
                <w:sz w:val="20"/>
              </w:rPr>
            </w:r>
          </w:p>
        </w:tc>
        <w:tc>
          <w:tcPr>
            <w:tcW w:w="1821" w:type="dxa"/>
          </w:tcPr>
          <w:p>
            <w:pPr>
              <w:pStyle w:val="0"/>
            </w:pPr>
            <w:r>
              <w:rPr>
                <w:sz w:val="20"/>
              </w:rPr>
            </w:r>
          </w:p>
        </w:tc>
        <w:tc>
          <w:tcPr>
            <w:tcW w:w="1701" w:type="dxa"/>
          </w:tcPr>
          <w:p>
            <w:pPr>
              <w:pStyle w:val="0"/>
            </w:pPr>
            <w:r>
              <w:rPr>
                <w:sz w:val="20"/>
              </w:rPr>
            </w:r>
          </w:p>
        </w:tc>
      </w:tr>
      <w:tr>
        <w:tc>
          <w:tcPr>
            <w:tcW w:w="567" w:type="dxa"/>
          </w:tcPr>
          <w:p>
            <w:pPr>
              <w:pStyle w:val="0"/>
            </w:pPr>
            <w:r>
              <w:rPr>
                <w:sz w:val="20"/>
              </w:rPr>
            </w:r>
          </w:p>
        </w:tc>
        <w:tc>
          <w:tcPr>
            <w:tcW w:w="2023" w:type="dxa"/>
          </w:tcPr>
          <w:p>
            <w:pPr>
              <w:pStyle w:val="0"/>
            </w:pPr>
            <w:r>
              <w:rPr>
                <w:sz w:val="20"/>
              </w:rPr>
            </w:r>
          </w:p>
        </w:tc>
        <w:tc>
          <w:tcPr>
            <w:tcW w:w="1474" w:type="dxa"/>
          </w:tcPr>
          <w:p>
            <w:pPr>
              <w:pStyle w:val="0"/>
            </w:pPr>
            <w:r>
              <w:rPr>
                <w:sz w:val="20"/>
              </w:rPr>
            </w:r>
          </w:p>
        </w:tc>
        <w:tc>
          <w:tcPr>
            <w:tcW w:w="1484" w:type="dxa"/>
          </w:tcPr>
          <w:p>
            <w:pPr>
              <w:pStyle w:val="0"/>
            </w:pPr>
            <w:r>
              <w:rPr>
                <w:sz w:val="20"/>
              </w:rPr>
            </w:r>
          </w:p>
        </w:tc>
        <w:tc>
          <w:tcPr>
            <w:tcW w:w="1821" w:type="dxa"/>
          </w:tcPr>
          <w:p>
            <w:pPr>
              <w:pStyle w:val="0"/>
            </w:pPr>
            <w:r>
              <w:rPr>
                <w:sz w:val="20"/>
              </w:rPr>
            </w:r>
          </w:p>
        </w:tc>
        <w:tc>
          <w:tcPr>
            <w:tcW w:w="170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76"/>
        <w:gridCol w:w="2126"/>
        <w:gridCol w:w="425"/>
        <w:gridCol w:w="3345"/>
      </w:tblGrid>
      <w:tr>
        <w:tc>
          <w:tcPr>
            <w:tcW w:w="3176" w:type="dxa"/>
            <w:tcBorders>
              <w:top w:val="nil"/>
              <w:left w:val="nil"/>
              <w:bottom w:val="nil"/>
              <w:right w:val="nil"/>
            </w:tcBorders>
          </w:tcPr>
          <w:p>
            <w:pPr>
              <w:pStyle w:val="0"/>
            </w:pPr>
            <w:r>
              <w:rPr>
                <w:sz w:val="20"/>
              </w:rPr>
              <w:t xml:space="preserve">Руководитель</w:t>
            </w:r>
          </w:p>
        </w:tc>
        <w:tc>
          <w:tcPr>
            <w:tcW w:w="2126" w:type="dxa"/>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3345" w:type="dxa"/>
            <w:tcBorders>
              <w:top w:val="nil"/>
              <w:left w:val="nil"/>
              <w:bottom w:val="single" w:sz="4"/>
              <w:right w:val="nil"/>
            </w:tcBorders>
          </w:tcPr>
          <w:p>
            <w:pPr>
              <w:pStyle w:val="0"/>
            </w:pPr>
            <w:r>
              <w:rPr>
                <w:sz w:val="20"/>
              </w:rPr>
            </w:r>
          </w:p>
        </w:tc>
      </w:tr>
      <w:tr>
        <w:tc>
          <w:tcPr>
            <w:tcW w:w="3176" w:type="dxa"/>
            <w:tcBorders>
              <w:top w:val="nil"/>
              <w:left w:val="nil"/>
              <w:bottom w:val="nil"/>
              <w:right w:val="nil"/>
            </w:tcBorders>
          </w:tcPr>
          <w:p>
            <w:pPr>
              <w:pStyle w:val="0"/>
            </w:pPr>
            <w:r>
              <w:rPr>
                <w:sz w:val="20"/>
              </w:rPr>
            </w:r>
          </w:p>
        </w:tc>
        <w:tc>
          <w:tcPr>
            <w:tcW w:w="2126" w:type="dxa"/>
            <w:tcBorders>
              <w:top w:val="single" w:sz="4"/>
              <w:left w:val="nil"/>
              <w:bottom w:val="nil"/>
              <w:right w:val="nil"/>
            </w:tcBorders>
          </w:tcPr>
          <w:p>
            <w:pPr>
              <w:pStyle w:val="0"/>
              <w:jc w:val="center"/>
            </w:pPr>
            <w:r>
              <w:rPr>
                <w:sz w:val="20"/>
              </w:rPr>
              <w:t xml:space="preserve">(подпись)</w:t>
            </w:r>
          </w:p>
        </w:tc>
        <w:tc>
          <w:tcPr>
            <w:tcW w:w="425" w:type="dxa"/>
            <w:tcBorders>
              <w:top w:val="nil"/>
              <w:left w:val="nil"/>
              <w:bottom w:val="nil"/>
              <w:right w:val="nil"/>
            </w:tcBorders>
          </w:tcPr>
          <w:p>
            <w:pPr>
              <w:pStyle w:val="0"/>
            </w:pPr>
            <w:r>
              <w:rPr>
                <w:sz w:val="20"/>
              </w:rPr>
            </w:r>
          </w:p>
        </w:tc>
        <w:tc>
          <w:tcPr>
            <w:tcW w:w="3345" w:type="dxa"/>
            <w:tcBorders>
              <w:top w:val="single" w:sz="4"/>
              <w:left w:val="nil"/>
              <w:bottom w:val="nil"/>
              <w:right w:val="nil"/>
            </w:tcBorders>
          </w:tcPr>
          <w:p>
            <w:pPr>
              <w:pStyle w:val="0"/>
              <w:jc w:val="center"/>
            </w:pPr>
            <w:r>
              <w:rPr>
                <w:sz w:val="20"/>
              </w:rPr>
              <w:t xml:space="preserve">(Ф.И.О.)</w:t>
            </w:r>
          </w:p>
        </w:tc>
      </w:tr>
      <w:tr>
        <w:tc>
          <w:tcPr>
            <w:gridSpan w:val="4"/>
            <w:tcW w:w="9072" w:type="dxa"/>
            <w:tcBorders>
              <w:top w:val="nil"/>
              <w:left w:val="nil"/>
              <w:bottom w:val="nil"/>
              <w:right w:val="nil"/>
            </w:tcBorders>
          </w:tcPr>
          <w:p>
            <w:pPr>
              <w:pStyle w:val="0"/>
            </w:pPr>
            <w:r>
              <w:rPr>
                <w:sz w:val="20"/>
              </w:rPr>
              <w:t xml:space="preserve">"___" ____________ 2025 г.</w:t>
            </w:r>
          </w:p>
        </w:tc>
      </w:tr>
      <w:tr>
        <w:tc>
          <w:tcPr>
            <w:gridSpan w:val="4"/>
            <w:tcW w:w="9072"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both"/>
      </w:pPr>
      <w:r>
        <w:rPr>
          <w:sz w:val="20"/>
        </w:rPr>
      </w:r>
    </w:p>
    <w:bookmarkStart w:id="1262" w:name="P1262"/>
    <w:bookmarkEnd w:id="1262"/>
    <w:p>
      <w:pPr>
        <w:pStyle w:val="2"/>
        <w:jc w:val="center"/>
      </w:pPr>
      <w:r>
        <w:rPr>
          <w:sz w:val="20"/>
        </w:rPr>
        <w:t xml:space="preserve">КРИТЕРИИ</w:t>
      </w:r>
    </w:p>
    <w:p>
      <w:pPr>
        <w:pStyle w:val="2"/>
        <w:jc w:val="center"/>
      </w:pPr>
      <w:r>
        <w:rPr>
          <w:sz w:val="20"/>
        </w:rPr>
        <w:t xml:space="preserve">(ПОКАЗАТЕЛИ) КОНКУРСНОГО ОТБОРА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5613"/>
        <w:gridCol w:w="2665"/>
      </w:tblGrid>
      <w:tr>
        <w:tc>
          <w:tcPr>
            <w:tcW w:w="794" w:type="dxa"/>
          </w:tcPr>
          <w:p>
            <w:pPr>
              <w:pStyle w:val="0"/>
              <w:jc w:val="center"/>
            </w:pPr>
            <w:r>
              <w:rPr>
                <w:sz w:val="20"/>
              </w:rPr>
              <w:t xml:space="preserve">N п/п</w:t>
            </w:r>
          </w:p>
        </w:tc>
        <w:tc>
          <w:tcPr>
            <w:tcW w:w="5613" w:type="dxa"/>
          </w:tcPr>
          <w:p>
            <w:pPr>
              <w:pStyle w:val="0"/>
              <w:jc w:val="center"/>
            </w:pPr>
            <w:r>
              <w:rPr>
                <w:sz w:val="20"/>
              </w:rPr>
              <w:t xml:space="preserve">Наименование критерия (показателя)</w:t>
            </w:r>
          </w:p>
        </w:tc>
        <w:tc>
          <w:tcPr>
            <w:tcW w:w="2665" w:type="dxa"/>
          </w:tcPr>
          <w:p>
            <w:pPr>
              <w:pStyle w:val="0"/>
              <w:jc w:val="center"/>
            </w:pPr>
            <w:r>
              <w:rPr>
                <w:sz w:val="20"/>
              </w:rPr>
              <w:t xml:space="preserve">Количество баллов</w:t>
            </w:r>
          </w:p>
        </w:tc>
      </w:tr>
      <w:tr>
        <w:tc>
          <w:tcPr>
            <w:tcW w:w="794" w:type="dxa"/>
          </w:tcPr>
          <w:p>
            <w:pPr>
              <w:pStyle w:val="0"/>
              <w:jc w:val="center"/>
            </w:pPr>
            <w:r>
              <w:rPr>
                <w:sz w:val="20"/>
              </w:rPr>
              <w:t xml:space="preserve">1.</w:t>
            </w:r>
          </w:p>
        </w:tc>
        <w:tc>
          <w:tcPr>
            <w:tcW w:w="5613" w:type="dxa"/>
          </w:tcPr>
          <w:p>
            <w:pPr>
              <w:pStyle w:val="0"/>
            </w:pPr>
            <w:r>
              <w:rPr>
                <w:sz w:val="20"/>
              </w:rPr>
              <w:t xml:space="preserve">Масштабность и комплексность проекта (программы)</w:t>
            </w:r>
          </w:p>
        </w:tc>
        <w:tc>
          <w:tcPr>
            <w:tcW w:w="2665" w:type="dxa"/>
          </w:tcPr>
          <w:p>
            <w:pPr>
              <w:pStyle w:val="0"/>
              <w:jc w:val="center"/>
            </w:pPr>
            <w:r>
              <w:rPr>
                <w:sz w:val="20"/>
              </w:rPr>
              <w:t xml:space="preserve">максимально 2 балла</w:t>
            </w:r>
          </w:p>
        </w:tc>
      </w:tr>
      <w:tr>
        <w:tc>
          <w:tcPr>
            <w:tcW w:w="794" w:type="dxa"/>
          </w:tcPr>
          <w:p>
            <w:pPr>
              <w:pStyle w:val="0"/>
              <w:jc w:val="center"/>
            </w:pPr>
            <w:r>
              <w:rPr>
                <w:sz w:val="20"/>
              </w:rPr>
              <w:t xml:space="preserve">1.1.</w:t>
            </w:r>
          </w:p>
        </w:tc>
        <w:tc>
          <w:tcPr>
            <w:tcW w:w="5613" w:type="dxa"/>
          </w:tcPr>
          <w:p>
            <w:pPr>
              <w:pStyle w:val="0"/>
            </w:pPr>
            <w:r>
              <w:rPr>
                <w:sz w:val="20"/>
              </w:rPr>
              <w:t xml:space="preserve">Цели проекта (программы) соответствуют направлениям молодежной политики</w:t>
            </w:r>
          </w:p>
        </w:tc>
        <w:tc>
          <w:tcPr>
            <w:tcW w:w="2665" w:type="dxa"/>
          </w:tcPr>
          <w:p>
            <w:pPr>
              <w:pStyle w:val="0"/>
              <w:jc w:val="center"/>
            </w:pPr>
            <w:r>
              <w:rPr>
                <w:sz w:val="20"/>
              </w:rPr>
              <w:t xml:space="preserve">1</w:t>
            </w:r>
          </w:p>
        </w:tc>
      </w:tr>
      <w:tr>
        <w:tc>
          <w:tcPr>
            <w:tcW w:w="794" w:type="dxa"/>
          </w:tcPr>
          <w:p>
            <w:pPr>
              <w:pStyle w:val="0"/>
              <w:jc w:val="center"/>
            </w:pPr>
            <w:r>
              <w:rPr>
                <w:sz w:val="20"/>
              </w:rPr>
              <w:t xml:space="preserve">1.2.</w:t>
            </w:r>
          </w:p>
        </w:tc>
        <w:tc>
          <w:tcPr>
            <w:tcW w:w="5613" w:type="dxa"/>
          </w:tcPr>
          <w:p>
            <w:pPr>
              <w:pStyle w:val="0"/>
            </w:pPr>
            <w:r>
              <w:rPr>
                <w:sz w:val="20"/>
              </w:rPr>
              <w:t xml:space="preserve">При реализации проекта (программы) предполагается межведомственный характер реализации (участие различных организаций, учреждений, общественных объединений)</w:t>
            </w:r>
          </w:p>
        </w:tc>
        <w:tc>
          <w:tcPr>
            <w:tcW w:w="2665" w:type="dxa"/>
          </w:tcPr>
          <w:p>
            <w:pPr>
              <w:pStyle w:val="0"/>
              <w:jc w:val="center"/>
            </w:pPr>
            <w:r>
              <w:rPr>
                <w:sz w:val="20"/>
              </w:rPr>
              <w:t xml:space="preserve">1</w:t>
            </w:r>
          </w:p>
        </w:tc>
      </w:tr>
      <w:tr>
        <w:tc>
          <w:tcPr>
            <w:tcW w:w="794" w:type="dxa"/>
          </w:tcPr>
          <w:p>
            <w:pPr>
              <w:pStyle w:val="0"/>
              <w:jc w:val="center"/>
            </w:pPr>
            <w:r>
              <w:rPr>
                <w:sz w:val="20"/>
              </w:rPr>
              <w:t xml:space="preserve">2.</w:t>
            </w:r>
          </w:p>
        </w:tc>
        <w:tc>
          <w:tcPr>
            <w:tcW w:w="5613" w:type="dxa"/>
          </w:tcPr>
          <w:p>
            <w:pPr>
              <w:pStyle w:val="0"/>
            </w:pPr>
            <w:r>
              <w:rPr>
                <w:sz w:val="20"/>
              </w:rPr>
              <w:t xml:space="preserve">Ресурсное обеспечение и социально-экономическая целесообразность проекта (программы)</w:t>
            </w:r>
          </w:p>
        </w:tc>
        <w:tc>
          <w:tcPr>
            <w:tcW w:w="2665" w:type="dxa"/>
          </w:tcPr>
          <w:p>
            <w:pPr>
              <w:pStyle w:val="0"/>
              <w:jc w:val="center"/>
            </w:pPr>
            <w:r>
              <w:rPr>
                <w:sz w:val="20"/>
              </w:rPr>
              <w:t xml:space="preserve">максимально 6 баллов</w:t>
            </w:r>
          </w:p>
        </w:tc>
      </w:tr>
      <w:tr>
        <w:tc>
          <w:tcPr>
            <w:tcW w:w="794" w:type="dxa"/>
            <w:vMerge w:val="restart"/>
          </w:tcPr>
          <w:p>
            <w:pPr>
              <w:pStyle w:val="0"/>
              <w:jc w:val="center"/>
            </w:pPr>
            <w:r>
              <w:rPr>
                <w:sz w:val="20"/>
              </w:rPr>
              <w:t xml:space="preserve">2.1.</w:t>
            </w:r>
          </w:p>
        </w:tc>
        <w:tc>
          <w:tcPr>
            <w:tcW w:w="5613" w:type="dxa"/>
          </w:tcPr>
          <w:p>
            <w:pPr>
              <w:pStyle w:val="0"/>
            </w:pPr>
            <w:r>
              <w:rPr>
                <w:sz w:val="20"/>
              </w:rPr>
              <w:t xml:space="preserve">Проработанность вопроса обеспечения проекта (программы) ресурсами:</w:t>
            </w:r>
          </w:p>
        </w:tc>
        <w:tc>
          <w:tcPr>
            <w:tcW w:w="2665" w:type="dxa"/>
          </w:tcPr>
          <w:p>
            <w:pPr>
              <w:pStyle w:val="0"/>
            </w:pPr>
            <w:r>
              <w:rPr>
                <w:sz w:val="20"/>
              </w:rPr>
            </w:r>
          </w:p>
        </w:tc>
      </w:tr>
      <w:tr>
        <w:tc>
          <w:tcPr>
            <w:vMerge w:val="continue"/>
          </w:tcPr>
          <w:p/>
        </w:tc>
        <w:tc>
          <w:tcPr>
            <w:tcW w:w="5613" w:type="dxa"/>
          </w:tcPr>
          <w:p>
            <w:pPr>
              <w:pStyle w:val="0"/>
            </w:pPr>
            <w:r>
              <w:rPr>
                <w:sz w:val="20"/>
              </w:rPr>
              <w:t xml:space="preserve">кадровыми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научно-методическими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материально-техническими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информационными</w:t>
            </w:r>
          </w:p>
        </w:tc>
        <w:tc>
          <w:tcPr>
            <w:tcW w:w="2665" w:type="dxa"/>
          </w:tcPr>
          <w:p>
            <w:pPr>
              <w:pStyle w:val="0"/>
              <w:jc w:val="center"/>
            </w:pPr>
            <w:r>
              <w:rPr>
                <w:sz w:val="20"/>
              </w:rPr>
              <w:t xml:space="preserve">1</w:t>
            </w:r>
          </w:p>
        </w:tc>
      </w:tr>
      <w:tr>
        <w:tc>
          <w:tcPr>
            <w:tcW w:w="794" w:type="dxa"/>
          </w:tcPr>
          <w:p>
            <w:pPr>
              <w:pStyle w:val="0"/>
              <w:jc w:val="center"/>
            </w:pPr>
            <w:r>
              <w:rPr>
                <w:sz w:val="20"/>
              </w:rPr>
              <w:t xml:space="preserve">2.2.</w:t>
            </w:r>
          </w:p>
        </w:tc>
        <w:tc>
          <w:tcPr>
            <w:tcW w:w="5613" w:type="dxa"/>
          </w:tcPr>
          <w:p>
            <w:pPr>
              <w:pStyle w:val="0"/>
            </w:pPr>
            <w:r>
              <w:rPr>
                <w:sz w:val="20"/>
              </w:rPr>
              <w:t xml:space="preserve">Обоснование социальной целесообразности реализации проекта (программы)</w:t>
            </w:r>
          </w:p>
        </w:tc>
        <w:tc>
          <w:tcPr>
            <w:tcW w:w="2665" w:type="dxa"/>
          </w:tcPr>
          <w:p>
            <w:pPr>
              <w:pStyle w:val="0"/>
              <w:jc w:val="center"/>
            </w:pPr>
            <w:r>
              <w:rPr>
                <w:sz w:val="20"/>
              </w:rPr>
              <w:t xml:space="preserve">1</w:t>
            </w:r>
          </w:p>
        </w:tc>
      </w:tr>
      <w:tr>
        <w:tc>
          <w:tcPr>
            <w:tcW w:w="794" w:type="dxa"/>
          </w:tcPr>
          <w:p>
            <w:pPr>
              <w:pStyle w:val="0"/>
              <w:jc w:val="center"/>
            </w:pPr>
            <w:r>
              <w:rPr>
                <w:sz w:val="20"/>
              </w:rPr>
              <w:t xml:space="preserve">2.3.</w:t>
            </w:r>
          </w:p>
        </w:tc>
        <w:tc>
          <w:tcPr>
            <w:tcW w:w="5613" w:type="dxa"/>
          </w:tcPr>
          <w:p>
            <w:pPr>
              <w:pStyle w:val="0"/>
            </w:pPr>
            <w:r>
              <w:rPr>
                <w:sz w:val="20"/>
              </w:rPr>
              <w:t xml:space="preserve">Наличие постоянно действующего сайта (группа в социальных сетях) у молодежного или детского общественного объединения, реализующего проект (программу)</w:t>
            </w:r>
          </w:p>
        </w:tc>
        <w:tc>
          <w:tcPr>
            <w:tcW w:w="2665" w:type="dxa"/>
          </w:tcPr>
          <w:p>
            <w:pPr>
              <w:pStyle w:val="0"/>
              <w:jc w:val="center"/>
            </w:pPr>
            <w:r>
              <w:rPr>
                <w:sz w:val="20"/>
              </w:rPr>
              <w:t xml:space="preserve">1</w:t>
            </w:r>
          </w:p>
        </w:tc>
      </w:tr>
      <w:tr>
        <w:tc>
          <w:tcPr>
            <w:tcW w:w="794" w:type="dxa"/>
          </w:tcPr>
          <w:p>
            <w:pPr>
              <w:pStyle w:val="0"/>
              <w:jc w:val="center"/>
            </w:pPr>
            <w:r>
              <w:rPr>
                <w:sz w:val="20"/>
              </w:rPr>
              <w:t xml:space="preserve">3.</w:t>
            </w:r>
          </w:p>
        </w:tc>
        <w:tc>
          <w:tcPr>
            <w:tcW w:w="5613" w:type="dxa"/>
          </w:tcPr>
          <w:p>
            <w:pPr>
              <w:pStyle w:val="0"/>
            </w:pPr>
            <w:r>
              <w:rPr>
                <w:sz w:val="20"/>
              </w:rPr>
              <w:t xml:space="preserve">Адресный характер проекта (программы)</w:t>
            </w:r>
          </w:p>
        </w:tc>
        <w:tc>
          <w:tcPr>
            <w:tcW w:w="2665" w:type="dxa"/>
          </w:tcPr>
          <w:p>
            <w:pPr>
              <w:pStyle w:val="0"/>
              <w:jc w:val="center"/>
            </w:pPr>
            <w:r>
              <w:rPr>
                <w:sz w:val="20"/>
              </w:rPr>
              <w:t xml:space="preserve">максимально 10 баллов</w:t>
            </w:r>
          </w:p>
        </w:tc>
      </w:tr>
      <w:tr>
        <w:tc>
          <w:tcPr>
            <w:tcW w:w="794" w:type="dxa"/>
          </w:tcPr>
          <w:p>
            <w:pPr>
              <w:pStyle w:val="0"/>
              <w:jc w:val="center"/>
            </w:pPr>
            <w:r>
              <w:rPr>
                <w:sz w:val="20"/>
              </w:rPr>
              <w:t xml:space="preserve">3.1.</w:t>
            </w:r>
          </w:p>
        </w:tc>
        <w:tc>
          <w:tcPr>
            <w:tcW w:w="5613" w:type="dxa"/>
          </w:tcPr>
          <w:p>
            <w:pPr>
              <w:pStyle w:val="0"/>
            </w:pPr>
            <w:r>
              <w:rPr>
                <w:sz w:val="20"/>
              </w:rPr>
              <w:t xml:space="preserve">Целевая аудитория проекта (программы)</w:t>
            </w:r>
          </w:p>
        </w:tc>
        <w:tc>
          <w:tcPr>
            <w:tcW w:w="2665" w:type="dxa"/>
          </w:tcPr>
          <w:p>
            <w:pPr>
              <w:pStyle w:val="0"/>
              <w:jc w:val="center"/>
            </w:pPr>
            <w:r>
              <w:rPr>
                <w:sz w:val="20"/>
              </w:rPr>
              <w:t xml:space="preserve">максимально 7 баллов</w:t>
            </w:r>
          </w:p>
        </w:tc>
      </w:tr>
      <w:tr>
        <w:tc>
          <w:tcPr>
            <w:tcW w:w="794" w:type="dxa"/>
            <w:vMerge w:val="restart"/>
          </w:tcPr>
          <w:p>
            <w:pPr>
              <w:pStyle w:val="0"/>
              <w:jc w:val="center"/>
            </w:pPr>
            <w:r>
              <w:rPr>
                <w:sz w:val="20"/>
              </w:rPr>
              <w:t xml:space="preserve">3.1.1.</w:t>
            </w:r>
          </w:p>
        </w:tc>
        <w:tc>
          <w:tcPr>
            <w:tcW w:w="5613" w:type="dxa"/>
          </w:tcPr>
          <w:p>
            <w:pPr>
              <w:pStyle w:val="0"/>
            </w:pPr>
            <w:r>
              <w:rPr>
                <w:sz w:val="20"/>
              </w:rPr>
              <w:t xml:space="preserve">Задачи проекта ориентированы:</w:t>
            </w:r>
          </w:p>
        </w:tc>
        <w:tc>
          <w:tcPr>
            <w:tcW w:w="2665" w:type="dxa"/>
          </w:tcPr>
          <w:p>
            <w:pPr>
              <w:pStyle w:val="0"/>
            </w:pPr>
            <w:r>
              <w:rPr>
                <w:sz w:val="20"/>
              </w:rPr>
            </w:r>
          </w:p>
        </w:tc>
      </w:tr>
      <w:tr>
        <w:tc>
          <w:tcPr>
            <w:vMerge w:val="continue"/>
          </w:tcPr>
          <w:p/>
        </w:tc>
        <w:tc>
          <w:tcPr>
            <w:tcW w:w="5613" w:type="dxa"/>
          </w:tcPr>
          <w:p>
            <w:pPr>
              <w:pStyle w:val="0"/>
            </w:pPr>
            <w:r>
              <w:rPr>
                <w:sz w:val="20"/>
              </w:rPr>
              <w:t xml:space="preserve">на одну социальную группу молодежи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на молодежь с разным социальным статусом</w:t>
            </w:r>
          </w:p>
        </w:tc>
        <w:tc>
          <w:tcPr>
            <w:tcW w:w="2665" w:type="dxa"/>
          </w:tcPr>
          <w:p>
            <w:pPr>
              <w:pStyle w:val="0"/>
              <w:jc w:val="center"/>
            </w:pPr>
            <w:r>
              <w:rPr>
                <w:sz w:val="20"/>
              </w:rPr>
              <w:t xml:space="preserve">2</w:t>
            </w:r>
          </w:p>
        </w:tc>
      </w:tr>
      <w:tr>
        <w:tc>
          <w:tcPr>
            <w:vMerge w:val="continue"/>
          </w:tcPr>
          <w:p/>
        </w:tc>
        <w:tc>
          <w:tcPr>
            <w:tcW w:w="5613" w:type="dxa"/>
          </w:tcPr>
          <w:p>
            <w:pPr>
              <w:pStyle w:val="0"/>
            </w:pPr>
            <w:r>
              <w:rPr>
                <w:sz w:val="20"/>
              </w:rPr>
              <w:t xml:space="preserve">на одну возрастную группу молодежи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на молодежь разных возрастных групп</w:t>
            </w:r>
          </w:p>
        </w:tc>
        <w:tc>
          <w:tcPr>
            <w:tcW w:w="2665" w:type="dxa"/>
          </w:tcPr>
          <w:p>
            <w:pPr>
              <w:pStyle w:val="0"/>
              <w:jc w:val="center"/>
            </w:pPr>
            <w:r>
              <w:rPr>
                <w:sz w:val="20"/>
              </w:rPr>
              <w:t xml:space="preserve">2</w:t>
            </w:r>
          </w:p>
        </w:tc>
      </w:tr>
      <w:tr>
        <w:tc>
          <w:tcPr>
            <w:tcW w:w="794" w:type="dxa"/>
          </w:tcPr>
          <w:p>
            <w:pPr>
              <w:pStyle w:val="0"/>
              <w:jc w:val="center"/>
            </w:pPr>
            <w:r>
              <w:rPr>
                <w:sz w:val="20"/>
              </w:rPr>
              <w:t xml:space="preserve">3.1.2.</w:t>
            </w:r>
          </w:p>
        </w:tc>
        <w:tc>
          <w:tcPr>
            <w:tcW w:w="5613" w:type="dxa"/>
          </w:tcPr>
          <w:p>
            <w:pPr>
              <w:pStyle w:val="0"/>
            </w:pPr>
            <w:r>
              <w:rPr>
                <w:sz w:val="20"/>
              </w:rPr>
              <w:t xml:space="preserve">В проект (программу) вовлечено население различных возрастных групп</w:t>
            </w:r>
          </w:p>
        </w:tc>
        <w:tc>
          <w:tcPr>
            <w:tcW w:w="2665" w:type="dxa"/>
          </w:tcPr>
          <w:p>
            <w:pPr>
              <w:pStyle w:val="0"/>
              <w:jc w:val="center"/>
            </w:pPr>
            <w:r>
              <w:rPr>
                <w:sz w:val="20"/>
              </w:rPr>
              <w:t xml:space="preserve">3</w:t>
            </w:r>
          </w:p>
        </w:tc>
      </w:tr>
      <w:tr>
        <w:tc>
          <w:tcPr>
            <w:tcW w:w="794" w:type="dxa"/>
            <w:vMerge w:val="restart"/>
          </w:tcPr>
          <w:p>
            <w:pPr>
              <w:pStyle w:val="0"/>
              <w:jc w:val="center"/>
            </w:pPr>
            <w:r>
              <w:rPr>
                <w:sz w:val="20"/>
              </w:rPr>
              <w:t xml:space="preserve">3.2.</w:t>
            </w:r>
          </w:p>
        </w:tc>
        <w:tc>
          <w:tcPr>
            <w:tcW w:w="5613" w:type="dxa"/>
          </w:tcPr>
          <w:p>
            <w:pPr>
              <w:pStyle w:val="0"/>
            </w:pPr>
            <w:r>
              <w:rPr>
                <w:sz w:val="20"/>
              </w:rPr>
              <w:t xml:space="preserve">География участников проекта (программы):</w:t>
            </w:r>
          </w:p>
        </w:tc>
        <w:tc>
          <w:tcPr>
            <w:tcW w:w="2665" w:type="dxa"/>
          </w:tcPr>
          <w:p>
            <w:pPr>
              <w:pStyle w:val="0"/>
              <w:jc w:val="center"/>
            </w:pPr>
            <w:r>
              <w:rPr>
                <w:sz w:val="20"/>
              </w:rPr>
              <w:t xml:space="preserve">максимально 3 балла</w:t>
            </w:r>
          </w:p>
        </w:tc>
      </w:tr>
      <w:tr>
        <w:tc>
          <w:tcPr>
            <w:vMerge w:val="continue"/>
          </w:tcPr>
          <w:p/>
        </w:tc>
        <w:tc>
          <w:tcPr>
            <w:tcW w:w="5613" w:type="dxa"/>
          </w:tcPr>
          <w:p>
            <w:pPr>
              <w:pStyle w:val="0"/>
            </w:pPr>
            <w:r>
              <w:rPr>
                <w:sz w:val="20"/>
              </w:rPr>
              <w:t xml:space="preserve">участвуют представители из одного муниципального образования Кировской области</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участвуют представители из муниципальных образования Кировской области в количестве от двух до пяти (включительно)</w:t>
            </w:r>
          </w:p>
        </w:tc>
        <w:tc>
          <w:tcPr>
            <w:tcW w:w="2665" w:type="dxa"/>
          </w:tcPr>
          <w:p>
            <w:pPr>
              <w:pStyle w:val="0"/>
              <w:jc w:val="center"/>
            </w:pPr>
            <w:r>
              <w:rPr>
                <w:sz w:val="20"/>
              </w:rPr>
              <w:t xml:space="preserve">2</w:t>
            </w:r>
          </w:p>
        </w:tc>
      </w:tr>
      <w:tr>
        <w:tc>
          <w:tcPr>
            <w:vMerge w:val="continue"/>
          </w:tcPr>
          <w:p/>
        </w:tc>
        <w:tc>
          <w:tcPr>
            <w:tcW w:w="5613" w:type="dxa"/>
          </w:tcPr>
          <w:p>
            <w:pPr>
              <w:pStyle w:val="0"/>
            </w:pPr>
            <w:r>
              <w:rPr>
                <w:sz w:val="20"/>
              </w:rPr>
              <w:t xml:space="preserve">участвуют представители из шести и более муниципальных образований Кировской области</w:t>
            </w:r>
          </w:p>
        </w:tc>
        <w:tc>
          <w:tcPr>
            <w:tcW w:w="2665" w:type="dxa"/>
          </w:tcPr>
          <w:p>
            <w:pPr>
              <w:pStyle w:val="0"/>
              <w:jc w:val="center"/>
            </w:pPr>
            <w:r>
              <w:rPr>
                <w:sz w:val="20"/>
              </w:rPr>
              <w:t xml:space="preserve">3</w:t>
            </w:r>
          </w:p>
        </w:tc>
      </w:tr>
      <w:tr>
        <w:tc>
          <w:tcPr>
            <w:tcW w:w="794" w:type="dxa"/>
          </w:tcPr>
          <w:p>
            <w:pPr>
              <w:pStyle w:val="0"/>
              <w:jc w:val="center"/>
            </w:pPr>
            <w:r>
              <w:rPr>
                <w:sz w:val="20"/>
              </w:rPr>
              <w:t xml:space="preserve">4.</w:t>
            </w:r>
          </w:p>
        </w:tc>
        <w:tc>
          <w:tcPr>
            <w:tcW w:w="5613" w:type="dxa"/>
          </w:tcPr>
          <w:p>
            <w:pPr>
              <w:pStyle w:val="0"/>
            </w:pPr>
            <w:r>
              <w:rPr>
                <w:sz w:val="20"/>
              </w:rPr>
              <w:t xml:space="preserve">Проработанность мероприятий проекта (программы)</w:t>
            </w:r>
          </w:p>
        </w:tc>
        <w:tc>
          <w:tcPr>
            <w:tcW w:w="2665" w:type="dxa"/>
          </w:tcPr>
          <w:p>
            <w:pPr>
              <w:pStyle w:val="0"/>
              <w:jc w:val="center"/>
            </w:pPr>
            <w:r>
              <w:rPr>
                <w:sz w:val="20"/>
              </w:rPr>
              <w:t xml:space="preserve">максимально 2 балла</w:t>
            </w:r>
          </w:p>
        </w:tc>
      </w:tr>
      <w:tr>
        <w:tc>
          <w:tcPr>
            <w:tcW w:w="794" w:type="dxa"/>
          </w:tcPr>
          <w:p>
            <w:pPr>
              <w:pStyle w:val="0"/>
              <w:jc w:val="center"/>
            </w:pPr>
            <w:r>
              <w:rPr>
                <w:sz w:val="20"/>
              </w:rPr>
              <w:t xml:space="preserve">4.1.</w:t>
            </w:r>
          </w:p>
        </w:tc>
        <w:tc>
          <w:tcPr>
            <w:tcW w:w="5613" w:type="dxa"/>
          </w:tcPr>
          <w:p>
            <w:pPr>
              <w:pStyle w:val="0"/>
            </w:pPr>
            <w:r>
              <w:rPr>
                <w:sz w:val="20"/>
              </w:rPr>
              <w:t xml:space="preserve">Мероприятия проекта (программы) соответствуют целям и задачам проекта (программы)</w:t>
            </w:r>
          </w:p>
        </w:tc>
        <w:tc>
          <w:tcPr>
            <w:tcW w:w="2665" w:type="dxa"/>
          </w:tcPr>
          <w:p>
            <w:pPr>
              <w:pStyle w:val="0"/>
              <w:jc w:val="center"/>
            </w:pPr>
            <w:r>
              <w:rPr>
                <w:sz w:val="20"/>
              </w:rPr>
              <w:t xml:space="preserve">1</w:t>
            </w:r>
          </w:p>
        </w:tc>
      </w:tr>
      <w:tr>
        <w:tc>
          <w:tcPr>
            <w:tcW w:w="794" w:type="dxa"/>
          </w:tcPr>
          <w:p>
            <w:pPr>
              <w:pStyle w:val="0"/>
              <w:jc w:val="center"/>
            </w:pPr>
            <w:r>
              <w:rPr>
                <w:sz w:val="20"/>
              </w:rPr>
              <w:t xml:space="preserve">4.2.</w:t>
            </w:r>
          </w:p>
        </w:tc>
        <w:tc>
          <w:tcPr>
            <w:tcW w:w="5613" w:type="dxa"/>
          </w:tcPr>
          <w:p>
            <w:pPr>
              <w:pStyle w:val="0"/>
            </w:pPr>
            <w:r>
              <w:rPr>
                <w:sz w:val="20"/>
              </w:rPr>
              <w:t xml:space="preserve">Мероприятия проекта (программы) взаимосвязаны и дополняют друг друга</w:t>
            </w:r>
          </w:p>
        </w:tc>
        <w:tc>
          <w:tcPr>
            <w:tcW w:w="2665" w:type="dxa"/>
          </w:tcPr>
          <w:p>
            <w:pPr>
              <w:pStyle w:val="0"/>
              <w:jc w:val="center"/>
            </w:pPr>
            <w:r>
              <w:rPr>
                <w:sz w:val="20"/>
              </w:rPr>
              <w:t xml:space="preserve">1</w:t>
            </w:r>
          </w:p>
        </w:tc>
      </w:tr>
      <w:tr>
        <w:tc>
          <w:tcPr>
            <w:tcW w:w="794" w:type="dxa"/>
          </w:tcPr>
          <w:p>
            <w:pPr>
              <w:pStyle w:val="0"/>
              <w:jc w:val="center"/>
            </w:pPr>
            <w:r>
              <w:rPr>
                <w:sz w:val="20"/>
              </w:rPr>
              <w:t xml:space="preserve">5.</w:t>
            </w:r>
          </w:p>
        </w:tc>
        <w:tc>
          <w:tcPr>
            <w:tcW w:w="5613" w:type="dxa"/>
          </w:tcPr>
          <w:p>
            <w:pPr>
              <w:pStyle w:val="0"/>
            </w:pPr>
            <w:r>
              <w:rPr>
                <w:sz w:val="20"/>
              </w:rPr>
              <w:t xml:space="preserve">Конкретный значимый результат проекта</w:t>
            </w:r>
          </w:p>
        </w:tc>
        <w:tc>
          <w:tcPr>
            <w:tcW w:w="2665" w:type="dxa"/>
          </w:tcPr>
          <w:p>
            <w:pPr>
              <w:pStyle w:val="0"/>
              <w:jc w:val="center"/>
            </w:pPr>
            <w:r>
              <w:rPr>
                <w:sz w:val="20"/>
              </w:rPr>
              <w:t xml:space="preserve">максимально 15 баллов</w:t>
            </w:r>
          </w:p>
        </w:tc>
      </w:tr>
      <w:tr>
        <w:tc>
          <w:tcPr>
            <w:tcW w:w="794" w:type="dxa"/>
            <w:vMerge w:val="restart"/>
          </w:tcPr>
          <w:p>
            <w:pPr>
              <w:pStyle w:val="0"/>
              <w:jc w:val="center"/>
            </w:pPr>
            <w:r>
              <w:rPr>
                <w:sz w:val="20"/>
              </w:rPr>
              <w:t xml:space="preserve">5.1.</w:t>
            </w:r>
          </w:p>
        </w:tc>
        <w:tc>
          <w:tcPr>
            <w:tcW w:w="5613" w:type="dxa"/>
          </w:tcPr>
          <w:p>
            <w:pPr>
              <w:pStyle w:val="0"/>
            </w:pPr>
            <w:r>
              <w:rPr>
                <w:sz w:val="20"/>
              </w:rPr>
              <w:t xml:space="preserve">Количество получателей услуг в рамках реализации проекта (программы):</w:t>
            </w:r>
          </w:p>
        </w:tc>
        <w:tc>
          <w:tcPr>
            <w:tcW w:w="2665" w:type="dxa"/>
          </w:tcPr>
          <w:p>
            <w:pPr>
              <w:pStyle w:val="0"/>
              <w:jc w:val="center"/>
            </w:pPr>
            <w:r>
              <w:rPr>
                <w:sz w:val="20"/>
              </w:rPr>
              <w:t xml:space="preserve">максимально 3 балла</w:t>
            </w:r>
          </w:p>
        </w:tc>
      </w:tr>
      <w:tr>
        <w:tc>
          <w:tcPr>
            <w:vMerge w:val="continue"/>
          </w:tcPr>
          <w:p/>
        </w:tc>
        <w:tc>
          <w:tcPr>
            <w:tcW w:w="5613" w:type="dxa"/>
          </w:tcPr>
          <w:p>
            <w:pPr>
              <w:pStyle w:val="0"/>
            </w:pPr>
            <w:r>
              <w:rPr>
                <w:sz w:val="20"/>
              </w:rPr>
              <w:t xml:space="preserve">менее 100 человек</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от 100 до 500 человек включительно</w:t>
            </w:r>
          </w:p>
        </w:tc>
        <w:tc>
          <w:tcPr>
            <w:tcW w:w="2665" w:type="dxa"/>
          </w:tcPr>
          <w:p>
            <w:pPr>
              <w:pStyle w:val="0"/>
              <w:jc w:val="center"/>
            </w:pPr>
            <w:r>
              <w:rPr>
                <w:sz w:val="20"/>
              </w:rPr>
              <w:t xml:space="preserve">2</w:t>
            </w:r>
          </w:p>
        </w:tc>
      </w:tr>
      <w:tr>
        <w:tc>
          <w:tcPr>
            <w:vMerge w:val="continue"/>
          </w:tcPr>
          <w:p/>
        </w:tc>
        <w:tc>
          <w:tcPr>
            <w:tcW w:w="5613" w:type="dxa"/>
          </w:tcPr>
          <w:p>
            <w:pPr>
              <w:pStyle w:val="0"/>
            </w:pPr>
            <w:r>
              <w:rPr>
                <w:sz w:val="20"/>
              </w:rPr>
              <w:t xml:space="preserve">более 500 человек</w:t>
            </w:r>
          </w:p>
        </w:tc>
        <w:tc>
          <w:tcPr>
            <w:tcW w:w="2665" w:type="dxa"/>
          </w:tcPr>
          <w:p>
            <w:pPr>
              <w:pStyle w:val="0"/>
              <w:jc w:val="center"/>
            </w:pPr>
            <w:r>
              <w:rPr>
                <w:sz w:val="20"/>
              </w:rPr>
              <w:t xml:space="preserve">3</w:t>
            </w:r>
          </w:p>
        </w:tc>
      </w:tr>
      <w:tr>
        <w:tc>
          <w:tcPr>
            <w:tcW w:w="794" w:type="dxa"/>
            <w:vMerge w:val="restart"/>
          </w:tcPr>
          <w:p>
            <w:pPr>
              <w:pStyle w:val="0"/>
              <w:jc w:val="center"/>
            </w:pPr>
            <w:r>
              <w:rPr>
                <w:sz w:val="20"/>
              </w:rPr>
              <w:t xml:space="preserve">5.2.</w:t>
            </w:r>
          </w:p>
        </w:tc>
        <w:tc>
          <w:tcPr>
            <w:tcW w:w="5613" w:type="dxa"/>
          </w:tcPr>
          <w:p>
            <w:pPr>
              <w:pStyle w:val="0"/>
            </w:pPr>
            <w:r>
              <w:rPr>
                <w:sz w:val="20"/>
              </w:rPr>
              <w:t xml:space="preserve">Наличие публикаций о деятельности молодежного или детского общественного объединения в средствах массовой информации:</w:t>
            </w:r>
          </w:p>
        </w:tc>
        <w:tc>
          <w:tcPr>
            <w:tcW w:w="2665" w:type="dxa"/>
          </w:tcPr>
          <w:p>
            <w:pPr>
              <w:pStyle w:val="0"/>
              <w:jc w:val="center"/>
            </w:pPr>
            <w:r>
              <w:rPr>
                <w:sz w:val="20"/>
              </w:rPr>
              <w:t xml:space="preserve">максимально 6 баллов</w:t>
            </w:r>
          </w:p>
        </w:tc>
      </w:tr>
      <w:tr>
        <w:tc>
          <w:tcPr>
            <w:vMerge w:val="continue"/>
          </w:tcPr>
          <w:p/>
        </w:tc>
        <w:tc>
          <w:tcPr>
            <w:tcW w:w="5613" w:type="dxa"/>
          </w:tcPr>
          <w:p>
            <w:pPr>
              <w:pStyle w:val="0"/>
            </w:pPr>
            <w:r>
              <w:rPr>
                <w:sz w:val="20"/>
              </w:rPr>
              <w:t xml:space="preserve">местных</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региональных</w:t>
            </w:r>
          </w:p>
        </w:tc>
        <w:tc>
          <w:tcPr>
            <w:tcW w:w="2665" w:type="dxa"/>
          </w:tcPr>
          <w:p>
            <w:pPr>
              <w:pStyle w:val="0"/>
              <w:jc w:val="center"/>
            </w:pPr>
            <w:r>
              <w:rPr>
                <w:sz w:val="20"/>
              </w:rPr>
              <w:t xml:space="preserve">2</w:t>
            </w:r>
          </w:p>
        </w:tc>
      </w:tr>
      <w:tr>
        <w:tc>
          <w:tcPr>
            <w:vMerge w:val="continue"/>
          </w:tcPr>
          <w:p/>
        </w:tc>
        <w:tc>
          <w:tcPr>
            <w:tcW w:w="5613" w:type="dxa"/>
          </w:tcPr>
          <w:p>
            <w:pPr>
              <w:pStyle w:val="0"/>
            </w:pPr>
            <w:r>
              <w:rPr>
                <w:sz w:val="20"/>
              </w:rPr>
              <w:t xml:space="preserve">федеральных</w:t>
            </w:r>
          </w:p>
        </w:tc>
        <w:tc>
          <w:tcPr>
            <w:tcW w:w="2665" w:type="dxa"/>
          </w:tcPr>
          <w:p>
            <w:pPr>
              <w:pStyle w:val="0"/>
              <w:jc w:val="center"/>
            </w:pPr>
            <w:r>
              <w:rPr>
                <w:sz w:val="20"/>
              </w:rPr>
              <w:t xml:space="preserve">3</w:t>
            </w:r>
          </w:p>
        </w:tc>
      </w:tr>
      <w:tr>
        <w:tc>
          <w:tcPr>
            <w:tcW w:w="794" w:type="dxa"/>
            <w:vMerge w:val="restart"/>
          </w:tcPr>
          <w:p>
            <w:pPr>
              <w:pStyle w:val="0"/>
              <w:jc w:val="center"/>
            </w:pPr>
            <w:r>
              <w:rPr>
                <w:sz w:val="20"/>
              </w:rPr>
              <w:t xml:space="preserve">5.3.</w:t>
            </w:r>
          </w:p>
        </w:tc>
        <w:tc>
          <w:tcPr>
            <w:tcW w:w="5613" w:type="dxa"/>
          </w:tcPr>
          <w:p>
            <w:pPr>
              <w:pStyle w:val="0"/>
            </w:pPr>
            <w:r>
              <w:rPr>
                <w:sz w:val="20"/>
              </w:rPr>
              <w:t xml:space="preserve">Перспективность проекта (программы):</w:t>
            </w:r>
          </w:p>
        </w:tc>
        <w:tc>
          <w:tcPr>
            <w:tcW w:w="2665" w:type="dxa"/>
          </w:tcPr>
          <w:p>
            <w:pPr>
              <w:pStyle w:val="0"/>
              <w:jc w:val="center"/>
            </w:pPr>
            <w:r>
              <w:rPr>
                <w:sz w:val="20"/>
              </w:rPr>
              <w:t xml:space="preserve">максимально 3 балла</w:t>
            </w:r>
          </w:p>
        </w:tc>
      </w:tr>
      <w:tr>
        <w:tc>
          <w:tcPr>
            <w:vMerge w:val="continue"/>
          </w:tcPr>
          <w:p/>
        </w:tc>
        <w:tc>
          <w:tcPr>
            <w:tcW w:w="5613" w:type="dxa"/>
          </w:tcPr>
          <w:p>
            <w:pPr>
              <w:pStyle w:val="0"/>
            </w:pPr>
            <w:r>
              <w:rPr>
                <w:sz w:val="20"/>
              </w:rPr>
              <w:t xml:space="preserve">по итогам реализации проекта (программы) предусмотрено его дальнейшее развитие</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возможна тиражируемость проекта (программы) другими пользователями</w:t>
            </w:r>
          </w:p>
        </w:tc>
        <w:tc>
          <w:tcPr>
            <w:tcW w:w="2665" w:type="dxa"/>
          </w:tcPr>
          <w:p>
            <w:pPr>
              <w:pStyle w:val="0"/>
              <w:jc w:val="center"/>
            </w:pPr>
            <w:r>
              <w:rPr>
                <w:sz w:val="20"/>
              </w:rPr>
              <w:t xml:space="preserve">2</w:t>
            </w:r>
          </w:p>
        </w:tc>
      </w:tr>
      <w:tr>
        <w:tc>
          <w:tcPr>
            <w:tcW w:w="794" w:type="dxa"/>
            <w:vMerge w:val="restart"/>
          </w:tcPr>
          <w:p>
            <w:pPr>
              <w:pStyle w:val="0"/>
              <w:jc w:val="center"/>
            </w:pPr>
            <w:r>
              <w:rPr>
                <w:sz w:val="20"/>
              </w:rPr>
              <w:t xml:space="preserve">5.4.</w:t>
            </w:r>
          </w:p>
        </w:tc>
        <w:tc>
          <w:tcPr>
            <w:tcW w:w="5613" w:type="dxa"/>
          </w:tcPr>
          <w:p>
            <w:pPr>
              <w:pStyle w:val="0"/>
            </w:pPr>
            <w:r>
              <w:rPr>
                <w:sz w:val="20"/>
              </w:rPr>
              <w:t xml:space="preserve">Финансовое обеспечение проекта (программы):</w:t>
            </w:r>
          </w:p>
        </w:tc>
        <w:tc>
          <w:tcPr>
            <w:tcW w:w="2665" w:type="dxa"/>
          </w:tcPr>
          <w:p>
            <w:pPr>
              <w:pStyle w:val="0"/>
              <w:jc w:val="center"/>
            </w:pPr>
            <w:r>
              <w:rPr>
                <w:sz w:val="20"/>
              </w:rPr>
              <w:t xml:space="preserve">максимально 3 балла</w:t>
            </w:r>
          </w:p>
        </w:tc>
      </w:tr>
      <w:tr>
        <w:tc>
          <w:tcPr>
            <w:vMerge w:val="continue"/>
          </w:tcPr>
          <w:p/>
        </w:tc>
        <w:tc>
          <w:tcPr>
            <w:tcW w:w="5613" w:type="dxa"/>
          </w:tcPr>
          <w:p>
            <w:pPr>
              <w:pStyle w:val="0"/>
            </w:pPr>
            <w:r>
              <w:rPr>
                <w:sz w:val="20"/>
              </w:rPr>
              <w:t xml:space="preserve">использование только средств гранта для реализации проекта (программы)</w:t>
            </w:r>
          </w:p>
        </w:tc>
        <w:tc>
          <w:tcPr>
            <w:tcW w:w="2665" w:type="dxa"/>
          </w:tcPr>
          <w:p>
            <w:pPr>
              <w:pStyle w:val="0"/>
              <w:jc w:val="center"/>
            </w:pPr>
            <w:r>
              <w:rPr>
                <w:sz w:val="20"/>
              </w:rPr>
              <w:t xml:space="preserve">1</w:t>
            </w:r>
          </w:p>
        </w:tc>
      </w:tr>
      <w:tr>
        <w:tc>
          <w:tcPr>
            <w:vMerge w:val="continue"/>
          </w:tcPr>
          <w:p/>
        </w:tc>
        <w:tc>
          <w:tcPr>
            <w:tcW w:w="5613" w:type="dxa"/>
          </w:tcPr>
          <w:p>
            <w:pPr>
              <w:pStyle w:val="0"/>
            </w:pPr>
            <w:r>
              <w:rPr>
                <w:sz w:val="20"/>
              </w:rPr>
              <w:t xml:space="preserve">использование средств гранта с привлечением собственных средств молодежной или детской общественной организации для реализации проекта (программы)</w:t>
            </w:r>
          </w:p>
        </w:tc>
        <w:tc>
          <w:tcPr>
            <w:tcW w:w="2665" w:type="dxa"/>
          </w:tcPr>
          <w:p>
            <w:pPr>
              <w:pStyle w:val="0"/>
              <w:jc w:val="center"/>
            </w:pPr>
            <w:r>
              <w:rPr>
                <w:sz w:val="20"/>
              </w:rPr>
              <w:t xml:space="preserve">2</w:t>
            </w:r>
          </w:p>
        </w:tc>
      </w:tr>
      <w:tr>
        <w:tc>
          <w:tcPr>
            <w:vMerge w:val="continue"/>
          </w:tcPr>
          <w:p/>
        </w:tc>
        <w:tc>
          <w:tcPr>
            <w:tcW w:w="5613" w:type="dxa"/>
          </w:tcPr>
          <w:p>
            <w:pPr>
              <w:pStyle w:val="0"/>
            </w:pPr>
            <w:r>
              <w:rPr>
                <w:sz w:val="20"/>
              </w:rPr>
              <w:t xml:space="preserve">использование средств гранта с привлечением собственных средств молодежной или детской общественной организации и средств спонсоров и партнеров для реализации проекта (программы)</w:t>
            </w:r>
          </w:p>
        </w:tc>
        <w:tc>
          <w:tcPr>
            <w:tcW w:w="2665" w:type="dxa"/>
          </w:tcPr>
          <w:p>
            <w:pPr>
              <w:pStyle w:val="0"/>
              <w:jc w:val="center"/>
            </w:pPr>
            <w:r>
              <w:rPr>
                <w:sz w:val="20"/>
              </w:rPr>
              <w:t xml:space="preserve">3</w:t>
            </w:r>
          </w:p>
        </w:tc>
      </w:tr>
      <w:tr>
        <w:tc>
          <w:tcPr>
            <w:tcW w:w="794" w:type="dxa"/>
          </w:tcPr>
          <w:p>
            <w:pPr>
              <w:pStyle w:val="0"/>
            </w:pPr>
            <w:r>
              <w:rPr>
                <w:sz w:val="20"/>
              </w:rPr>
            </w:r>
          </w:p>
        </w:tc>
        <w:tc>
          <w:tcPr>
            <w:tcW w:w="5613" w:type="dxa"/>
          </w:tcPr>
          <w:p>
            <w:pPr>
              <w:pStyle w:val="0"/>
            </w:pPr>
            <w:r>
              <w:rPr>
                <w:sz w:val="20"/>
              </w:rPr>
              <w:t xml:space="preserve">Максимальное количество баллов:</w:t>
            </w:r>
          </w:p>
        </w:tc>
        <w:tc>
          <w:tcPr>
            <w:tcW w:w="2665" w:type="dxa"/>
          </w:tcPr>
          <w:p>
            <w:pPr>
              <w:pStyle w:val="0"/>
              <w:jc w:val="center"/>
            </w:pPr>
            <w:r>
              <w:rPr>
                <w:sz w:val="20"/>
              </w:rPr>
              <w:t xml:space="preserve">35</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Кировской области от 24.07.2025 N 401-П</w:t>
            <w:br/>
            <w:t>"О мерах финансовой поддержки межрегиональных, регио...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268" TargetMode = "External"/><Relationship Id="rId9" Type="http://schemas.openxmlformats.org/officeDocument/2006/relationships/hyperlink" Target="https://login.consultant.ru/link/?req=doc&amp;base=RLAW240&amp;n=246339&amp;dst=26" TargetMode = "External"/><Relationship Id="rId10" Type="http://schemas.openxmlformats.org/officeDocument/2006/relationships/hyperlink" Target="https://login.consultant.ru/link/?req=doc&amp;base=RLAW240&amp;n=255784&amp;dst=3" TargetMode = "External"/><Relationship Id="rId11" Type="http://schemas.openxmlformats.org/officeDocument/2006/relationships/hyperlink" Target="https://login.consultant.ru/link/?req=doc&amp;base=LAW&amp;n=503698" TargetMode = "External"/><Relationship Id="rId12" Type="http://schemas.openxmlformats.org/officeDocument/2006/relationships/hyperlink" Target="https://login.consultant.ru/link/?req=doc&amp;base=LAW&amp;n=121087&amp;dst=100142" TargetMode = "External"/><Relationship Id="rId13" Type="http://schemas.openxmlformats.org/officeDocument/2006/relationships/hyperlink" Target="https://login.consultant.ru/link/?req=doc&amp;base=LAW&amp;n=520119&amp;dst=5769" TargetMode = "External"/><Relationship Id="rId14" Type="http://schemas.openxmlformats.org/officeDocument/2006/relationships/hyperlink" Target="https://login.consultant.ru/link/?req=doc&amp;base=LAW&amp;n=520154&amp;dst=3704" TargetMode = "External"/><Relationship Id="rId15" Type="http://schemas.openxmlformats.org/officeDocument/2006/relationships/hyperlink" Target="https://login.consultant.ru/link/?req=doc&amp;base=LAW&amp;n=520154&amp;dst=3722" TargetMode = "External"/><Relationship Id="rId16" Type="http://schemas.openxmlformats.org/officeDocument/2006/relationships/hyperlink" Target="https://login.consultant.ru/link/?req=doc&amp;base=LAW&amp;n=516018" TargetMode = "External"/><Relationship Id="rId17" Type="http://schemas.openxmlformats.org/officeDocument/2006/relationships/image" Target="media/image2.wmf"/><Relationship Id="rId18" Type="http://schemas.openxmlformats.org/officeDocument/2006/relationships/hyperlink" Target="https://login.consultant.ru/link/?req=doc&amp;base=LAW&amp;n=516018" TargetMode = "External"/><Relationship Id="rId19" Type="http://schemas.openxmlformats.org/officeDocument/2006/relationships/hyperlink" Target="https://login.consultant.ru/link/?req=doc&amp;base=LAW&amp;n=520154&amp;dst=3704" TargetMode = "External"/><Relationship Id="rId20" Type="http://schemas.openxmlformats.org/officeDocument/2006/relationships/hyperlink" Target="https://login.consultant.ru/link/?req=doc&amp;base=LAW&amp;n=520154&amp;dst=3722" TargetMode = "External"/><Relationship Id="rId21" Type="http://schemas.openxmlformats.org/officeDocument/2006/relationships/image" Target="media/image3.wmf"/><Relationship Id="rId22" Type="http://schemas.openxmlformats.org/officeDocument/2006/relationships/hyperlink" Target="https://login.consultant.ru/link/?req=doc&amp;base=RLAW240&amp;n=255784&amp;dst=3" TargetMode = "External"/><Relationship Id="rId23" Type="http://schemas.openxmlformats.org/officeDocument/2006/relationships/hyperlink" Target="https://login.consultant.ru/link/?req=doc&amp;base=LAW&amp;n=510608&amp;dst=100155" TargetMode = "External"/><Relationship Id="rId24" Type="http://schemas.openxmlformats.org/officeDocument/2006/relationships/hyperlink" Target="https://login.consultant.ru/link/?req=doc&amp;base=LAW&amp;n=121087&amp;dst=100142" TargetMode = "External"/><Relationship Id="rId25" Type="http://schemas.openxmlformats.org/officeDocument/2006/relationships/hyperlink" Target="https://login.consultant.ru/link/?req=doc&amp;base=LAW&amp;n=503698" TargetMode = "External"/><Relationship Id="rId26" Type="http://schemas.openxmlformats.org/officeDocument/2006/relationships/hyperlink" Target="https://login.consultant.ru/link/?req=doc&amp;base=LAW&amp;n=520119&amp;dst=5769" TargetMode = "External"/><Relationship Id="rId27" Type="http://schemas.openxmlformats.org/officeDocument/2006/relationships/hyperlink" Target="https://login.consultant.ru/link/?req=doc&amp;base=LAW&amp;n=495137&amp;dst=123" TargetMode = "External"/><Relationship Id="rId28" Type="http://schemas.openxmlformats.org/officeDocument/2006/relationships/image" Target="media/image4.wmf"/><Relationship Id="rId29" Type="http://schemas.openxmlformats.org/officeDocument/2006/relationships/hyperlink" Target="https://login.consultant.ru/link/?req=doc&amp;base=LAW&amp;n=520154&amp;dst=3704" TargetMode = "External"/><Relationship Id="rId30" Type="http://schemas.openxmlformats.org/officeDocument/2006/relationships/hyperlink" Target="https://login.consultant.ru/link/?req=doc&amp;base=LAW&amp;n=520154&amp;dst=3722" TargetMode = "External"/><Relationship Id="rId31" Type="http://schemas.openxmlformats.org/officeDocument/2006/relationships/hyperlink" Target="https://login.consultant.ru/link/?req=doc&amp;base=LAW&amp;n=516018" TargetMode = "External"/><Relationship Id="rId32" Type="http://schemas.openxmlformats.org/officeDocument/2006/relationships/hyperlink" Target="https://login.consultant.ru/link/?req=doc&amp;base=LAW&amp;n=516018" TargetMode = "External"/><Relationship Id="rId33" Type="http://schemas.openxmlformats.org/officeDocument/2006/relationships/hyperlink" Target="https://login.consultant.ru/link/?req=doc&amp;base=RLAW240&amp;n=207803" TargetMode = "External"/><Relationship Id="rId34" Type="http://schemas.openxmlformats.org/officeDocument/2006/relationships/hyperlink" Target="https://login.consultant.ru/link/?req=doc&amp;base=LAW&amp;n=520154&amp;dst=3704" TargetMode = "External"/><Relationship Id="rId35"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24.07.2025 N 401-П
"О мерах финансовой поддержки межрегиональных, региональных и местных молодежных и детских общественных объединений в 2025 году"
(вместе с "Порядком предоставления субсидий из областного бюджета межрегиональным, региональным и местным молодежным и детским общественным объединениям на осуществление уставной деятельности, направленной на удовлетворение интересов детей и (или) молодежи, в 2025 году", "Порядком предоставления грантов в форме су</dc:title>
  <dcterms:created xsi:type="dcterms:W3CDTF">2026-01-07T08:36:33Z</dcterms:created>
</cp:coreProperties>
</file>