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Кировской области от 23.12.2025 N 685-П</w:t>
              <w:br/>
              <w:t xml:space="preserve">"Об утверждении Порядка предоставления субсидии из областного бюджета некоммерческим организациям, осуществляющим деятельность в области физической культуры и спорта"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КИРОВСКОЙ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23 декабря 2025 г. N 685-П</w:t>
      </w:r>
    </w:p>
    <w:p>
      <w:pPr>
        <w:pStyle w:val="2"/>
        <w:jc w:val="both"/>
      </w:pPr>
      <w:r>
        <w:rPr>
          <w:sz w:val="20"/>
        </w:rPr>
      </w:r>
    </w:p>
    <w:p>
      <w:pPr>
        <w:pStyle w:val="2"/>
        <w:jc w:val="center"/>
      </w:pPr>
      <w:r>
        <w:rPr>
          <w:sz w:val="20"/>
        </w:rPr>
        <w:t xml:space="preserve">ОБ УТВЕРЖДЕНИИ ПОРЯДКА ПРЕДОСТАВЛЕНИЯ СУБСИДИИ ИЗ ОБЛАСТНОГО</w:t>
      </w:r>
    </w:p>
    <w:p>
      <w:pPr>
        <w:pStyle w:val="2"/>
        <w:jc w:val="center"/>
      </w:pPr>
      <w:r>
        <w:rPr>
          <w:sz w:val="20"/>
        </w:rPr>
        <w:t xml:space="preserve">БЮДЖЕТА НЕКОММЕРЧЕСКИМ ОРГАНИЗАЦИЯМ, ОСУЩЕСТВЛЯЮЩИМ</w:t>
      </w:r>
    </w:p>
    <w:p>
      <w:pPr>
        <w:pStyle w:val="2"/>
        <w:jc w:val="center"/>
      </w:pPr>
      <w:r>
        <w:rPr>
          <w:sz w:val="20"/>
        </w:rPr>
        <w:t xml:space="preserve">ДЕЯТЕЛЬНОСТЬ В ОБЛАСТИ ФИЗИЧЕСКОЙ КУЛЬТУРЫ И СПОРТА</w:t>
      </w:r>
    </w:p>
    <w:p>
      <w:pPr>
        <w:pStyle w:val="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в целях реализации государственной </w:t>
      </w:r>
      <w:hyperlink w:history="0" r:id="rId10" w:tooltip="Постановление Правительства Кировской области от 26.06.2025 N 336-П &quot;Об утверждении государственной программы Кировской области &quot;Физическая культура и массовый спорт&quot; {КонсультантПлюс}">
        <w:r>
          <w:rPr>
            <w:sz w:val="20"/>
            <w:color w:val="0000ff"/>
          </w:rPr>
          <w:t xml:space="preserve">программы</w:t>
        </w:r>
      </w:hyperlink>
      <w:r>
        <w:rPr>
          <w:sz w:val="20"/>
        </w:rPr>
        <w:t xml:space="preserve"> Кировской области "Физическая культура и массовый спорт", утвержденной постановлением Правительства Кировской области от 26.06.2025 N 336-П "Об утверждении государственной программы Кировской области "Физическая культура и массовый спорт", Правительство Кировской области постановляет:</w:t>
      </w:r>
    </w:p>
    <w:p>
      <w:pPr>
        <w:pStyle w:val="0"/>
        <w:spacing w:before="200" w:lineRule="auto"/>
        <w:ind w:firstLine="540"/>
        <w:jc w:val="both"/>
      </w:pPr>
      <w:r>
        <w:rPr>
          <w:sz w:val="20"/>
        </w:rPr>
        <w:t xml:space="preserve">1. Утвердить </w:t>
      </w:r>
      <w:hyperlink w:history="0" w:anchor="P31" w:tooltip="ПОРЯДОК">
        <w:r>
          <w:rPr>
            <w:sz w:val="20"/>
            <w:color w:val="0000ff"/>
          </w:rPr>
          <w:t xml:space="preserve">Порядок</w:t>
        </w:r>
      </w:hyperlink>
      <w:r>
        <w:rPr>
          <w:sz w:val="20"/>
        </w:rPr>
        <w:t xml:space="preserve"> предоставления субсидии из областного бюджета некоммерческим организациям, осуществляющим деятельность в области физической культуры и спорта, согласно приложению.</w:t>
      </w:r>
    </w:p>
    <w:p>
      <w:pPr>
        <w:pStyle w:val="0"/>
        <w:spacing w:before="200" w:lineRule="auto"/>
        <w:ind w:firstLine="540"/>
        <w:jc w:val="both"/>
      </w:pPr>
      <w:r>
        <w:rPr>
          <w:sz w:val="20"/>
        </w:rPr>
        <w:t xml:space="preserve">2. Финансовое обеспечение расходов на предоставление субсидии из областного бюджета некоммерческим организациям, осуществляющим деятельность в области физической культуры и спорта (далее - субсидия), является расходным обязательством Кировской области и осуществляется за счет и в пределах бюджетных ассигнований областного бюджета, предусмотренных министерству спорта Кировской области на предоставление субсидии.</w:t>
      </w:r>
    </w:p>
    <w:p>
      <w:pPr>
        <w:pStyle w:val="0"/>
        <w:spacing w:before="200" w:lineRule="auto"/>
        <w:ind w:firstLine="540"/>
        <w:jc w:val="both"/>
      </w:pPr>
      <w:r>
        <w:rPr>
          <w:sz w:val="20"/>
        </w:rPr>
        <w:t xml:space="preserve">3. Установить, что отбор некоммерческих организаций, осуществляющих деятельность в области физической культуры и спорта, для предоставления субсидии осуществляется в порядке, установленном настоящим постановлением.</w:t>
      </w:r>
    </w:p>
    <w:p>
      <w:pPr>
        <w:pStyle w:val="0"/>
        <w:spacing w:before="200" w:lineRule="auto"/>
        <w:ind w:firstLine="540"/>
        <w:jc w:val="both"/>
      </w:pPr>
      <w:r>
        <w:rPr>
          <w:sz w:val="20"/>
        </w:rPr>
        <w:t xml:space="preserve">4. Настоящее постановление вступает в силу с 1 января 2026 года.</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Кировской области</w:t>
      </w:r>
    </w:p>
    <w:p>
      <w:pPr>
        <w:pStyle w:val="0"/>
        <w:jc w:val="right"/>
      </w:pPr>
      <w:r>
        <w:rPr>
          <w:sz w:val="20"/>
        </w:rPr>
        <w:t xml:space="preserve">М.А.САНДАЛОВ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Кировской области</w:t>
      </w:r>
    </w:p>
    <w:p>
      <w:pPr>
        <w:pStyle w:val="0"/>
        <w:jc w:val="right"/>
      </w:pPr>
      <w:r>
        <w:rPr>
          <w:sz w:val="20"/>
        </w:rPr>
        <w:t xml:space="preserve">от 23 декабря 2025 г. N 685-П</w:t>
      </w:r>
    </w:p>
    <w:p>
      <w:pPr>
        <w:pStyle w:val="0"/>
        <w:jc w:val="both"/>
      </w:pPr>
      <w:r>
        <w:rPr>
          <w:sz w:val="20"/>
        </w:rPr>
      </w:r>
    </w:p>
    <w:bookmarkStart w:id="31" w:name="P31"/>
    <w:bookmarkEnd w:id="31"/>
    <w:p>
      <w:pPr>
        <w:pStyle w:val="2"/>
        <w:jc w:val="center"/>
      </w:pPr>
      <w:r>
        <w:rPr>
          <w:sz w:val="20"/>
        </w:rPr>
        <w:t xml:space="preserve">ПОРЯДОК</w:t>
      </w:r>
    </w:p>
    <w:p>
      <w:pPr>
        <w:pStyle w:val="2"/>
        <w:jc w:val="center"/>
      </w:pPr>
      <w:r>
        <w:rPr>
          <w:sz w:val="20"/>
        </w:rPr>
        <w:t xml:space="preserve">ПРЕДОСТАВЛЕНИЯ СУБСИДИИ ИЗ ОБЛАСТНОГО БЮДЖЕТА</w:t>
      </w:r>
    </w:p>
    <w:p>
      <w:pPr>
        <w:pStyle w:val="2"/>
        <w:jc w:val="center"/>
      </w:pPr>
      <w:r>
        <w:rPr>
          <w:sz w:val="20"/>
        </w:rPr>
        <w:t xml:space="preserve">НЕКОММЕРЧЕСКИМ ОРГАНИЗАЦИЯМ, ОСУЩЕСТВЛЯЮЩИМ ДЕЯТЕЛЬНОСТЬ</w:t>
      </w:r>
    </w:p>
    <w:p>
      <w:pPr>
        <w:pStyle w:val="2"/>
        <w:jc w:val="center"/>
      </w:pPr>
      <w:r>
        <w:rPr>
          <w:sz w:val="20"/>
        </w:rPr>
        <w:t xml:space="preserve">В ОБЛАСТИ ФИЗИЧЕСКОЙ КУЛЬТУРЫ И СПОРТА</w:t>
      </w:r>
    </w:p>
    <w:p>
      <w:pPr>
        <w:pStyle w:val="0"/>
        <w:jc w:val="both"/>
      </w:pPr>
      <w:r>
        <w:rPr>
          <w:sz w:val="20"/>
        </w:rPr>
      </w:r>
    </w:p>
    <w:p>
      <w:pPr>
        <w:pStyle w:val="2"/>
        <w:outlineLvl w:val="1"/>
        <w:ind w:firstLine="540"/>
        <w:jc w:val="both"/>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субсидии из областного бюджета некоммерческим организациям, осуществляющим деятельность в области физической культуры и спорта (далее - Порядок), устанавливает порядок проведения отбора некоммерческих организаций, осуществляющих деятельность в области физической культуры и спорта (далее - отбор), для предоставления субсидии из областного бюджета некоммерческим организациям, осуществляющим деятельность в области физической культуры и спорта (далее - субсидия), цель, условия и порядок предоставления субсидии, а также требования к отчетности, требования к осуществлению контроля (мониторинга) за соблюдением условий и порядка предоставления субсидии и ответственность за их нарушение.</w:t>
      </w:r>
    </w:p>
    <w:p>
      <w:pPr>
        <w:pStyle w:val="0"/>
        <w:spacing w:before="200" w:lineRule="auto"/>
        <w:ind w:firstLine="540"/>
        <w:jc w:val="both"/>
      </w:pPr>
      <w:r>
        <w:rPr>
          <w:sz w:val="20"/>
        </w:rPr>
        <w:t xml:space="preserve">1.2. Субсидия предоставляется в рамках реализации комплекса процессных мероприятий "Обеспечение развития массового спорта", входящего в состав государственной </w:t>
      </w:r>
      <w:hyperlink w:history="0" r:id="rId11" w:tooltip="Постановление Правительства Кировской области от 26.06.2025 N 336-П &quot;Об утверждении государственной программы Кировской области &quot;Физическая культура и массовый спорт&quot; {КонсультантПлюс}">
        <w:r>
          <w:rPr>
            <w:sz w:val="20"/>
            <w:color w:val="0000ff"/>
          </w:rPr>
          <w:t xml:space="preserve">программы</w:t>
        </w:r>
      </w:hyperlink>
      <w:r>
        <w:rPr>
          <w:sz w:val="20"/>
        </w:rPr>
        <w:t xml:space="preserve"> Кировской области "Физическая культура и массовый спорт", утвержденной постановлением Правительства Кировской области от 26.06.2025 N 336-П "Об утверждении государственной программы Кировской области "Физическая культура и массовый спорт", на проведение мероприятий, обеспечивающих достижение показателя "доля граждан, систематически занимающихся физической культурой и спортом" государственной </w:t>
      </w:r>
      <w:hyperlink w:history="0" r:id="rId12" w:tooltip="Постановление Правительства Кировской области от 26.06.2025 N 336-П &quot;Об утверждении государственной программы Кировской области &quot;Физическая культура и массовый спорт&quot; {КонсультантПлюс}">
        <w:r>
          <w:rPr>
            <w:sz w:val="20"/>
            <w:color w:val="0000ff"/>
          </w:rPr>
          <w:t xml:space="preserve">программы</w:t>
        </w:r>
      </w:hyperlink>
      <w:r>
        <w:rPr>
          <w:sz w:val="20"/>
        </w:rPr>
        <w:t xml:space="preserve"> Кировской области "Физическая культура и массовый спорт", утвержденной постановлением Правительства Кировской области от 26.06.2025 N 336-П "Об утверждении государственной программы Кировской области "Физическая культура и массовый спорт".</w:t>
      </w:r>
    </w:p>
    <w:bookmarkStart w:id="40" w:name="P40"/>
    <w:bookmarkEnd w:id="40"/>
    <w:p>
      <w:pPr>
        <w:pStyle w:val="0"/>
        <w:spacing w:before="200" w:lineRule="auto"/>
        <w:ind w:firstLine="540"/>
        <w:jc w:val="both"/>
      </w:pPr>
      <w:r>
        <w:rPr>
          <w:sz w:val="20"/>
        </w:rPr>
        <w:t xml:space="preserve">1.3. Субсидия предоставляется с целью повышения мотивации граждан к регулярным занятиям физической культурой и спортом.</w:t>
      </w:r>
    </w:p>
    <w:bookmarkStart w:id="41" w:name="P41"/>
    <w:bookmarkEnd w:id="41"/>
    <w:p>
      <w:pPr>
        <w:pStyle w:val="0"/>
        <w:spacing w:before="200" w:lineRule="auto"/>
        <w:ind w:firstLine="540"/>
        <w:jc w:val="both"/>
      </w:pPr>
      <w:r>
        <w:rPr>
          <w:sz w:val="20"/>
        </w:rPr>
        <w:t xml:space="preserve">1.4. Субсидия предоставляется на финансовое обеспечение затрат в соответствии со сметой расходов на проведение физкультурных мероприятий (далее - смета), предоставляемой некоммерческой организацией, осуществляющей деятельность в области физической культуры и спорта, на проведение следующих официальных физкультурных мероприятий, включенных в календарный план официальных физкультурных мероприятий и спортивных мероприятий Кировской области: массовая зарядка (не менее 10 мероприятий), "Лыжня России", "Вечерний велопарад", Спартакиада среди трудящихся Кировской области ("Игры корпораций"), "Кросс нации", "Легкоатлетическая эстафета", "День ходьбы".</w:t>
      </w:r>
    </w:p>
    <w:p>
      <w:pPr>
        <w:pStyle w:val="0"/>
        <w:spacing w:before="200" w:lineRule="auto"/>
        <w:ind w:firstLine="540"/>
        <w:jc w:val="both"/>
      </w:pPr>
      <w:r>
        <w:rPr>
          <w:sz w:val="20"/>
        </w:rPr>
        <w:t xml:space="preserve">Расходы на проведение физкультурных мероприятий предусматриваются в смете в соответствии с направлениями расходов и </w:t>
      </w:r>
      <w:hyperlink w:history="0" r:id="rId13" w:tooltip="Постановление Правительства Кировской области от 14.06.2023 N 331-П (ред. от 24.10.2024) &quot;О финансировании физкультурных и спортивных мероприятий за счет средств областного бюджета&quot; (вместе с &quot;Положением о порядке финансового обеспечения и нормах расходов на проведение официальных физкультурных мероприятий и спортивных мероприятий, включенных в календарный план официальных физкультурных мероприятий и спортивных мероприятий Кировской области&quot;, &quot;Нормами расходов средств областного бюджета на проведение официа {КонсультантПлюс}">
        <w:r>
          <w:rPr>
            <w:sz w:val="20"/>
            <w:color w:val="0000ff"/>
          </w:rPr>
          <w:t xml:space="preserve">нормами</w:t>
        </w:r>
      </w:hyperlink>
      <w:r>
        <w:rPr>
          <w:sz w:val="20"/>
        </w:rPr>
        <w:t xml:space="preserve"> расходов средств областного бюджета на проведение официальных физкультурных мероприятий и спортивных мероприятий, включенных в календарный план официальных физкультурных мероприятий и спортивных мероприятий Кировской области, утвержденными постановлением Правительства Кировской области от 14.06.2023 N 331-П "О финансировании физкультурных и спортивных мероприятий за счет средств областного бюджета".</w:t>
      </w:r>
    </w:p>
    <w:p>
      <w:pPr>
        <w:pStyle w:val="0"/>
        <w:spacing w:before="200" w:lineRule="auto"/>
        <w:ind w:firstLine="540"/>
        <w:jc w:val="both"/>
      </w:pPr>
      <w:r>
        <w:rPr>
          <w:sz w:val="20"/>
        </w:rPr>
        <w:t xml:space="preserve">1.5. Субсидия предоставляется министерством спорта Кировской области (далее - министерство) в пределах бюджетных ассигнований, предусмотренных в областном бюджете, и лимитов бюджетных обязательств, доведенных в установленном порядке министерству на предоставление субсидии.</w:t>
      </w:r>
    </w:p>
    <w:p>
      <w:pPr>
        <w:pStyle w:val="0"/>
        <w:spacing w:before="200" w:lineRule="auto"/>
        <w:ind w:firstLine="540"/>
        <w:jc w:val="both"/>
      </w:pPr>
      <w:r>
        <w:rPr>
          <w:sz w:val="20"/>
        </w:rPr>
        <w:t xml:space="preserve">1.6. Получателем субсидии является некоммерческая организация, осуществляющая деятельность в области физической культуры и спорта (далее - некоммерческая организация).</w:t>
      </w:r>
    </w:p>
    <w:p>
      <w:pPr>
        <w:pStyle w:val="0"/>
        <w:spacing w:before="200" w:lineRule="auto"/>
        <w:ind w:firstLine="540"/>
        <w:jc w:val="both"/>
      </w:pPr>
      <w:r>
        <w:rPr>
          <w:sz w:val="20"/>
        </w:rPr>
        <w:t xml:space="preserve">1.7. 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pPr>
        <w:pStyle w:val="0"/>
        <w:jc w:val="both"/>
      </w:pPr>
      <w:r>
        <w:rPr>
          <w:sz w:val="20"/>
        </w:rPr>
      </w:r>
    </w:p>
    <w:p>
      <w:pPr>
        <w:pStyle w:val="2"/>
        <w:outlineLvl w:val="1"/>
        <w:ind w:firstLine="540"/>
        <w:jc w:val="both"/>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Отбор проводит министерство способом запроса предложений.</w:t>
      </w:r>
    </w:p>
    <w:p>
      <w:pPr>
        <w:pStyle w:val="0"/>
        <w:spacing w:before="200" w:lineRule="auto"/>
        <w:ind w:firstLine="540"/>
        <w:jc w:val="both"/>
      </w:pPr>
      <w:r>
        <w:rPr>
          <w:sz w:val="20"/>
        </w:rPr>
        <w:t xml:space="preserve">2.2. 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2.3. Взаимодействие министерства с некоммерческими организациями - участниками отбора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2.4. Объявление о проведении отбора (далее - объявление) размещается министерством в системе "Электронный бюджет" не позднее чем за 2 рабочих дня до начала приема заявок на участие в отборе и включает в себя:</w:t>
      </w:r>
    </w:p>
    <w:p>
      <w:pPr>
        <w:pStyle w:val="0"/>
        <w:spacing w:before="200" w:lineRule="auto"/>
        <w:ind w:firstLine="540"/>
        <w:jc w:val="both"/>
      </w:pPr>
      <w:r>
        <w:rPr>
          <w:sz w:val="20"/>
        </w:rPr>
        <w:t xml:space="preserve">наименование физкультурных мероприятий;</w:t>
      </w:r>
    </w:p>
    <w:p>
      <w:pPr>
        <w:pStyle w:val="0"/>
        <w:spacing w:before="200" w:lineRule="auto"/>
        <w:ind w:firstLine="540"/>
        <w:jc w:val="both"/>
      </w:pPr>
      <w:r>
        <w:rPr>
          <w:sz w:val="20"/>
        </w:rPr>
        <w:t xml:space="preserve">срок проведения отбора;</w:t>
      </w:r>
    </w:p>
    <w:p>
      <w:pPr>
        <w:pStyle w:val="0"/>
        <w:spacing w:before="200" w:lineRule="auto"/>
        <w:ind w:firstLine="540"/>
        <w:jc w:val="both"/>
      </w:pPr>
      <w:r>
        <w:rPr>
          <w:sz w:val="20"/>
        </w:rPr>
        <w:t xml:space="preserve">дату начала подачи и дату окончания приема заявок на участие в отборе (далее - заявка), которая не может быть ранее 10-го календарного дня, следующего за днем размещения объявления;</w:t>
      </w:r>
    </w:p>
    <w:p>
      <w:pPr>
        <w:pStyle w:val="0"/>
        <w:spacing w:before="200" w:lineRule="auto"/>
        <w:ind w:firstLine="540"/>
        <w:jc w:val="both"/>
      </w:pPr>
      <w:r>
        <w:rPr>
          <w:sz w:val="20"/>
        </w:rPr>
        <w:t xml:space="preserve">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результат предоставления субсидии;</w:t>
      </w:r>
    </w:p>
    <w:p>
      <w:pPr>
        <w:pStyle w:val="0"/>
        <w:spacing w:before="200" w:lineRule="auto"/>
        <w:ind w:firstLine="540"/>
        <w:jc w:val="both"/>
      </w:pPr>
      <w:r>
        <w:rPr>
          <w:sz w:val="20"/>
        </w:rPr>
        <w:t xml:space="preserve">доменное имя и (или) указатели страниц государственной информационной системы в сети "Интернет";</w:t>
      </w:r>
    </w:p>
    <w:p>
      <w:pPr>
        <w:pStyle w:val="0"/>
        <w:spacing w:before="200" w:lineRule="auto"/>
        <w:ind w:firstLine="540"/>
        <w:jc w:val="both"/>
      </w:pPr>
      <w:r>
        <w:rPr>
          <w:sz w:val="20"/>
        </w:rPr>
        <w:t xml:space="preserve">требования к некоммерческим организациям - участникам отбора и перечень документов, представляемых некоммерческими организациями - участниками отбора для подтверждения соответствия требованиям, указанным в </w:t>
      </w:r>
      <w:hyperlink w:history="0" w:anchor="P75"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 критериям, указанным в </w:t>
      </w:r>
      <w:hyperlink w:history="0" w:anchor="P88" w:tooltip="2.10. Некоммерческие организации - участники отбора должны соответствовать следующим критериям:">
        <w:r>
          <w:rPr>
            <w:sz w:val="20"/>
            <w:color w:val="0000ff"/>
          </w:rPr>
          <w:t xml:space="preserve">пункте 2.10</w:t>
        </w:r>
      </w:hyperlink>
      <w:r>
        <w:rPr>
          <w:sz w:val="20"/>
        </w:rPr>
        <w:t xml:space="preserve"> настоящего Порядка;</w:t>
      </w:r>
    </w:p>
    <w:p>
      <w:pPr>
        <w:pStyle w:val="0"/>
        <w:spacing w:before="200" w:lineRule="auto"/>
        <w:ind w:firstLine="540"/>
        <w:jc w:val="both"/>
      </w:pPr>
      <w:r>
        <w:rPr>
          <w:sz w:val="20"/>
        </w:rPr>
        <w:t xml:space="preserve">порядок подачи некоммерческими организациями - участниками отбора заявок и требования, предъявляемые к форме и содержанию заявок;</w:t>
      </w:r>
    </w:p>
    <w:p>
      <w:pPr>
        <w:pStyle w:val="0"/>
        <w:spacing w:before="200" w:lineRule="auto"/>
        <w:ind w:firstLine="540"/>
        <w:jc w:val="both"/>
      </w:pPr>
      <w:r>
        <w:rPr>
          <w:sz w:val="20"/>
        </w:rPr>
        <w:t xml:space="preserve">порядок отзыва некоммерческими организациями - участниками отбора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правила рассмотрения и оценки заявок;</w:t>
      </w:r>
    </w:p>
    <w:p>
      <w:pPr>
        <w:pStyle w:val="0"/>
        <w:spacing w:before="200" w:lineRule="auto"/>
        <w:ind w:firstLine="540"/>
        <w:jc w:val="both"/>
      </w:pPr>
      <w:r>
        <w:rPr>
          <w:sz w:val="20"/>
        </w:rPr>
        <w:t xml:space="preserve">порядок возврата заявок на доработку;</w:t>
      </w:r>
    </w:p>
    <w:p>
      <w:pPr>
        <w:pStyle w:val="0"/>
        <w:spacing w:before="200" w:lineRule="auto"/>
        <w:ind w:firstLine="540"/>
        <w:jc w:val="both"/>
      </w:pPr>
      <w:r>
        <w:rPr>
          <w:sz w:val="20"/>
        </w:rPr>
        <w:t xml:space="preserve">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размер предоставляемой субсидии некоммерческой организации - победителю отбора;</w:t>
      </w:r>
    </w:p>
    <w:p>
      <w:pPr>
        <w:pStyle w:val="0"/>
        <w:spacing w:before="200" w:lineRule="auto"/>
        <w:ind w:firstLine="540"/>
        <w:jc w:val="both"/>
      </w:pPr>
      <w:r>
        <w:rPr>
          <w:sz w:val="20"/>
        </w:rPr>
        <w:t xml:space="preserve">порядок предоставления некоммерческими организациями - участниками отбора разъяснений положений объявления, даты начала и окончания срока такого предоставления;</w:t>
      </w:r>
    </w:p>
    <w:p>
      <w:pPr>
        <w:pStyle w:val="0"/>
        <w:spacing w:before="200" w:lineRule="auto"/>
        <w:ind w:firstLine="540"/>
        <w:jc w:val="both"/>
      </w:pPr>
      <w:r>
        <w:rPr>
          <w:sz w:val="20"/>
        </w:rPr>
        <w:t xml:space="preserve">срок, в течение которого некоммерческая организация - победитель отбора должна подписать соглашение о предоставлении субсидии (далее - соглашение);</w:t>
      </w:r>
    </w:p>
    <w:p>
      <w:pPr>
        <w:pStyle w:val="0"/>
        <w:spacing w:before="200" w:lineRule="auto"/>
        <w:ind w:firstLine="540"/>
        <w:jc w:val="both"/>
      </w:pPr>
      <w:r>
        <w:rPr>
          <w:sz w:val="20"/>
        </w:rPr>
        <w:t xml:space="preserve">условия признания победителя отбора уклонившимся от заключения соглашения;</w:t>
      </w:r>
    </w:p>
    <w:p>
      <w:pPr>
        <w:pStyle w:val="0"/>
        <w:spacing w:before="200" w:lineRule="auto"/>
        <w:ind w:firstLine="540"/>
        <w:jc w:val="both"/>
      </w:pPr>
      <w:r>
        <w:rPr>
          <w:sz w:val="20"/>
        </w:rPr>
        <w:t xml:space="preserve">срок размещения протокола подведения итогов отбора (документа об итогах проведения отбора) на едином портале, которые не могут быть позднее 14-го календарного дня, следующего за днем определения некоммерческой организации победителем отбора.</w:t>
      </w:r>
    </w:p>
    <w:p>
      <w:pPr>
        <w:pStyle w:val="0"/>
        <w:spacing w:before="200" w:lineRule="auto"/>
        <w:ind w:firstLine="540"/>
        <w:jc w:val="both"/>
      </w:pPr>
      <w:r>
        <w:rPr>
          <w:sz w:val="20"/>
        </w:rPr>
        <w:t xml:space="preserve">2.5. Министерство в срок не позднее наступления даты окончания приема заявок, указанной в объявлении, может внести изменения в объявление.</w:t>
      </w:r>
    </w:p>
    <w:p>
      <w:pPr>
        <w:pStyle w:val="0"/>
        <w:spacing w:before="200" w:lineRule="auto"/>
        <w:ind w:firstLine="540"/>
        <w:jc w:val="both"/>
      </w:pPr>
      <w:r>
        <w:rPr>
          <w:sz w:val="20"/>
        </w:rPr>
        <w:t xml:space="preserve">2.5.1. В случае внесения изменений в объявление в части продления срока подачи заявок данный срок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pPr>
        <w:pStyle w:val="0"/>
        <w:spacing w:before="200" w:lineRule="auto"/>
        <w:ind w:firstLine="540"/>
        <w:jc w:val="both"/>
      </w:pPr>
      <w:r>
        <w:rPr>
          <w:sz w:val="20"/>
        </w:rPr>
        <w:t xml:space="preserve">2.5.2. 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Некоммерческие организации - участники отбора, подавшие заявки,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pPr>
        <w:pStyle w:val="0"/>
        <w:spacing w:before="200" w:lineRule="auto"/>
        <w:ind w:firstLine="540"/>
        <w:jc w:val="both"/>
      </w:pPr>
      <w:r>
        <w:rPr>
          <w:sz w:val="20"/>
        </w:rPr>
        <w:t xml:space="preserve">При внесении изменений в объявление изменение способа отбора не допускается.</w:t>
      </w:r>
    </w:p>
    <w:bookmarkStart w:id="75" w:name="P75"/>
    <w:bookmarkEnd w:id="75"/>
    <w:p>
      <w:pPr>
        <w:pStyle w:val="0"/>
        <w:spacing w:before="200" w:lineRule="auto"/>
        <w:ind w:firstLine="540"/>
        <w:jc w:val="both"/>
      </w:pPr>
      <w:r>
        <w:rPr>
          <w:sz w:val="20"/>
        </w:rPr>
        <w:t xml:space="preserve">2.6. По состоянию на 1-е число месяца подачи заявки, за исключением положений </w:t>
      </w:r>
      <w:hyperlink w:history="0" w:anchor="P81" w:tooltip="2.6.6. У некоммерческих организаций - участников отбора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но не ранее 1-го числа месяца подачи заявк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
        <w:r>
          <w:rPr>
            <w:sz w:val="20"/>
            <w:color w:val="0000ff"/>
          </w:rPr>
          <w:t xml:space="preserve">подпункта 2.6.6</w:t>
        </w:r>
      </w:hyperlink>
      <w:r>
        <w:rPr>
          <w:sz w:val="20"/>
        </w:rPr>
        <w:t xml:space="preserve"> настоящего Порядка, некоммерческие организации - участники отбора должны соответствовать следующим требованиям:</w:t>
      </w:r>
    </w:p>
    <w:p>
      <w:pPr>
        <w:pStyle w:val="0"/>
        <w:spacing w:before="200" w:lineRule="auto"/>
        <w:ind w:firstLine="540"/>
        <w:jc w:val="both"/>
      </w:pPr>
      <w:r>
        <w:rPr>
          <w:sz w:val="20"/>
        </w:rPr>
        <w:t xml:space="preserve">2.6.1. Некоммерческие организации - участники отбора не являются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pPr>
        <w:pStyle w:val="0"/>
        <w:spacing w:before="200" w:lineRule="auto"/>
        <w:ind w:firstLine="540"/>
        <w:jc w:val="both"/>
      </w:pPr>
      <w:r>
        <w:rPr>
          <w:sz w:val="20"/>
        </w:rPr>
        <w:t xml:space="preserve">2.6.2. Некоммерческие организации - участники отбора не находятся в перечне организаций и физических лиц, в отношении которых имеются сведения об их причастности к экстремистской деятельности и терроризму.</w:t>
      </w:r>
    </w:p>
    <w:p>
      <w:pPr>
        <w:pStyle w:val="0"/>
        <w:spacing w:before="200" w:lineRule="auto"/>
        <w:ind w:firstLine="540"/>
        <w:jc w:val="both"/>
      </w:pPr>
      <w:r>
        <w:rPr>
          <w:sz w:val="20"/>
        </w:rPr>
        <w:t xml:space="preserve">2.6.3. Некоммерческие организации - участники отбора не находятся в составляемых в рамках реализации полномочий, предусмотренных </w:t>
      </w:r>
      <w:hyperlink w:history="0" r:id="rId1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2.6.4. Некоммерческие организации - участники отбора не получают средства из областного бюджета на основании иных нормативных правовых актов Кировской области на цель, указанную в </w:t>
      </w:r>
      <w:hyperlink w:history="0" w:anchor="P40" w:tooltip="1.3. Субсидия предоставляется с целью повышения мотивации граждан к регулярным занятиям физической культурой и спортом.">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2.6.5. Некоммерческие организации - участники отбора не являются иностранными агентами в соответствии с Федеральным </w:t>
      </w:r>
      <w:hyperlink w:history="0" r:id="rId1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81" w:name="P81"/>
    <w:bookmarkEnd w:id="81"/>
    <w:p>
      <w:pPr>
        <w:pStyle w:val="0"/>
        <w:spacing w:before="200" w:lineRule="auto"/>
        <w:ind w:firstLine="540"/>
        <w:jc w:val="both"/>
      </w:pPr>
      <w:r>
        <w:rPr>
          <w:sz w:val="20"/>
        </w:rPr>
        <w:t xml:space="preserve">2.6.6. У некоммерческих организаций - участников отбора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но не ранее 1-го числа месяца подачи заявки на едином налоговом счете отсутствует или не превышает размер, определенный </w:t>
      </w:r>
      <w:hyperlink w:history="0" r:id="rId16"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2.6.7. У некоммерческих организаций - участников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областным бюджетом.</w:t>
      </w:r>
    </w:p>
    <w:p>
      <w:pPr>
        <w:pStyle w:val="0"/>
        <w:spacing w:before="200" w:lineRule="auto"/>
        <w:ind w:firstLine="540"/>
        <w:jc w:val="both"/>
      </w:pPr>
      <w:r>
        <w:rPr>
          <w:sz w:val="20"/>
        </w:rPr>
        <w:t xml:space="preserve">2.6.8. Некоммерческие организации - участники отбора не находятся в процессе реорганизации (за исключением реорганизации в форме присоединения к некоммерческим организациям - участникам отбора других юридических лиц), ликвидации, в отношении них не должна быть введена процедура банкротства, их деятельность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2.6.9. 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некоммерческих организаций - участников отбора.</w:t>
      </w:r>
    </w:p>
    <w:p>
      <w:pPr>
        <w:pStyle w:val="0"/>
        <w:spacing w:before="200" w:lineRule="auto"/>
        <w:ind w:firstLine="540"/>
        <w:jc w:val="both"/>
      </w:pPr>
      <w:r>
        <w:rPr>
          <w:sz w:val="20"/>
        </w:rPr>
        <w:t xml:space="preserve">2.7. Проверка некоммерческих организаций - участников отбора на соответствие требованиям, указанным в </w:t>
      </w:r>
      <w:hyperlink w:history="0" w:anchor="P75"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2.8. Подтверждение соответствия некоммерческих организаций - участников отбора требованиям, указанным в </w:t>
      </w:r>
      <w:hyperlink w:history="0" w:anchor="P75"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некоммерческими организациями - участниками отбора отметок о соответствии указанным требованиям посредством заполнения соответствующих экранных форм веб-интерфейса системы "Электронный бюджет" с приложением электронных копий соответствующих справок, подписанных руководителем некоммерческой организации - участника отбора.</w:t>
      </w:r>
    </w:p>
    <w:p>
      <w:pPr>
        <w:pStyle w:val="0"/>
        <w:spacing w:before="200" w:lineRule="auto"/>
        <w:ind w:firstLine="540"/>
        <w:jc w:val="both"/>
      </w:pPr>
      <w:r>
        <w:rPr>
          <w:sz w:val="20"/>
        </w:rPr>
        <w:t xml:space="preserve">2.9. Запрещается требовать от некоммерческих организаций - участников отбора представления документов и информации в целях подтверждения соответствия некоммерческих организаций - участников отбора требованиям, определенным </w:t>
      </w:r>
      <w:hyperlink w:history="0" w:anchor="P75"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пунктом 2.6</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некоммерческие организации - участники отбора готовы представить указанные документы и информацию министерству по собственной инициативе.</w:t>
      </w:r>
    </w:p>
    <w:bookmarkStart w:id="88" w:name="P88"/>
    <w:bookmarkEnd w:id="88"/>
    <w:p>
      <w:pPr>
        <w:pStyle w:val="0"/>
        <w:spacing w:before="200" w:lineRule="auto"/>
        <w:ind w:firstLine="540"/>
        <w:jc w:val="both"/>
      </w:pPr>
      <w:r>
        <w:rPr>
          <w:sz w:val="20"/>
        </w:rPr>
        <w:t xml:space="preserve">2.10. Некоммерческие организации - участники отбора должны соответствовать следующим критериям:</w:t>
      </w:r>
    </w:p>
    <w:bookmarkStart w:id="89" w:name="P89"/>
    <w:bookmarkEnd w:id="89"/>
    <w:p>
      <w:pPr>
        <w:pStyle w:val="0"/>
        <w:spacing w:before="200" w:lineRule="auto"/>
        <w:ind w:firstLine="540"/>
        <w:jc w:val="both"/>
      </w:pPr>
      <w:r>
        <w:rPr>
          <w:sz w:val="20"/>
        </w:rPr>
        <w:t xml:space="preserve">2.10.1. По состоянию на 1-е число месяца подачи заявки:</w:t>
      </w:r>
    </w:p>
    <w:p>
      <w:pPr>
        <w:pStyle w:val="0"/>
        <w:spacing w:before="200" w:lineRule="auto"/>
        <w:ind w:firstLine="540"/>
        <w:jc w:val="both"/>
      </w:pPr>
      <w:r>
        <w:rPr>
          <w:sz w:val="20"/>
        </w:rPr>
        <w:t xml:space="preserve">2.10.1.1. Основной деятельностью некоммерческой организации - участника отбора является деятельность в области физической культуры и спорта. Для подтверждения представляются копии учредительных документов некоммерческой организации - участника отбора, в том числе с внесенными в них изменениями и дополнениями к ним (при их наличии), заверенные подписью руководителя некоммерческой организации - участника отбора (уполномоченного им лица) и печатью некоммерческой организации - участника отбора (при наличии).</w:t>
      </w:r>
    </w:p>
    <w:p>
      <w:pPr>
        <w:pStyle w:val="0"/>
        <w:spacing w:before="200" w:lineRule="auto"/>
        <w:ind w:firstLine="540"/>
        <w:jc w:val="both"/>
      </w:pPr>
      <w:r>
        <w:rPr>
          <w:sz w:val="20"/>
        </w:rPr>
        <w:t xml:space="preserve">2.10.1.2. Наличие у некоммерческой организации - участника отбора опыта в развитии физической культуры и массового спорта, организации физкультурных мероприятий. Для подтверждения такого опыта предоставляется информационная справка в произвольной форме, подписанная руководителем некоммерческой организации - участника отбора.</w:t>
      </w:r>
    </w:p>
    <w:p>
      <w:pPr>
        <w:pStyle w:val="0"/>
        <w:spacing w:before="200" w:lineRule="auto"/>
        <w:ind w:firstLine="540"/>
        <w:jc w:val="both"/>
      </w:pPr>
      <w:r>
        <w:rPr>
          <w:sz w:val="20"/>
        </w:rPr>
        <w:t xml:space="preserve">2.10.1.3. Наличие в штатном расписании некоммерческой организации - участника отбора сотрудников, занимающих должности бухгалтера и юриста.</w:t>
      </w:r>
    </w:p>
    <w:bookmarkStart w:id="93" w:name="P93"/>
    <w:bookmarkEnd w:id="93"/>
    <w:p>
      <w:pPr>
        <w:pStyle w:val="0"/>
        <w:spacing w:before="200" w:lineRule="auto"/>
        <w:ind w:firstLine="540"/>
        <w:jc w:val="both"/>
      </w:pPr>
      <w:r>
        <w:rPr>
          <w:sz w:val="20"/>
        </w:rPr>
        <w:t xml:space="preserve">2.10.2. Наличие сметы, подписанной руководителем некоммерческой организации - участника отбора, предусматривающей расходы на проведение физкультурных мероприятий, планируемые за счет субсидии и внебюджетных источников в размере не менее 10 процентов общей суммы расходов на организацию и проведение физкультурных мероприятий.</w:t>
      </w:r>
    </w:p>
    <w:bookmarkStart w:id="94" w:name="P94"/>
    <w:bookmarkEnd w:id="94"/>
    <w:p>
      <w:pPr>
        <w:pStyle w:val="0"/>
        <w:spacing w:before="200" w:lineRule="auto"/>
        <w:ind w:firstLine="540"/>
        <w:jc w:val="both"/>
      </w:pPr>
      <w:r>
        <w:rPr>
          <w:sz w:val="20"/>
        </w:rPr>
        <w:t xml:space="preserve">2.11. Для подтверждения соответствия критериям, указанным в </w:t>
      </w:r>
      <w:hyperlink w:history="0" w:anchor="P88" w:tooltip="2.10. Некоммерческие организации - участники отбора должны соответствовать следующим критериям:">
        <w:r>
          <w:rPr>
            <w:sz w:val="20"/>
            <w:color w:val="0000ff"/>
          </w:rPr>
          <w:t xml:space="preserve">пункте 2.10</w:t>
        </w:r>
      </w:hyperlink>
      <w:r>
        <w:rPr>
          <w:sz w:val="20"/>
        </w:rPr>
        <w:t xml:space="preserve"> настоящего Порядка, некоммерческие организации - участники отбора в соответствии с заявкой представляют в систему "Электронный бюджет" электронные копии соответствующих документов (документов на бумажном носителе, преобразованных в электронную форму путем сканирования), предусмотренных </w:t>
      </w:r>
      <w:hyperlink w:history="0" w:anchor="P89" w:tooltip="2.10.1. По состоянию на 1-е число месяца подачи заявки:">
        <w:r>
          <w:rPr>
            <w:sz w:val="20"/>
            <w:color w:val="0000ff"/>
          </w:rPr>
          <w:t xml:space="preserve">подпунктами 2.10.1</w:t>
        </w:r>
      </w:hyperlink>
      <w:r>
        <w:rPr>
          <w:sz w:val="20"/>
        </w:rPr>
        <w:t xml:space="preserve">, </w:t>
      </w:r>
      <w:hyperlink w:history="0" w:anchor="P93" w:tooltip="2.10.2. Наличие сметы, подписанной руководителем некоммерческой организации - участника отбора, предусматривающей расходы на проведение физкультурных мероприятий, планируемые за счет субсидии и внебюджетных источников в размере не менее 10 процентов общей суммы расходов на организацию и проведение физкультурных мероприятий.">
        <w:r>
          <w:rPr>
            <w:sz w:val="20"/>
            <w:color w:val="0000ff"/>
          </w:rPr>
          <w:t xml:space="preserve">2.10.2</w:t>
        </w:r>
      </w:hyperlink>
      <w:r>
        <w:rPr>
          <w:sz w:val="20"/>
        </w:rPr>
        <w:t xml:space="preserve"> настоящего Порядка.</w:t>
      </w:r>
    </w:p>
    <w:p>
      <w:pPr>
        <w:pStyle w:val="0"/>
        <w:spacing w:before="200" w:lineRule="auto"/>
        <w:ind w:firstLine="540"/>
        <w:jc w:val="both"/>
      </w:pPr>
      <w:r>
        <w:rPr>
          <w:sz w:val="20"/>
        </w:rPr>
        <w:t xml:space="preserve">2.12. Отбор может быть отменен министерством в случае, если решением суда, вступившим в законную силу, установлен факт нарушения процедуры организации и проведения отбора либо наступили обстоятельства непреодолимой силы, препятствующие проведению конкурсного отбора в установленный настоящим Порядком срок, включая природные катаклизмы, техногенные аварии, массовые заболевания населения, введение военного положения и иные чрезвычайные ситуации.</w:t>
      </w:r>
    </w:p>
    <w:p>
      <w:pPr>
        <w:pStyle w:val="0"/>
        <w:spacing w:before="200" w:lineRule="auto"/>
        <w:ind w:firstLine="540"/>
        <w:jc w:val="both"/>
      </w:pPr>
      <w:r>
        <w:rPr>
          <w:sz w:val="20"/>
        </w:rPr>
        <w:t xml:space="preserve">Решение об отмене отбора публикуется путем размещения объявления в системе "Электронный бюджет" не позднее чем за два рабочих дня до даты окончания приема заявок, указанной в объявлении.</w:t>
      </w:r>
    </w:p>
    <w:p>
      <w:pPr>
        <w:pStyle w:val="0"/>
        <w:spacing w:before="200" w:lineRule="auto"/>
        <w:ind w:firstLine="540"/>
        <w:jc w:val="both"/>
      </w:pPr>
      <w:r>
        <w:rPr>
          <w:sz w:val="20"/>
        </w:rPr>
        <w:t xml:space="preserve">2.13. Отбор признается несостоявшимся в случае, если не подана ни одна заявка либо если ни одна из поданных заявок не соответствует установленным требованиям.</w:t>
      </w:r>
    </w:p>
    <w:p>
      <w:pPr>
        <w:pStyle w:val="0"/>
        <w:spacing w:before="200" w:lineRule="auto"/>
        <w:ind w:firstLine="540"/>
        <w:jc w:val="both"/>
      </w:pPr>
      <w:r>
        <w:rPr>
          <w:sz w:val="20"/>
        </w:rPr>
        <w:t xml:space="preserve">2.14. Некоммерческие организации - участники отбора формируют в электронной форме заявки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w:t>
      </w:r>
    </w:p>
    <w:p>
      <w:pPr>
        <w:pStyle w:val="0"/>
        <w:spacing w:before="200" w:lineRule="auto"/>
        <w:ind w:firstLine="540"/>
        <w:jc w:val="both"/>
      </w:pPr>
      <w:r>
        <w:rPr>
          <w:sz w:val="20"/>
        </w:rPr>
        <w:t xml:space="preserve">2.15. Заявка подписывается усиленной квалифицированной электронной подписью руководителями некоммерческих организаций - участников отбора или уполномоченными ими лицами.</w:t>
      </w:r>
    </w:p>
    <w:p>
      <w:pPr>
        <w:pStyle w:val="0"/>
        <w:spacing w:before="200" w:lineRule="auto"/>
        <w:ind w:firstLine="540"/>
        <w:jc w:val="both"/>
      </w:pPr>
      <w:r>
        <w:rPr>
          <w:sz w:val="20"/>
        </w:rPr>
        <w:t xml:space="preserve">2.16. Датой представления некоммерческой организацией - участником отбора заявки считается день подписания некоммерческой организацией -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2.17. Некоммерческие организации - участники отбора вправе в период приема заявок получить разъяснения положений объявления путем личного обращения или направления письменного обращения о предоставлении разъяснения положений объявления (далее - обращение) в министерство по месту его нахождения либо обращения в форме электронного документа на адрес электронной почты министерства.</w:t>
      </w:r>
    </w:p>
    <w:p>
      <w:pPr>
        <w:pStyle w:val="0"/>
        <w:spacing w:before="200" w:lineRule="auto"/>
        <w:ind w:firstLine="540"/>
        <w:jc w:val="both"/>
      </w:pPr>
      <w:r>
        <w:rPr>
          <w:sz w:val="20"/>
        </w:rPr>
        <w:t xml:space="preserve">Министерство в течение 5 рабочих дней со дня регистрации обращения рассматривает обращение и направляет ответ на адрес, указанный в обращении.</w:t>
      </w:r>
    </w:p>
    <w:p>
      <w:pPr>
        <w:pStyle w:val="0"/>
        <w:spacing w:before="200" w:lineRule="auto"/>
        <w:ind w:firstLine="540"/>
        <w:jc w:val="both"/>
      </w:pPr>
      <w:r>
        <w:rPr>
          <w:sz w:val="20"/>
        </w:rPr>
        <w:t xml:space="preserve">2.18. Для проведения отбора в системе "Электронный бюджет":</w:t>
      </w:r>
    </w:p>
    <w:p>
      <w:pPr>
        <w:pStyle w:val="0"/>
        <w:spacing w:before="200" w:lineRule="auto"/>
        <w:ind w:firstLine="540"/>
        <w:jc w:val="both"/>
      </w:pPr>
      <w:r>
        <w:rPr>
          <w:sz w:val="20"/>
        </w:rPr>
        <w:t xml:space="preserve">министерству обеспечивается открытие доступа в системе "Электронный бюджет" к заявкам для их рассмотрения;</w:t>
      </w:r>
    </w:p>
    <w:p>
      <w:pPr>
        <w:pStyle w:val="0"/>
        <w:spacing w:before="200" w:lineRule="auto"/>
        <w:ind w:firstLine="540"/>
        <w:jc w:val="both"/>
      </w:pPr>
      <w:r>
        <w:rPr>
          <w:sz w:val="20"/>
        </w:rPr>
        <w:t xml:space="preserve">осуществляется автоматическое формирование протокола вскрытия заявок на едином портале и подписание усиленной квалифицированной подписью министра спорта Кировской области (далее - министр) (заместителя министра спорта Кировской области (далее - заместитель министра))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2.19. По результатам рассмотрения и оценки заявок и прилагаемых к ним документов принимается одно из следующих решений:</w:t>
      </w:r>
    </w:p>
    <w:p>
      <w:pPr>
        <w:pStyle w:val="0"/>
        <w:spacing w:before="200" w:lineRule="auto"/>
        <w:ind w:firstLine="540"/>
        <w:jc w:val="both"/>
      </w:pPr>
      <w:r>
        <w:rPr>
          <w:sz w:val="20"/>
        </w:rPr>
        <w:t xml:space="preserve">об отклонении заявки и прилагаемых к ней документов к участию в отборе;</w:t>
      </w:r>
    </w:p>
    <w:p>
      <w:pPr>
        <w:pStyle w:val="0"/>
        <w:spacing w:before="200" w:lineRule="auto"/>
        <w:ind w:firstLine="540"/>
        <w:jc w:val="both"/>
      </w:pPr>
      <w:r>
        <w:rPr>
          <w:sz w:val="20"/>
        </w:rPr>
        <w:t xml:space="preserve">об определении победителя отбора.</w:t>
      </w:r>
    </w:p>
    <w:p>
      <w:pPr>
        <w:pStyle w:val="0"/>
        <w:spacing w:before="200" w:lineRule="auto"/>
        <w:ind w:firstLine="540"/>
        <w:jc w:val="both"/>
      </w:pPr>
      <w:r>
        <w:rPr>
          <w:sz w:val="20"/>
        </w:rPr>
        <w:t xml:space="preserve">2.20. Заявка отклоняется при наличии следующих оснований:</w:t>
      </w:r>
    </w:p>
    <w:p>
      <w:pPr>
        <w:pStyle w:val="0"/>
        <w:spacing w:before="200" w:lineRule="auto"/>
        <w:ind w:firstLine="540"/>
        <w:jc w:val="both"/>
      </w:pPr>
      <w:r>
        <w:rPr>
          <w:sz w:val="20"/>
        </w:rPr>
        <w:t xml:space="preserve">несоответствие некоммерческих организаций - участников отбора требованиям, указанным в </w:t>
      </w:r>
      <w:hyperlink w:history="0" w:anchor="P75"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w:t>
      </w:r>
    </w:p>
    <w:p>
      <w:pPr>
        <w:pStyle w:val="0"/>
        <w:spacing w:before="200" w:lineRule="auto"/>
        <w:ind w:firstLine="540"/>
        <w:jc w:val="both"/>
      </w:pPr>
      <w:r>
        <w:rPr>
          <w:sz w:val="20"/>
        </w:rPr>
        <w:t xml:space="preserve">несоответствие некоммерческих организаций - участников отбора критериям, указанным в </w:t>
      </w:r>
      <w:hyperlink w:history="0" w:anchor="P88" w:tooltip="2.10. Некоммерческие организации - участники отбора должны соответствовать следующим критериям:">
        <w:r>
          <w:rPr>
            <w:sz w:val="20"/>
            <w:color w:val="0000ff"/>
          </w:rPr>
          <w:t xml:space="preserve">пункте 2.10</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некоммерческими организациями - участниками отбора документов, предусмотренных </w:t>
      </w:r>
      <w:hyperlink w:history="0" w:anchor="P94" w:tooltip="2.11. Для подтверждения соответствия критериям, указанным в пункте 2.10 настоящего Порядка, некоммерческие организации - участники отбора в соответствии с заявкой представляют в систему &quot;Электронный бюджет&quot; электронные копии соответствующих документов (документов на бумажном носителе, преобразованных в электронную форму путем сканирования), предусмотренных подпунктами 2.10.1, 2.10.2 настоящего Порядка.">
        <w:r>
          <w:rPr>
            <w:sz w:val="20"/>
            <w:color w:val="0000ff"/>
          </w:rPr>
          <w:t xml:space="preserve">пунктом 2.11</w:t>
        </w:r>
      </w:hyperlink>
      <w:r>
        <w:rPr>
          <w:sz w:val="20"/>
        </w:rPr>
        <w:t xml:space="preserve"> настоящего Порядка;</w:t>
      </w:r>
    </w:p>
    <w:p>
      <w:pPr>
        <w:pStyle w:val="0"/>
        <w:spacing w:before="200" w:lineRule="auto"/>
        <w:ind w:firstLine="540"/>
        <w:jc w:val="both"/>
      </w:pPr>
      <w:r>
        <w:rPr>
          <w:sz w:val="20"/>
        </w:rPr>
        <w:t xml:space="preserve">недостоверность информации, содержащейся в документах, представленных некоммерческими организациями - участниками отбора, предусмотренных </w:t>
      </w:r>
      <w:hyperlink w:history="0" w:anchor="P94" w:tooltip="2.11. Для подтверждения соответствия критериям, указанным в пункте 2.10 настоящего Порядка, некоммерческие организации - участники отбора в соответствии с заявкой представляют в систему &quot;Электронный бюджет&quot; электронные копии соответствующих документов (документов на бумажном носителе, преобразованных в электронную форму путем сканирования), предусмотренных подпунктами 2.10.1, 2.10.2 настоящего Порядка.">
        <w:r>
          <w:rPr>
            <w:sz w:val="20"/>
            <w:color w:val="0000ff"/>
          </w:rPr>
          <w:t xml:space="preserve">пунктом 2.11</w:t>
        </w:r>
      </w:hyperlink>
      <w:r>
        <w:rPr>
          <w:sz w:val="20"/>
        </w:rPr>
        <w:t xml:space="preserve"> настоящего Порядка;</w:t>
      </w:r>
    </w:p>
    <w:p>
      <w:pPr>
        <w:pStyle w:val="0"/>
        <w:spacing w:before="200" w:lineRule="auto"/>
        <w:ind w:firstLine="540"/>
        <w:jc w:val="both"/>
      </w:pPr>
      <w:r>
        <w:rPr>
          <w:sz w:val="20"/>
        </w:rPr>
        <w:t xml:space="preserve">подача некоммерческими организациями - участниками отбора заявки после даты и (или) времени, определенных для подачи заявок.</w:t>
      </w:r>
    </w:p>
    <w:p>
      <w:pPr>
        <w:pStyle w:val="0"/>
        <w:spacing w:before="200" w:lineRule="auto"/>
        <w:ind w:firstLine="540"/>
        <w:jc w:val="both"/>
      </w:pPr>
      <w:r>
        <w:rPr>
          <w:sz w:val="20"/>
        </w:rPr>
        <w:t xml:space="preserve">2.21. По результатам рассмотрения заявок автоматически формируется протокол рассмотрения заявок на едином портале и подписывается усиленной квалифицированной подписью министра (заместителя министра)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2.22. Ранжирование поступивших заявок осуществляется исходя из очередности поступления заявок.</w:t>
      </w:r>
    </w:p>
    <w:p>
      <w:pPr>
        <w:pStyle w:val="0"/>
        <w:spacing w:before="200" w:lineRule="auto"/>
        <w:ind w:firstLine="540"/>
        <w:jc w:val="both"/>
      </w:pPr>
      <w:r>
        <w:rPr>
          <w:sz w:val="20"/>
        </w:rPr>
        <w:t xml:space="preserve">2.23. Протокол подведения итогов отбора формируется автоматически на едином портале на основании результатов определения победителя отбора и подписывается усиленной квалифицированной подписью министра (заместителя министра)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2.24. Протокол подведения итогов отбора содержит следующие сведения:</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информацию о некоммерческих организациях - участниках отбора, заявки которых были рассмотрены;</w:t>
      </w:r>
    </w:p>
    <w:p>
      <w:pPr>
        <w:pStyle w:val="0"/>
        <w:spacing w:before="200" w:lineRule="auto"/>
        <w:ind w:firstLine="540"/>
        <w:jc w:val="both"/>
      </w:pPr>
      <w:r>
        <w:rPr>
          <w:sz w:val="20"/>
        </w:rPr>
        <w:t xml:space="preserve">информацию о некоммерческих организациях -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наименование некоммерческой организации - победителя отбора, с которой заключается соглашение.</w:t>
      </w:r>
    </w:p>
    <w:p>
      <w:pPr>
        <w:pStyle w:val="0"/>
        <w:spacing w:before="200" w:lineRule="auto"/>
        <w:ind w:firstLine="540"/>
        <w:jc w:val="both"/>
      </w:pPr>
      <w:r>
        <w:rPr>
          <w:sz w:val="20"/>
        </w:rPr>
        <w:t xml:space="preserve">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указанного протокола с указанием причин внесения изменений.</w:t>
      </w:r>
    </w:p>
    <w:p>
      <w:pPr>
        <w:pStyle w:val="0"/>
        <w:spacing w:before="200" w:lineRule="auto"/>
        <w:ind w:firstLine="540"/>
        <w:jc w:val="both"/>
      </w:pPr>
      <w:r>
        <w:rPr>
          <w:sz w:val="20"/>
        </w:rPr>
        <w:t xml:space="preserve">2.25. Победителем отбора признается некоммерческая организация, соответствующая критериям отбора и требованиям к участникам отбора, заявка которой подана в более раннюю дату, а при совпадении дат - в более ранее время.</w:t>
      </w:r>
    </w:p>
    <w:p>
      <w:pPr>
        <w:pStyle w:val="0"/>
        <w:spacing w:before="200" w:lineRule="auto"/>
        <w:ind w:firstLine="540"/>
        <w:jc w:val="both"/>
      </w:pPr>
      <w:r>
        <w:rPr>
          <w:sz w:val="20"/>
        </w:rPr>
        <w:t xml:space="preserve">2.26. В случае поступления на отбор одной заявки и отсутствия оснований для отклонения заявки некоммерческая организация, подавшая такую заявку, признается победителем отбора.</w:t>
      </w:r>
    </w:p>
    <w:p>
      <w:pPr>
        <w:pStyle w:val="0"/>
        <w:spacing w:before="200" w:lineRule="auto"/>
        <w:ind w:firstLine="540"/>
        <w:jc w:val="both"/>
      </w:pPr>
      <w:r>
        <w:rPr>
          <w:sz w:val="20"/>
        </w:rPr>
        <w:t xml:space="preserve">2.27. Министерство в течение трех рабочих дней со дня формирования протокола подведения итогов отбора:</w:t>
      </w:r>
    </w:p>
    <w:p>
      <w:pPr>
        <w:pStyle w:val="0"/>
        <w:spacing w:before="200" w:lineRule="auto"/>
        <w:ind w:firstLine="540"/>
        <w:jc w:val="both"/>
      </w:pPr>
      <w:r>
        <w:rPr>
          <w:sz w:val="20"/>
        </w:rPr>
        <w:t xml:space="preserve">2.27.1. Принимает решение об определении некоммерческой организации победителем отбора, которое оформляется приказом министерства.</w:t>
      </w:r>
    </w:p>
    <w:p>
      <w:pPr>
        <w:pStyle w:val="0"/>
        <w:spacing w:before="200" w:lineRule="auto"/>
        <w:ind w:firstLine="540"/>
        <w:jc w:val="both"/>
      </w:pPr>
      <w:r>
        <w:rPr>
          <w:sz w:val="20"/>
        </w:rPr>
        <w:t xml:space="preserve">2.27.2. Направляет победителю отбора по электронной почте уведомление о признании его победителем отбора с предложением заключить соглашение в срок не позднее 7 рабочих дней со дня получения такого уведомления.</w:t>
      </w:r>
    </w:p>
    <w:p>
      <w:pPr>
        <w:pStyle w:val="0"/>
        <w:jc w:val="both"/>
      </w:pPr>
      <w:r>
        <w:rPr>
          <w:sz w:val="20"/>
        </w:rPr>
      </w:r>
    </w:p>
    <w:p>
      <w:pPr>
        <w:pStyle w:val="2"/>
        <w:outlineLvl w:val="1"/>
        <w:ind w:firstLine="540"/>
        <w:jc w:val="both"/>
      </w:pPr>
      <w:r>
        <w:rPr>
          <w:sz w:val="20"/>
        </w:rPr>
        <w:t xml:space="preserve">3. Условия и порядок предоставления субсидии</w:t>
      </w:r>
    </w:p>
    <w:p>
      <w:pPr>
        <w:pStyle w:val="0"/>
        <w:jc w:val="both"/>
      </w:pPr>
      <w:r>
        <w:rPr>
          <w:sz w:val="20"/>
        </w:rPr>
      </w:r>
    </w:p>
    <w:p>
      <w:pPr>
        <w:pStyle w:val="0"/>
        <w:ind w:firstLine="540"/>
        <w:jc w:val="both"/>
      </w:pPr>
      <w:r>
        <w:rPr>
          <w:sz w:val="20"/>
        </w:rPr>
        <w:t xml:space="preserve">3.1. Субсидия предоставляется некоммерческой организации - победителю отбора (далее - получатель субсидии) в размере 5 млн. рублей на проведение физкультурных мероприятий, указанных в </w:t>
      </w:r>
      <w:hyperlink w:history="0" w:anchor="P41" w:tooltip="1.4. Субсидия предоставляется на финансовое обеспечение затрат в соответствии со сметой расходов на проведение физкультурных мероприятий (далее - смета), предоставляемой некоммерческой организацией, осуществляющей деятельность в области физической культуры и спорта, на проведение следующих официальных физкультурных мероприятий, включенных в календарный план официальных физкультурных мероприятий и спортивных мероприятий Кировской области: массовая зарядка (не менее 10 мероприятий), &quot;Лыжня России&quot;, &quot;Вечерн...">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3.2. Министерство в течение 10 рабочих дней со дня принятия решения об определении победителя отбора заключает соглашение с получателем субсидии.</w:t>
      </w:r>
    </w:p>
    <w:p>
      <w:pPr>
        <w:pStyle w:val="0"/>
        <w:spacing w:before="200" w:lineRule="auto"/>
        <w:ind w:firstLine="540"/>
        <w:jc w:val="both"/>
      </w:pPr>
      <w:r>
        <w:rPr>
          <w:sz w:val="20"/>
        </w:rPr>
        <w:t xml:space="preserve">Соглашение, дополнительное соглашение, в том числе дополнительное соглашение о расторжении соглашения, заключается в электронном виде в автоматизированной системе управления бюджетным процессом Кировской области в соответствии с типовой формой соглашения о предоставлении субсидии, устанавливаемой министерством финансов Кировской области.</w:t>
      </w:r>
    </w:p>
    <w:bookmarkStart w:id="135" w:name="P135"/>
    <w:bookmarkEnd w:id="135"/>
    <w:p>
      <w:pPr>
        <w:pStyle w:val="0"/>
        <w:spacing w:before="200" w:lineRule="auto"/>
        <w:ind w:firstLine="540"/>
        <w:jc w:val="both"/>
      </w:pPr>
      <w:r>
        <w:rPr>
          <w:sz w:val="20"/>
        </w:rPr>
        <w:t xml:space="preserve">3.3. Условием заключения соглашения является соответствие получателя субсидии требованиям, предусмотренным </w:t>
      </w:r>
      <w:hyperlink w:history="0" w:anchor="P136" w:tooltip="3.3.1. Получатель субсидии не является иностранным юридическим лицом, в том числе офшорной компанией, а также российским юридическим лицом, в уставном (складочном) капитале которой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r>
          <w:rPr>
            <w:sz w:val="20"/>
            <w:color w:val="0000ff"/>
          </w:rPr>
          <w:t xml:space="preserve">подпунктами 3.3.1</w:t>
        </w:r>
      </w:hyperlink>
      <w:r>
        <w:rPr>
          <w:sz w:val="20"/>
        </w:rPr>
        <w:t xml:space="preserve"> - </w:t>
      </w:r>
      <w:hyperlink w:history="0" w:anchor="P144" w:tooltip="3.3.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w:r>
          <w:rPr>
            <w:sz w:val="20"/>
            <w:color w:val="0000ff"/>
          </w:rPr>
          <w:t xml:space="preserve">3.3.9</w:t>
        </w:r>
      </w:hyperlink>
      <w:r>
        <w:rPr>
          <w:sz w:val="20"/>
        </w:rPr>
        <w:t xml:space="preserve"> настоящего Порядка, по состоянию на 1-е число месяца заключения соглашения, за исключением </w:t>
      </w:r>
      <w:hyperlink w:history="0" w:anchor="P141" w:tooltip="3.3.6. На дату формирования справки у получателя субсиди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подпункта 3.3.6</w:t>
        </w:r>
      </w:hyperlink>
      <w:r>
        <w:rPr>
          <w:sz w:val="20"/>
        </w:rPr>
        <w:t xml:space="preserve"> настоящего Порядка.</w:t>
      </w:r>
    </w:p>
    <w:bookmarkStart w:id="136" w:name="P136"/>
    <w:bookmarkEnd w:id="136"/>
    <w:p>
      <w:pPr>
        <w:pStyle w:val="0"/>
        <w:spacing w:before="200" w:lineRule="auto"/>
        <w:ind w:firstLine="540"/>
        <w:jc w:val="both"/>
      </w:pPr>
      <w:r>
        <w:rPr>
          <w:sz w:val="20"/>
        </w:rPr>
        <w:t xml:space="preserve">3.3.1. Получатель субсидии не является иностранным юридическим лицом, в том числе офшорной компанией, а также российским юридическим лицом, в уставном (складочном) капитале которой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pPr>
        <w:pStyle w:val="0"/>
        <w:spacing w:before="200" w:lineRule="auto"/>
        <w:ind w:firstLine="540"/>
        <w:jc w:val="both"/>
      </w:pPr>
      <w:r>
        <w:rPr>
          <w:sz w:val="20"/>
        </w:rPr>
        <w:t xml:space="preserve">3.3.2.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 терроризму.</w:t>
      </w:r>
    </w:p>
    <w:p>
      <w:pPr>
        <w:pStyle w:val="0"/>
        <w:spacing w:before="200" w:lineRule="auto"/>
        <w:ind w:firstLine="540"/>
        <w:jc w:val="both"/>
      </w:pPr>
      <w:r>
        <w:rPr>
          <w:sz w:val="20"/>
        </w:rPr>
        <w:t xml:space="preserve">3.3.3. Получатель субсидии не находится в составляемых в рамках реализации полномочий, предусмотренных </w:t>
      </w:r>
      <w:hyperlink w:history="0" r:id="rId17"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3.3.4. Получатель субсидии не получает средства из областного бюджета на основании иных нормативных правовых актов Кировской области на цель, указанную в </w:t>
      </w:r>
      <w:hyperlink w:history="0" w:anchor="P40" w:tooltip="1.3. Субсидия предоставляется с целью повышения мотивации граждан к регулярным занятиям физической культурой и спортом.">
        <w:r>
          <w:rPr>
            <w:sz w:val="20"/>
            <w:color w:val="0000ff"/>
          </w:rPr>
          <w:t xml:space="preserve">пункте 1.3</w:t>
        </w:r>
      </w:hyperlink>
      <w:r>
        <w:rPr>
          <w:sz w:val="20"/>
        </w:rPr>
        <w:t xml:space="preserve"> настоящего Порядка.</w:t>
      </w:r>
    </w:p>
    <w:bookmarkStart w:id="140" w:name="P140"/>
    <w:bookmarkEnd w:id="140"/>
    <w:p>
      <w:pPr>
        <w:pStyle w:val="0"/>
        <w:spacing w:before="200" w:lineRule="auto"/>
        <w:ind w:firstLine="540"/>
        <w:jc w:val="both"/>
      </w:pPr>
      <w:r>
        <w:rPr>
          <w:sz w:val="20"/>
        </w:rPr>
        <w:t xml:space="preserve">3.3.5. Получатель субсидии не является иностранным агентом в соответствии с Федеральным </w:t>
      </w:r>
      <w:hyperlink w:history="0" r:id="rId1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141" w:name="P141"/>
    <w:bookmarkEnd w:id="141"/>
    <w:p>
      <w:pPr>
        <w:pStyle w:val="0"/>
        <w:spacing w:before="200" w:lineRule="auto"/>
        <w:ind w:firstLine="540"/>
        <w:jc w:val="both"/>
      </w:pPr>
      <w:r>
        <w:rPr>
          <w:sz w:val="20"/>
        </w:rPr>
        <w:t xml:space="preserve">3.3.6. На дату формирования справки у получателя субсидии на едином налоговом счете отсутствует или не превышает размер, определенный </w:t>
      </w:r>
      <w:hyperlink w:history="0" r:id="rId19"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страховых взносов в бюджеты бюджетной системы Российской Федерации.</w:t>
      </w:r>
    </w:p>
    <w:bookmarkStart w:id="142" w:name="P142"/>
    <w:bookmarkEnd w:id="142"/>
    <w:p>
      <w:pPr>
        <w:pStyle w:val="0"/>
        <w:spacing w:before="200" w:lineRule="auto"/>
        <w:ind w:firstLine="540"/>
        <w:jc w:val="both"/>
      </w:pPr>
      <w:r>
        <w:rPr>
          <w:sz w:val="20"/>
        </w:rPr>
        <w:t xml:space="preserve">3.3.7. У получателя субсидии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областным бюджетом.</w:t>
      </w:r>
    </w:p>
    <w:p>
      <w:pPr>
        <w:pStyle w:val="0"/>
        <w:spacing w:before="200" w:lineRule="auto"/>
        <w:ind w:firstLine="540"/>
        <w:jc w:val="both"/>
      </w:pPr>
      <w:r>
        <w:rPr>
          <w:sz w:val="20"/>
        </w:rPr>
        <w:t xml:space="preserve">3.3.8. Получатель субсидии не находится в процессе реорганизации (за исключением реорганизации в форме присоединения к получателю субсидии других юридических лиц), ликвидации, в отношении нее не должна быть введена процедура банкротства, ее деятельность не должна быть приостановлена в порядке, предусмотренном законодательством Российской Федерации.</w:t>
      </w:r>
    </w:p>
    <w:bookmarkStart w:id="144" w:name="P144"/>
    <w:bookmarkEnd w:id="144"/>
    <w:p>
      <w:pPr>
        <w:pStyle w:val="0"/>
        <w:spacing w:before="200" w:lineRule="auto"/>
        <w:ind w:firstLine="540"/>
        <w:jc w:val="both"/>
      </w:pPr>
      <w:r>
        <w:rPr>
          <w:sz w:val="20"/>
        </w:rPr>
        <w:t xml:space="preserve">3.3.9.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w:t>
      </w:r>
    </w:p>
    <w:p>
      <w:pPr>
        <w:pStyle w:val="0"/>
        <w:spacing w:before="200" w:lineRule="auto"/>
        <w:ind w:firstLine="540"/>
        <w:jc w:val="both"/>
      </w:pPr>
      <w:r>
        <w:rPr>
          <w:sz w:val="20"/>
        </w:rPr>
        <w:t xml:space="preserve">3.4. Обязательными условиями, включаемыми в соглашение, являются:</w:t>
      </w:r>
    </w:p>
    <w:p>
      <w:pPr>
        <w:pStyle w:val="0"/>
        <w:spacing w:before="200" w:lineRule="auto"/>
        <w:ind w:firstLine="540"/>
        <w:jc w:val="both"/>
      </w:pPr>
      <w:r>
        <w:rPr>
          <w:sz w:val="20"/>
        </w:rPr>
        <w:t xml:space="preserve">результат и значения результата предоставления субсидии и точная дата его завершения, но не позднее 31 декабря года предоставления субсидии;</w:t>
      </w:r>
    </w:p>
    <w:p>
      <w:pPr>
        <w:pStyle w:val="0"/>
        <w:spacing w:before="200" w:lineRule="auto"/>
        <w:ind w:firstLine="540"/>
        <w:jc w:val="both"/>
      </w:pPr>
      <w:r>
        <w:rPr>
          <w:sz w:val="20"/>
        </w:rPr>
        <w:t xml:space="preserve">срок представления получателем субсидии отчета о достижении значений результата предоставления субсидии, а также отчета об осуществлении расходов, источником финансового обеспечения которых является субсидия, по формам, предусмотренным соглашением в соответствии с типовыми формами, устанавливаемыми министерством финансов Кировской области;</w:t>
      </w:r>
    </w:p>
    <w:p>
      <w:pPr>
        <w:pStyle w:val="0"/>
        <w:spacing w:before="200" w:lineRule="auto"/>
        <w:ind w:firstLine="540"/>
        <w:jc w:val="both"/>
      </w:pPr>
      <w:r>
        <w:rPr>
          <w:sz w:val="20"/>
        </w:rPr>
        <w:t xml:space="preserve">согласие получателя субсидии на осуществление министерством проверки соблюдения условий и порядка предоставления субсидии, в том числе в части достижения значений результата предоставления субсидии, а также проверки органами государственного финансового контроля в соответствии со </w:t>
      </w:r>
      <w:hyperlink w:history="0" r:id="rId2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согласование новых условий соглашения или расторжение соглашения при недостижении согласия по новым условиям соглашения в случае уменьшения министерству как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запрет на приобретение получателем субсидии, иными лицами, получающими средства на основании договоров (соглашений), заключаемых с получателем субсидии,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цели предоставления субсидии, включение получателем субсидии условия о соответствующем запрете в договоры (соглашения), заключаемые ею в целях исполнения обязательств по соглашению;</w:t>
      </w:r>
    </w:p>
    <w:p>
      <w:pPr>
        <w:pStyle w:val="0"/>
        <w:spacing w:before="200" w:lineRule="auto"/>
        <w:ind w:firstLine="540"/>
        <w:jc w:val="both"/>
      </w:pPr>
      <w:r>
        <w:rPr>
          <w:sz w:val="20"/>
        </w:rPr>
        <w:t xml:space="preserve">положения о казначейском сопровождении субсидии в соответствии с бюджетным законодательством Российской Федерации в случае, если получатель субсидии не является социально ориентированной некоммерческой организацией;</w:t>
      </w:r>
    </w:p>
    <w:p>
      <w:pPr>
        <w:pStyle w:val="0"/>
        <w:spacing w:before="200" w:lineRule="auto"/>
        <w:ind w:firstLine="540"/>
        <w:jc w:val="both"/>
      </w:pPr>
      <w:r>
        <w:rPr>
          <w:sz w:val="20"/>
        </w:rPr>
        <w:t xml:space="preserve">смета, являющаяся неотъемлемой частью соглашения.</w:t>
      </w:r>
    </w:p>
    <w:p>
      <w:pPr>
        <w:pStyle w:val="0"/>
        <w:spacing w:before="200" w:lineRule="auto"/>
        <w:ind w:firstLine="540"/>
        <w:jc w:val="both"/>
      </w:pPr>
      <w:r>
        <w:rPr>
          <w:sz w:val="20"/>
        </w:rPr>
        <w:t xml:space="preserve">Обязательство получателя субсидии включать в договоры (соглашения), заключенные им в целях исполнения обязательств по договору (соглашению), условие о согласии лиц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некоммерческих организаций с участием таких товариществ и обществ в их уставных (складочных) капиталах), являющихся поставщиками (подрядчиками, исполнителями) по договорам (соглашениям), на осуществление в отношении них министерством проверки соблюдения порядка и условий предоставления субсидии, в том числе в части достижения значений результата предоставления субсидии, а также уполномоченными органами государственного финансового контроля - проверки в соответствии со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а также на предоставление отчета о достижении значений результата предоставления субсидии.</w:t>
      </w:r>
    </w:p>
    <w:p>
      <w:pPr>
        <w:pStyle w:val="0"/>
        <w:spacing w:before="200" w:lineRule="auto"/>
        <w:ind w:firstLine="540"/>
        <w:jc w:val="both"/>
      </w:pPr>
      <w:r>
        <w:rPr>
          <w:sz w:val="20"/>
        </w:rPr>
        <w:t xml:space="preserve">3.5.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3.6. Соглашение подлежит расторжению:</w:t>
      </w:r>
    </w:p>
    <w:p>
      <w:pPr>
        <w:pStyle w:val="0"/>
        <w:spacing w:before="200" w:lineRule="auto"/>
        <w:ind w:firstLine="540"/>
        <w:jc w:val="both"/>
      </w:pPr>
      <w:r>
        <w:rPr>
          <w:sz w:val="20"/>
        </w:rPr>
        <w:t xml:space="preserve">3.6.1. В случае недостижения согласия по новым условиям соглашения при уменьшении министерству как главному распорядителю бюджетных средств бюджетных ассигнований и лимитов бюджетных обязательств, доведенных на текущий финансовый год, приводящем к невозможности предоставления субсидии получателю субсидии в размере, определенном в соглашении.</w:t>
      </w:r>
    </w:p>
    <w:p>
      <w:pPr>
        <w:pStyle w:val="0"/>
        <w:spacing w:before="200" w:lineRule="auto"/>
        <w:ind w:firstLine="540"/>
        <w:jc w:val="both"/>
      </w:pPr>
      <w:r>
        <w:rPr>
          <w:sz w:val="20"/>
        </w:rPr>
        <w:t xml:space="preserve">3.6.2. 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bookmarkStart w:id="158" w:name="P158"/>
    <w:bookmarkEnd w:id="158"/>
    <w:p>
      <w:pPr>
        <w:pStyle w:val="0"/>
        <w:spacing w:before="200" w:lineRule="auto"/>
        <w:ind w:firstLine="540"/>
        <w:jc w:val="both"/>
      </w:pPr>
      <w:r>
        <w:rPr>
          <w:sz w:val="20"/>
        </w:rPr>
        <w:t xml:space="preserve">3.7. Получатель субсидии в течение 3 рабочих дней со дня получения от министерства уведомления о признании некоммерческой организации победителем отбора и предложения о заключении соглашения представляет в министерство:</w:t>
      </w:r>
    </w:p>
    <w:p>
      <w:pPr>
        <w:pStyle w:val="0"/>
        <w:spacing w:before="200" w:lineRule="auto"/>
        <w:ind w:firstLine="540"/>
        <w:jc w:val="both"/>
      </w:pPr>
      <w:r>
        <w:rPr>
          <w:sz w:val="20"/>
        </w:rPr>
        <w:t xml:space="preserve">справки, подписанные руководителем некоммерческой организации, подтверждающие соответствие получателя субсидии требованиям, указанным в </w:t>
      </w:r>
      <w:hyperlink w:history="0" w:anchor="P136" w:tooltip="3.3.1. Получатель субсидии не является иностранным юридическим лицом, в том числе офшорной компанией, а также российским юридическим лицом, в уставном (складочном) капитале которой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r>
          <w:rPr>
            <w:sz w:val="20"/>
            <w:color w:val="0000ff"/>
          </w:rPr>
          <w:t xml:space="preserve">подпунктах 3.3.1</w:t>
        </w:r>
      </w:hyperlink>
      <w:r>
        <w:rPr>
          <w:sz w:val="20"/>
        </w:rPr>
        <w:t xml:space="preserve"> - </w:t>
      </w:r>
      <w:hyperlink w:history="0" w:anchor="P140" w:tooltip="3.3.5. Получатель субсидии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3.3.5</w:t>
        </w:r>
      </w:hyperlink>
      <w:r>
        <w:rPr>
          <w:sz w:val="20"/>
        </w:rPr>
        <w:t xml:space="preserve">, </w:t>
      </w:r>
      <w:hyperlink w:history="0" w:anchor="P142" w:tooltip="3.3.7. У получателя субсид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областным бюджетом.">
        <w:r>
          <w:rPr>
            <w:sz w:val="20"/>
            <w:color w:val="0000ff"/>
          </w:rPr>
          <w:t xml:space="preserve">3.3.7</w:t>
        </w:r>
      </w:hyperlink>
      <w:r>
        <w:rPr>
          <w:sz w:val="20"/>
        </w:rPr>
        <w:t xml:space="preserve"> - </w:t>
      </w:r>
      <w:hyperlink w:history="0" w:anchor="P144" w:tooltip="3.3.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w:r>
          <w:rPr>
            <w:sz w:val="20"/>
            <w:color w:val="0000ff"/>
          </w:rPr>
          <w:t xml:space="preserve">3.3.9</w:t>
        </w:r>
      </w:hyperlink>
      <w:r>
        <w:rPr>
          <w:sz w:val="20"/>
        </w:rPr>
        <w:t xml:space="preserve"> настоящего Порядка. Для подтверждения соответствия получателя субсидии требованию, указанному в </w:t>
      </w:r>
      <w:hyperlink w:history="0" w:anchor="P141" w:tooltip="3.3.6. На дату формирования справки у получателя субсиди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подпункте 3.3.6</w:t>
        </w:r>
      </w:hyperlink>
      <w:r>
        <w:rPr>
          <w:sz w:val="20"/>
        </w:rPr>
        <w:t xml:space="preserve"> настоящего Порядка, представляется соответствующая справка, выданная территориальным органом Федеральной налоговой службы.</w:t>
      </w:r>
    </w:p>
    <w:bookmarkStart w:id="160" w:name="P160"/>
    <w:bookmarkEnd w:id="160"/>
    <w:p>
      <w:pPr>
        <w:pStyle w:val="0"/>
        <w:spacing w:before="200" w:lineRule="auto"/>
        <w:ind w:firstLine="540"/>
        <w:jc w:val="both"/>
      </w:pPr>
      <w:r>
        <w:rPr>
          <w:sz w:val="20"/>
        </w:rPr>
        <w:t xml:space="preserve">3.8. Министерство в течение 3 рабочих дней со дня получения документов, указанных в </w:t>
      </w:r>
      <w:hyperlink w:history="0" w:anchor="P158" w:tooltip="3.7. Получатель субсидии в течение 3 рабочих дней со дня получения от министерства уведомления о признании некоммерческой организации победителем отбора и предложения о заключении соглашения представляет в министерство:">
        <w:r>
          <w:rPr>
            <w:sz w:val="20"/>
            <w:color w:val="0000ff"/>
          </w:rPr>
          <w:t xml:space="preserve">пункте 3.7</w:t>
        </w:r>
      </w:hyperlink>
      <w:r>
        <w:rPr>
          <w:sz w:val="20"/>
        </w:rPr>
        <w:t xml:space="preserve"> настоящего Порядка, рассматривает их на предмет комплектности и достоверности и при отсутствии оснований для отказа в предоставлении субсидии, предусмотренных </w:t>
      </w:r>
      <w:hyperlink w:history="0" w:anchor="P161" w:tooltip="3.9. Основаниями для отказа в предоставлении субсидии являются:">
        <w:r>
          <w:rPr>
            <w:sz w:val="20"/>
            <w:color w:val="0000ff"/>
          </w:rPr>
          <w:t xml:space="preserve">пунктом 3.9</w:t>
        </w:r>
      </w:hyperlink>
      <w:r>
        <w:rPr>
          <w:sz w:val="20"/>
        </w:rPr>
        <w:t xml:space="preserve"> настоящего Порядка, направляет получателю субсидии проект соглашения для подписания. При наличии оснований для отказа в предоставлении субсидии, предусмотренных </w:t>
      </w:r>
      <w:hyperlink w:history="0" w:anchor="P161" w:tooltip="3.9. Основаниями для отказа в предоставлении субсидии являются:">
        <w:r>
          <w:rPr>
            <w:sz w:val="20"/>
            <w:color w:val="0000ff"/>
          </w:rPr>
          <w:t xml:space="preserve">пунктом 3.9</w:t>
        </w:r>
      </w:hyperlink>
      <w:r>
        <w:rPr>
          <w:sz w:val="20"/>
        </w:rPr>
        <w:t xml:space="preserve"> настоящего Порядка, министерство в течение 3 рабочих дней со дня рассмотрения указанных документов направляет получателю субсидии уведомление об отказе в предоставлении субсидии, в котором указывается причина отказа.</w:t>
      </w:r>
    </w:p>
    <w:bookmarkStart w:id="161" w:name="P161"/>
    <w:bookmarkEnd w:id="161"/>
    <w:p>
      <w:pPr>
        <w:pStyle w:val="0"/>
        <w:spacing w:before="200" w:lineRule="auto"/>
        <w:ind w:firstLine="540"/>
        <w:jc w:val="both"/>
      </w:pPr>
      <w:r>
        <w:rPr>
          <w:sz w:val="20"/>
        </w:rPr>
        <w:t xml:space="preserve">3.9. Основаниями для отказа в предоставлении субсидии являются:</w:t>
      </w:r>
    </w:p>
    <w:p>
      <w:pPr>
        <w:pStyle w:val="0"/>
        <w:spacing w:before="200" w:lineRule="auto"/>
        <w:ind w:firstLine="540"/>
        <w:jc w:val="both"/>
      </w:pPr>
      <w:r>
        <w:rPr>
          <w:sz w:val="20"/>
        </w:rPr>
        <w:t xml:space="preserve">несоответствие получателя субсидии требованиям, указанным в </w:t>
      </w:r>
      <w:hyperlink w:history="0" w:anchor="P135" w:tooltip="3.3. Условием заключения соглашения является соответствие получателя субсидии требованиям, предусмотренным подпунктами 3.3.1 - 3.3.9 настоящего Порядка, по состоянию на 1-е число месяца заключения соглашения, за исключением подпункта 3.3.6 настоящего Порядка.">
        <w:r>
          <w:rPr>
            <w:sz w:val="20"/>
            <w:color w:val="0000ff"/>
          </w:rPr>
          <w:t xml:space="preserve">пункте 3.3</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w:t>
      </w:r>
      <w:hyperlink w:history="0" w:anchor="P158" w:tooltip="3.7. Получатель субсидии в течение 3 рабочих дней со дня получения от министерства уведомления о признании некоммерческой организации победителем отбора и предложения о заключении соглашения представляет в министерство:">
        <w:r>
          <w:rPr>
            <w:sz w:val="20"/>
            <w:color w:val="0000ff"/>
          </w:rPr>
          <w:t xml:space="preserve">пункте 3.7</w:t>
        </w:r>
      </w:hyperlink>
      <w:r>
        <w:rPr>
          <w:sz w:val="20"/>
        </w:rPr>
        <w:t xml:space="preserve"> настоящего Порядка.</w:t>
      </w:r>
    </w:p>
    <w:p>
      <w:pPr>
        <w:pStyle w:val="0"/>
        <w:spacing w:before="200" w:lineRule="auto"/>
        <w:ind w:firstLine="540"/>
        <w:jc w:val="both"/>
      </w:pPr>
      <w:r>
        <w:rPr>
          <w:sz w:val="20"/>
        </w:rPr>
        <w:t xml:space="preserve">Представленные повторно документы министерство рассматривает в срок, установленный </w:t>
      </w:r>
      <w:hyperlink w:history="0" w:anchor="P160" w:tooltip="3.8. Министерство в течение 3 рабочих дней со дня получения документов, указанных в пункте 3.7 настоящего Порядка, рассматривает их на предмет комплектности и достоверности и при отсутствии оснований для отказа в предоставлении субсидии, предусмотренных пунктом 3.9 настоящего Порядка, направляет получателю субсидии проект соглашения для подписания. При наличии оснований для отказа в предоставлении субсидии, предусмотренных пунктом 3.9 настоящего Порядка, министерство в течение 3 рабочих дней со дня рассм...">
        <w:r>
          <w:rPr>
            <w:sz w:val="20"/>
            <w:color w:val="0000ff"/>
          </w:rPr>
          <w:t xml:space="preserve">пунктом 3.8</w:t>
        </w:r>
      </w:hyperlink>
      <w:r>
        <w:rPr>
          <w:sz w:val="20"/>
        </w:rPr>
        <w:t xml:space="preserve"> настоящего Порядка.</w:t>
      </w:r>
    </w:p>
    <w:p>
      <w:pPr>
        <w:pStyle w:val="0"/>
        <w:spacing w:before="200" w:lineRule="auto"/>
        <w:ind w:firstLine="540"/>
        <w:jc w:val="both"/>
      </w:pPr>
      <w:r>
        <w:rPr>
          <w:sz w:val="20"/>
        </w:rPr>
        <w:t xml:space="preserve">3.10. Получатель субсидии в течение 3 рабочих дней со дня получения проекта соглашения подписывает соглашение.</w:t>
      </w:r>
    </w:p>
    <w:p>
      <w:pPr>
        <w:pStyle w:val="0"/>
        <w:spacing w:before="200" w:lineRule="auto"/>
        <w:ind w:firstLine="540"/>
        <w:jc w:val="both"/>
      </w:pPr>
      <w:r>
        <w:rPr>
          <w:sz w:val="20"/>
        </w:rPr>
        <w:t xml:space="preserve">3.11. Министерство в течение 5 рабочих дней со дня подписания получателем субсидии соглашения подписывает соглашение.</w:t>
      </w:r>
    </w:p>
    <w:p>
      <w:pPr>
        <w:pStyle w:val="0"/>
        <w:spacing w:before="200" w:lineRule="auto"/>
        <w:ind w:firstLine="540"/>
        <w:jc w:val="both"/>
      </w:pPr>
      <w:r>
        <w:rPr>
          <w:sz w:val="20"/>
        </w:rPr>
        <w:t xml:space="preserve">Датой заключения соглашения считается дата его подписания министерством.</w:t>
      </w:r>
    </w:p>
    <w:p>
      <w:pPr>
        <w:pStyle w:val="0"/>
        <w:spacing w:before="200" w:lineRule="auto"/>
        <w:ind w:firstLine="540"/>
        <w:jc w:val="both"/>
      </w:pPr>
      <w:r>
        <w:rPr>
          <w:sz w:val="20"/>
        </w:rPr>
        <w:t xml:space="preserve">3.12. Получатель субсидии считается уклонившимся от заключения соглашения, если в течение 3 рабочих дней со дня получения проекта соглашения не подпишет его.</w:t>
      </w:r>
    </w:p>
    <w:bookmarkStart w:id="169" w:name="P169"/>
    <w:bookmarkEnd w:id="169"/>
    <w:p>
      <w:pPr>
        <w:pStyle w:val="0"/>
        <w:spacing w:before="200" w:lineRule="auto"/>
        <w:ind w:firstLine="540"/>
        <w:jc w:val="both"/>
      </w:pPr>
      <w:r>
        <w:rPr>
          <w:sz w:val="20"/>
        </w:rPr>
        <w:t xml:space="preserve">3.13. Для перечисления субсидии получатель субсидии представляет в министерство:</w:t>
      </w:r>
    </w:p>
    <w:p>
      <w:pPr>
        <w:pStyle w:val="0"/>
        <w:spacing w:before="200" w:lineRule="auto"/>
        <w:ind w:firstLine="540"/>
        <w:jc w:val="both"/>
      </w:pPr>
      <w:hyperlink w:history="0" w:anchor="P222" w:tooltip="ЗАЯВКА">
        <w:r>
          <w:rPr>
            <w:sz w:val="20"/>
            <w:color w:val="0000ff"/>
          </w:rPr>
          <w:t xml:space="preserve">заявку</w:t>
        </w:r>
      </w:hyperlink>
      <w:r>
        <w:rPr>
          <w:sz w:val="20"/>
        </w:rPr>
        <w:t xml:space="preserve"> на перечисление субсидии из областного бюджета некоммерческой организации, осуществляющей деятельность в области физической культуры и спорта, согласно приложению;</w:t>
      </w:r>
    </w:p>
    <w:p>
      <w:pPr>
        <w:pStyle w:val="0"/>
        <w:spacing w:before="200" w:lineRule="auto"/>
        <w:ind w:firstLine="540"/>
        <w:jc w:val="both"/>
      </w:pPr>
      <w:r>
        <w:rPr>
          <w:sz w:val="20"/>
        </w:rPr>
        <w:t xml:space="preserve">документы, подтверждающие возникновение денежных обязательств.</w:t>
      </w:r>
    </w:p>
    <w:bookmarkStart w:id="172" w:name="P172"/>
    <w:bookmarkEnd w:id="172"/>
    <w:p>
      <w:pPr>
        <w:pStyle w:val="0"/>
        <w:spacing w:before="200" w:lineRule="auto"/>
        <w:ind w:firstLine="540"/>
        <w:jc w:val="both"/>
      </w:pPr>
      <w:r>
        <w:rPr>
          <w:sz w:val="20"/>
        </w:rPr>
        <w:t xml:space="preserve">3.14. Министерство в течение 5 рабочих дней после представления получателем субсидии документов, указанных в </w:t>
      </w:r>
      <w:hyperlink w:history="0" w:anchor="P169" w:tooltip="3.13. Для перечисления субсидии получатель субсидии представляет в министерство:">
        <w:r>
          <w:rPr>
            <w:sz w:val="20"/>
            <w:color w:val="0000ff"/>
          </w:rPr>
          <w:t xml:space="preserve">пункте 3.13</w:t>
        </w:r>
      </w:hyperlink>
      <w:r>
        <w:rPr>
          <w:sz w:val="20"/>
        </w:rPr>
        <w:t xml:space="preserve"> настоящего Порядка:</w:t>
      </w:r>
    </w:p>
    <w:p>
      <w:pPr>
        <w:pStyle w:val="0"/>
        <w:spacing w:before="200" w:lineRule="auto"/>
        <w:ind w:firstLine="540"/>
        <w:jc w:val="both"/>
      </w:pPr>
      <w:r>
        <w:rPr>
          <w:sz w:val="20"/>
        </w:rPr>
        <w:t xml:space="preserve">3.14.1. Осуществляет проверку документов на предмет комплектности и достоверности информации, содержащейся в них.</w:t>
      </w:r>
    </w:p>
    <w:bookmarkStart w:id="174" w:name="P174"/>
    <w:bookmarkEnd w:id="174"/>
    <w:p>
      <w:pPr>
        <w:pStyle w:val="0"/>
        <w:spacing w:before="200" w:lineRule="auto"/>
        <w:ind w:firstLine="540"/>
        <w:jc w:val="both"/>
      </w:pPr>
      <w:r>
        <w:rPr>
          <w:sz w:val="20"/>
        </w:rPr>
        <w:t xml:space="preserve">3.14.2. Принимает решение о перечислении субсидии получателю субсидии либо об отказе в перечислении субсидии получателю субсидии.</w:t>
      </w:r>
    </w:p>
    <w:p>
      <w:pPr>
        <w:pStyle w:val="0"/>
        <w:spacing w:before="200" w:lineRule="auto"/>
        <w:ind w:firstLine="540"/>
        <w:jc w:val="both"/>
      </w:pPr>
      <w:r>
        <w:rPr>
          <w:sz w:val="20"/>
        </w:rPr>
        <w:t xml:space="preserve">3.14.3. В случае принятия решения об отказе в перечислении субсидии получателю субсидии в течение 7 рабочих дней со дня принятия соответствующего решения в уведомлении, оформленном в письменном виде, указывает причину отказа и разъясняет порядок обжалования данного решения.</w:t>
      </w:r>
    </w:p>
    <w:p>
      <w:pPr>
        <w:pStyle w:val="0"/>
        <w:spacing w:before="200" w:lineRule="auto"/>
        <w:ind w:firstLine="540"/>
        <w:jc w:val="both"/>
      </w:pPr>
      <w:r>
        <w:rPr>
          <w:sz w:val="20"/>
        </w:rPr>
        <w:t xml:space="preserve">3.15. Основанием для отказа в перечислении субсидии получателю субсидии является непредставление (представление не в полном объеме) документов, указанных в </w:t>
      </w:r>
      <w:hyperlink w:history="0" w:anchor="P169" w:tooltip="3.13. Для перечисления субсидии получатель субсидии представляет в министерство:">
        <w:r>
          <w:rPr>
            <w:sz w:val="20"/>
            <w:color w:val="0000ff"/>
          </w:rPr>
          <w:t xml:space="preserve">пункте 3.13</w:t>
        </w:r>
      </w:hyperlink>
      <w:r>
        <w:rPr>
          <w:sz w:val="20"/>
        </w:rPr>
        <w:t xml:space="preserve"> настоящего Порядка.</w:t>
      </w:r>
    </w:p>
    <w:p>
      <w:pPr>
        <w:pStyle w:val="0"/>
        <w:spacing w:before="200" w:lineRule="auto"/>
        <w:ind w:firstLine="540"/>
        <w:jc w:val="both"/>
      </w:pPr>
      <w:r>
        <w:rPr>
          <w:sz w:val="20"/>
        </w:rPr>
        <w:t xml:space="preserve">Представленные повторно документы министерство рассматривает в срок, установленный </w:t>
      </w:r>
      <w:hyperlink w:history="0" w:anchor="P172" w:tooltip="3.14. Министерство в течение 5 рабочих дней после представления получателем субсидии документов, указанных в пункте 3.13 настоящего Порядка:">
        <w:r>
          <w:rPr>
            <w:sz w:val="20"/>
            <w:color w:val="0000ff"/>
          </w:rPr>
          <w:t xml:space="preserve">пунктом 3.14</w:t>
        </w:r>
      </w:hyperlink>
      <w:r>
        <w:rPr>
          <w:sz w:val="20"/>
        </w:rPr>
        <w:t xml:space="preserve"> настоящего Порядка.</w:t>
      </w:r>
    </w:p>
    <w:p>
      <w:pPr>
        <w:pStyle w:val="0"/>
        <w:spacing w:before="200" w:lineRule="auto"/>
        <w:ind w:firstLine="540"/>
        <w:jc w:val="both"/>
      </w:pPr>
      <w:r>
        <w:rPr>
          <w:sz w:val="20"/>
        </w:rPr>
        <w:t xml:space="preserve">3.16. В случае принятия решения о перечислении субсидии получателю субсидии согласно </w:t>
      </w:r>
      <w:hyperlink w:history="0" w:anchor="P174" w:tooltip="3.14.2. Принимает решение о перечислении субсидии получателю субсидии либо об отказе в перечислении субсидии получателю субсидии.">
        <w:r>
          <w:rPr>
            <w:sz w:val="20"/>
            <w:color w:val="0000ff"/>
          </w:rPr>
          <w:t xml:space="preserve">подпункту 3.14.2</w:t>
        </w:r>
      </w:hyperlink>
      <w:r>
        <w:rPr>
          <w:sz w:val="20"/>
        </w:rPr>
        <w:t xml:space="preserve"> настоящего Порядка министерство в течение 10 рабочих дней со дня принятия такого решения производит перечисление денежных средств на лицевой счет для учета операций со средствами участников казначейского сопровождения, открытый получателю субсидии в министерстве финансов Кировской области, или на расчетный счет, открытый получателю субсидии в кредитной организации, в случае, если получатель субсидии является социально ориентированной некоммерческой организацией.</w:t>
      </w:r>
    </w:p>
    <w:p>
      <w:pPr>
        <w:pStyle w:val="0"/>
        <w:spacing w:before="200" w:lineRule="auto"/>
        <w:ind w:firstLine="540"/>
        <w:jc w:val="both"/>
      </w:pPr>
      <w:r>
        <w:rPr>
          <w:sz w:val="20"/>
        </w:rPr>
        <w:t xml:space="preserve">3.17. Результатом предоставления субсидии является количество проведенных физкультурных мероприятий. Значения результата субсидии устанавливаются соглашением.</w:t>
      </w:r>
    </w:p>
    <w:p>
      <w:pPr>
        <w:pStyle w:val="0"/>
        <w:spacing w:before="200" w:lineRule="auto"/>
        <w:ind w:firstLine="540"/>
        <w:jc w:val="both"/>
      </w:pPr>
      <w:r>
        <w:rPr>
          <w:sz w:val="20"/>
        </w:rPr>
        <w:t xml:space="preserve">Типом результата предоставления субсидии является оказание услуг (выполнение работ).</w:t>
      </w:r>
    </w:p>
    <w:p>
      <w:pPr>
        <w:pStyle w:val="0"/>
        <w:spacing w:before="200" w:lineRule="auto"/>
        <w:ind w:firstLine="540"/>
        <w:jc w:val="both"/>
      </w:pPr>
      <w:r>
        <w:rPr>
          <w:sz w:val="20"/>
        </w:rPr>
        <w:t xml:space="preserve">3.18. Не использованные по состоянию на 1 января текущего финансового года остатки субсидии подлежат возврату в областной бюджет до 1 февраля очередного финансового года.</w:t>
      </w:r>
    </w:p>
    <w:p>
      <w:pPr>
        <w:pStyle w:val="0"/>
        <w:jc w:val="both"/>
      </w:pPr>
      <w:r>
        <w:rPr>
          <w:sz w:val="20"/>
        </w:rPr>
      </w:r>
    </w:p>
    <w:p>
      <w:pPr>
        <w:pStyle w:val="2"/>
        <w:outlineLvl w:val="1"/>
        <w:ind w:firstLine="540"/>
        <w:jc w:val="both"/>
      </w:pPr>
      <w:r>
        <w:rPr>
          <w:sz w:val="20"/>
        </w:rPr>
        <w:t xml:space="preserve">4. Требования к отчетности</w:t>
      </w:r>
    </w:p>
    <w:p>
      <w:pPr>
        <w:pStyle w:val="0"/>
        <w:jc w:val="both"/>
      </w:pPr>
      <w:r>
        <w:rPr>
          <w:sz w:val="20"/>
        </w:rPr>
      </w:r>
    </w:p>
    <w:p>
      <w:pPr>
        <w:pStyle w:val="0"/>
        <w:ind w:firstLine="540"/>
        <w:jc w:val="both"/>
      </w:pPr>
      <w:r>
        <w:rPr>
          <w:sz w:val="20"/>
        </w:rPr>
        <w:t xml:space="preserve">4.1. Получатель субсидии ежеквартально, не позднее 20-го числа месяца, следующего за отчетным кварталом, представляет в министерство отчет о достижении значений результата предоставления субсидии, отчет об осуществлении расходов, источником финансового обеспечения которых является субсидия (далее - отчеты), по формам, предусмотренным типовыми формами, устанавливаемыми министерством финансов Кировской области.</w:t>
      </w:r>
    </w:p>
    <w:p>
      <w:pPr>
        <w:pStyle w:val="0"/>
        <w:spacing w:before="200" w:lineRule="auto"/>
        <w:ind w:firstLine="540"/>
        <w:jc w:val="both"/>
      </w:pPr>
      <w:r>
        <w:rPr>
          <w:sz w:val="20"/>
        </w:rPr>
        <w:t xml:space="preserve">4.2. Министерство:</w:t>
      </w:r>
    </w:p>
    <w:p>
      <w:pPr>
        <w:pStyle w:val="0"/>
        <w:spacing w:before="200" w:lineRule="auto"/>
        <w:ind w:firstLine="540"/>
        <w:jc w:val="both"/>
      </w:pPr>
      <w:r>
        <w:rPr>
          <w:sz w:val="20"/>
        </w:rPr>
        <w:t xml:space="preserve">4.2.1. В течение 15 рабочих дней после получения отчетов проверяет полноту и достоверность сведений, указанных в них.</w:t>
      </w:r>
    </w:p>
    <w:p>
      <w:pPr>
        <w:pStyle w:val="0"/>
        <w:spacing w:before="200" w:lineRule="auto"/>
        <w:ind w:firstLine="540"/>
        <w:jc w:val="both"/>
      </w:pPr>
      <w:r>
        <w:rPr>
          <w:sz w:val="20"/>
        </w:rPr>
        <w:t xml:space="preserve">4.2.2. В случае выявления неполноты и недостоверности сведений, содержащихся в отчетах, в течение 5 рабочих дней со дня окончания проверки полноты и достоверности сведений, указанных в них, сообщает получателю субсидии об отказе в принятии отчетов и необходимости их доработки в течение 5 рабочих дней со дня направления министерством информации об отказе в принятии отчетов.</w:t>
      </w:r>
    </w:p>
    <w:p>
      <w:pPr>
        <w:pStyle w:val="0"/>
        <w:spacing w:before="200" w:lineRule="auto"/>
        <w:ind w:firstLine="540"/>
        <w:jc w:val="both"/>
      </w:pPr>
      <w:r>
        <w:rPr>
          <w:sz w:val="20"/>
        </w:rPr>
        <w:t xml:space="preserve">4.2.3. В случае достаточности и достоверности сведений, содержащихся в отчетах, в течение 5 рабочих дней со дня окончания проверки полноты и достоверности сведений принимает отчеты.</w:t>
      </w:r>
    </w:p>
    <w:p>
      <w:pPr>
        <w:pStyle w:val="0"/>
        <w:jc w:val="both"/>
      </w:pPr>
      <w:r>
        <w:rPr>
          <w:sz w:val="20"/>
        </w:rPr>
      </w:r>
    </w:p>
    <w:p>
      <w:pPr>
        <w:pStyle w:val="2"/>
        <w:outlineLvl w:val="1"/>
        <w:ind w:firstLine="540"/>
        <w:jc w:val="both"/>
      </w:pPr>
      <w:r>
        <w:rPr>
          <w:sz w:val="20"/>
        </w:rPr>
        <w:t xml:space="preserve">5. Контроль (мониторинг) за соблюдением условий и порядка предоставления субсидии и ответственность за их нарушение</w:t>
      </w:r>
    </w:p>
    <w:p>
      <w:pPr>
        <w:pStyle w:val="0"/>
        <w:jc w:val="both"/>
      </w:pPr>
      <w:r>
        <w:rPr>
          <w:sz w:val="20"/>
        </w:rPr>
      </w:r>
    </w:p>
    <w:p>
      <w:pPr>
        <w:pStyle w:val="0"/>
        <w:ind w:firstLine="540"/>
        <w:jc w:val="both"/>
      </w:pPr>
      <w:r>
        <w:rPr>
          <w:sz w:val="20"/>
        </w:rPr>
        <w:t xml:space="preserve">5.1. Министерство как получатель бюджетных средств осуществляет проверку соблюдения получателем субсидии условий и порядка предоставления субсидии, в том числе в части достижения результата предоставления субсидии, а также проверку осуществляют органы государственного финансового контроля в соответствии со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5.2. Нарушение получателем субсидии условий и порядка предоставления субсидии влечет возврат субсидии в областной бюджет.</w:t>
      </w:r>
    </w:p>
    <w:p>
      <w:pPr>
        <w:pStyle w:val="0"/>
        <w:spacing w:before="200" w:lineRule="auto"/>
        <w:ind w:firstLine="540"/>
        <w:jc w:val="both"/>
      </w:pPr>
      <w:r>
        <w:rPr>
          <w:sz w:val="20"/>
        </w:rPr>
        <w:t xml:space="preserve">5.3. В случае выявления министерством, органами государственного финансового контроля нарушений условий и порядка предоставления субсидии:</w:t>
      </w:r>
    </w:p>
    <w:p>
      <w:pPr>
        <w:pStyle w:val="0"/>
        <w:spacing w:before="200" w:lineRule="auto"/>
        <w:ind w:firstLine="540"/>
        <w:jc w:val="both"/>
      </w:pPr>
      <w:r>
        <w:rPr>
          <w:sz w:val="20"/>
        </w:rPr>
        <w:t xml:space="preserve">министерство в течение 30 рабочих дней со дня выявления нарушения направляет получателю субсидии письмо с требованием о возврате средств субсидии в областной бюджет в течение 30 календарных дней со дня получения указанного письма;</w:t>
      </w:r>
    </w:p>
    <w:p>
      <w:pPr>
        <w:pStyle w:val="0"/>
        <w:spacing w:before="200" w:lineRule="auto"/>
        <w:ind w:firstLine="540"/>
        <w:jc w:val="both"/>
      </w:pPr>
      <w:r>
        <w:rPr>
          <w:sz w:val="20"/>
        </w:rPr>
        <w:t xml:space="preserve">в случае невозврата в установленный министерством срок в областной бюджет субсидии министерство готовит и направляет в течение 30 рабочих дней после истечения установленного срока в суд исковое заявление о взыскании в областной бюджет субсидии с получателя субсидии.</w:t>
      </w:r>
    </w:p>
    <w:bookmarkStart w:id="198" w:name="P198"/>
    <w:bookmarkEnd w:id="198"/>
    <w:p>
      <w:pPr>
        <w:pStyle w:val="0"/>
        <w:spacing w:before="200" w:lineRule="auto"/>
        <w:ind w:firstLine="540"/>
        <w:jc w:val="both"/>
      </w:pPr>
      <w:r>
        <w:rPr>
          <w:sz w:val="20"/>
        </w:rPr>
        <w:t xml:space="preserve">5.4. В случае если получателем субсидии по состоянию на 31 декабря года предоставления субсидии не достигнуты значения результата предоставления субсидии, установленные соглашением, то до 1 мая текущего финансового года в областной бюджет подлежит возврату объем средств, определяемый по формуле:</w:t>
      </w:r>
    </w:p>
    <w:p>
      <w:pPr>
        <w:pStyle w:val="0"/>
        <w:jc w:val="both"/>
      </w:pPr>
      <w:r>
        <w:rPr>
          <w:sz w:val="20"/>
        </w:rPr>
      </w:r>
    </w:p>
    <w:p>
      <w:pPr>
        <w:pStyle w:val="0"/>
        <w:jc w:val="center"/>
      </w:pPr>
      <w:r>
        <w:rPr>
          <w:position w:val="-28"/>
        </w:rPr>
        <w:drawing>
          <wp:inline distT="0" distB="0" distL="0" distR="0">
            <wp:extent cx="1257300"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257300" cy="4857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в</w:t>
      </w:r>
      <w:r>
        <w:rPr>
          <w:sz w:val="20"/>
        </w:rPr>
        <w:t xml:space="preserve"> - объем средств, подлежащих возврату в областной бюджет (рублей);</w:t>
      </w:r>
    </w:p>
    <w:p>
      <w:pPr>
        <w:pStyle w:val="0"/>
        <w:spacing w:before="200" w:lineRule="auto"/>
        <w:ind w:firstLine="540"/>
        <w:jc w:val="both"/>
      </w:pPr>
      <w:r>
        <w:rPr>
          <w:sz w:val="20"/>
        </w:rPr>
        <w:t xml:space="preserve">V</w:t>
      </w:r>
      <w:r>
        <w:rPr>
          <w:sz w:val="20"/>
          <w:vertAlign w:val="subscript"/>
        </w:rPr>
        <w:t xml:space="preserve">с</w:t>
      </w:r>
      <w:r>
        <w:rPr>
          <w:sz w:val="20"/>
        </w:rPr>
        <w:t xml:space="preserve"> - размер субсидии, предоставленной получателю субсидии (рублей);</w:t>
      </w:r>
    </w:p>
    <w:p>
      <w:pPr>
        <w:pStyle w:val="0"/>
        <w:spacing w:before="200" w:lineRule="auto"/>
        <w:ind w:firstLine="540"/>
        <w:jc w:val="both"/>
      </w:pPr>
      <w:r>
        <w:rPr>
          <w:sz w:val="20"/>
        </w:rPr>
        <w:t xml:space="preserve">P</w:t>
      </w:r>
      <w:r>
        <w:rPr>
          <w:sz w:val="20"/>
          <w:vertAlign w:val="subscript"/>
        </w:rPr>
        <w:t xml:space="preserve">ф</w:t>
      </w:r>
      <w:r>
        <w:rPr>
          <w:sz w:val="20"/>
        </w:rPr>
        <w:t xml:space="preserve"> - фактическое значение результата предоставления субсидии;</w:t>
      </w:r>
    </w:p>
    <w:p>
      <w:pPr>
        <w:pStyle w:val="0"/>
        <w:spacing w:before="200" w:lineRule="auto"/>
        <w:ind w:firstLine="540"/>
        <w:jc w:val="both"/>
      </w:pPr>
      <w:r>
        <w:rPr>
          <w:sz w:val="20"/>
        </w:rPr>
        <w:t xml:space="preserve">P</w:t>
      </w:r>
      <w:r>
        <w:rPr>
          <w:sz w:val="20"/>
          <w:vertAlign w:val="subscript"/>
        </w:rPr>
        <w:t xml:space="preserve">пл</w:t>
      </w:r>
      <w:r>
        <w:rPr>
          <w:sz w:val="20"/>
        </w:rPr>
        <w:t xml:space="preserve"> - плановое значение результата предоставления субсидии.</w:t>
      </w:r>
    </w:p>
    <w:p>
      <w:pPr>
        <w:pStyle w:val="0"/>
        <w:spacing w:before="200" w:lineRule="auto"/>
        <w:ind w:firstLine="540"/>
        <w:jc w:val="both"/>
      </w:pPr>
      <w:r>
        <w:rPr>
          <w:sz w:val="20"/>
        </w:rPr>
        <w:t xml:space="preserve">5.5. При наличии оснований, предусмотренных </w:t>
      </w:r>
      <w:hyperlink w:history="0" w:anchor="P198" w:tooltip="5.4. В случае если получателем субсидии по состоянию на 31 декабря года предоставления субсидии не достигнуты значения результата предоставления субсидии, установленные соглашением, то до 1 мая текущего финансового года в областной бюджет подлежит возврату объем средств, определяемый по формуле:">
        <w:r>
          <w:rPr>
            <w:sz w:val="20"/>
            <w:color w:val="0000ff"/>
          </w:rPr>
          <w:t xml:space="preserve">пунктом 5.4</w:t>
        </w:r>
      </w:hyperlink>
      <w:r>
        <w:rPr>
          <w:sz w:val="20"/>
        </w:rPr>
        <w:t xml:space="preserve"> настоящего Порядка, министерство:</w:t>
      </w:r>
    </w:p>
    <w:p>
      <w:pPr>
        <w:pStyle w:val="0"/>
        <w:spacing w:before="200" w:lineRule="auto"/>
        <w:ind w:firstLine="540"/>
        <w:jc w:val="both"/>
      </w:pPr>
      <w:r>
        <w:rPr>
          <w:sz w:val="20"/>
        </w:rPr>
        <w:t xml:space="preserve">5.5.1. В срок до 1 апреля текущего финансового года направляет некоммерческой организации требование о возврате средств в областной бюджет в срок до 1 мая текущего финансового года.</w:t>
      </w:r>
    </w:p>
    <w:p>
      <w:pPr>
        <w:pStyle w:val="0"/>
        <w:spacing w:before="200" w:lineRule="auto"/>
        <w:ind w:firstLine="540"/>
        <w:jc w:val="both"/>
      </w:pPr>
      <w:r>
        <w:rPr>
          <w:sz w:val="20"/>
        </w:rPr>
        <w:t xml:space="preserve">5.5.2. В срок до 10 мая текущего финансового года представляет в министерство финансов Кировской области информацию о возврате (невозврате) средств в областной бюджет.</w:t>
      </w:r>
    </w:p>
    <w:p>
      <w:pPr>
        <w:pStyle w:val="0"/>
        <w:spacing w:before="200" w:lineRule="auto"/>
        <w:ind w:firstLine="540"/>
        <w:jc w:val="both"/>
      </w:pPr>
      <w:r>
        <w:rPr>
          <w:sz w:val="20"/>
        </w:rPr>
        <w:t xml:space="preserve">5.5.3. В случае невозврата средств субсидии в областной бюджет в срок, установленный подпунктом 5.5.2 настоящего Порядка, министерство в течение двух месяцев после истечения указанного срока принимает меры по взысканию средств субсидии в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5.6. Мониторинг достижения результата предоставления субсидии исходя из достижения значений результата предоставления субсидии, установленных соглашением, и событий, отражающих факт завершения соответствующего мероприятия по получению результата предоставления субсидии, осуществляется в порядке и по формам, которые утверждаются Министерством финансов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both"/>
      </w:pPr>
      <w:r>
        <w:rPr>
          <w:sz w:val="20"/>
        </w:rPr>
      </w:r>
    </w:p>
    <w:tbl>
      <w:tblPr>
        <w:tblInd w:w="0" w:type="dxa"/>
        <w:tblLayout w:type="fixed"/>
        <w:tblCellMar>
          <w:top w:w="102" w:type="dxa"/>
          <w:left w:w="62" w:type="dxa"/>
          <w:bottom w:w="102" w:type="dxa"/>
          <w:right w:w="62" w:type="dxa"/>
        </w:tblCellMar>
      </w:tblPr>
      <w:tblGrid>
        <w:gridCol w:w="1247"/>
        <w:gridCol w:w="1814"/>
        <w:gridCol w:w="454"/>
        <w:gridCol w:w="2267"/>
        <w:gridCol w:w="3288"/>
      </w:tblGrid>
      <w:tr>
        <w:tc>
          <w:tcPr>
            <w:gridSpan w:val="5"/>
            <w:tcW w:w="9070" w:type="dxa"/>
            <w:tcBorders>
              <w:top w:val="nil"/>
              <w:left w:val="nil"/>
              <w:bottom w:val="nil"/>
              <w:right w:val="nil"/>
            </w:tcBorders>
          </w:tcPr>
          <w:p>
            <w:pPr>
              <w:pStyle w:val="0"/>
            </w:pPr>
            <w:r>
              <w:rPr>
                <w:sz w:val="20"/>
              </w:rPr>
              <w:t xml:space="preserve">На бланке некоммерческой</w:t>
            </w:r>
          </w:p>
          <w:p>
            <w:pPr>
              <w:pStyle w:val="0"/>
            </w:pPr>
            <w:r>
              <w:rPr>
                <w:sz w:val="20"/>
              </w:rPr>
              <w:t xml:space="preserve">организации</w:t>
            </w:r>
          </w:p>
        </w:tc>
      </w:tr>
      <w:tr>
        <w:tc>
          <w:tcPr>
            <w:gridSpan w:val="5"/>
            <w:tcW w:w="9070" w:type="dxa"/>
            <w:tcBorders>
              <w:top w:val="nil"/>
              <w:left w:val="nil"/>
              <w:bottom w:val="nil"/>
              <w:right w:val="nil"/>
            </w:tcBorders>
          </w:tcPr>
          <w:bookmarkStart w:id="222" w:name="P222"/>
          <w:bookmarkEnd w:id="222"/>
          <w:p>
            <w:pPr>
              <w:pStyle w:val="0"/>
              <w:jc w:val="center"/>
            </w:pPr>
            <w:r>
              <w:rPr>
                <w:sz w:val="20"/>
                <w:b w:val="on"/>
              </w:rPr>
              <w:t xml:space="preserve">ЗАЯВКА</w:t>
            </w:r>
          </w:p>
          <w:p>
            <w:pPr>
              <w:pStyle w:val="0"/>
              <w:jc w:val="center"/>
            </w:pPr>
            <w:r>
              <w:rPr>
                <w:sz w:val="20"/>
                <w:b w:val="on"/>
              </w:rPr>
              <w:t xml:space="preserve">на перечисление субсидии из областного бюджета некоммерческой организации, осуществляющей деятельность в области физической культуры и спорта</w:t>
            </w:r>
          </w:p>
        </w:tc>
      </w:tr>
      <w:tr>
        <w:tc>
          <w:tcPr>
            <w:gridSpan w:val="5"/>
            <w:tcW w:w="9070" w:type="dxa"/>
            <w:tcBorders>
              <w:top w:val="nil"/>
              <w:left w:val="nil"/>
              <w:bottom w:val="nil"/>
              <w:right w:val="nil"/>
            </w:tcBorders>
          </w:tcPr>
          <w:p>
            <w:pPr>
              <w:pStyle w:val="0"/>
              <w:ind w:firstLine="283"/>
              <w:jc w:val="both"/>
            </w:pPr>
            <w:r>
              <w:rPr>
                <w:sz w:val="20"/>
              </w:rPr>
              <w:t xml:space="preserve">Прошу перечислить субсидию из областного бюджета некоммерческим организациям, осуществляющим деятельность в области физической культуры и спорта, __________________________________________________________________</w:t>
            </w:r>
          </w:p>
          <w:p>
            <w:pPr>
              <w:pStyle w:val="0"/>
              <w:jc w:val="center"/>
            </w:pPr>
            <w:r>
              <w:rPr>
                <w:sz w:val="20"/>
              </w:rPr>
              <w:t xml:space="preserve">(наименование</w:t>
            </w:r>
          </w:p>
          <w:p>
            <w:pPr>
              <w:pStyle w:val="0"/>
              <w:jc w:val="both"/>
            </w:pPr>
            <w:r>
              <w:rPr>
                <w:sz w:val="20"/>
              </w:rPr>
              <w:t xml:space="preserve">_________________________________________________________________________</w:t>
            </w:r>
          </w:p>
          <w:p>
            <w:pPr>
              <w:pStyle w:val="0"/>
              <w:jc w:val="center"/>
            </w:pPr>
            <w:r>
              <w:rPr>
                <w:sz w:val="20"/>
              </w:rPr>
              <w:t xml:space="preserve">некоммерческой организации)</w:t>
            </w:r>
          </w:p>
        </w:tc>
      </w:tr>
      <w:tr>
        <w:tc>
          <w:tcPr>
            <w:tcW w:w="1247" w:type="dxa"/>
            <w:tcBorders>
              <w:top w:val="nil"/>
              <w:left w:val="nil"/>
              <w:bottom w:val="nil"/>
              <w:right w:val="nil"/>
            </w:tcBorders>
          </w:tcPr>
          <w:p>
            <w:pPr>
              <w:pStyle w:val="0"/>
              <w:jc w:val="both"/>
            </w:pPr>
            <w:r>
              <w:rPr>
                <w:sz w:val="20"/>
              </w:rPr>
              <w:t xml:space="preserve">в размере</w:t>
            </w:r>
          </w:p>
        </w:tc>
        <w:tc>
          <w:tcPr>
            <w:gridSpan w:val="2"/>
            <w:tcW w:w="2268" w:type="dxa"/>
            <w:tcBorders>
              <w:top w:val="nil"/>
              <w:left w:val="nil"/>
              <w:bottom w:val="nil"/>
              <w:right w:val="nil"/>
            </w:tcBorders>
          </w:tcPr>
          <w:p>
            <w:pPr>
              <w:pStyle w:val="0"/>
              <w:jc w:val="center"/>
            </w:pPr>
            <w:r>
              <w:rPr>
                <w:sz w:val="20"/>
              </w:rPr>
              <w:t xml:space="preserve">________________</w:t>
            </w:r>
          </w:p>
          <w:p>
            <w:pPr>
              <w:pStyle w:val="0"/>
              <w:jc w:val="center"/>
            </w:pPr>
            <w:r>
              <w:rPr>
                <w:sz w:val="20"/>
              </w:rPr>
              <w:t xml:space="preserve">(цифрами)</w:t>
            </w:r>
          </w:p>
        </w:tc>
        <w:tc>
          <w:tcPr>
            <w:gridSpan w:val="2"/>
            <w:tcW w:w="5555" w:type="dxa"/>
            <w:tcBorders>
              <w:top w:val="nil"/>
              <w:left w:val="nil"/>
              <w:bottom w:val="nil"/>
              <w:right w:val="nil"/>
            </w:tcBorders>
          </w:tcPr>
          <w:p>
            <w:pPr>
              <w:pStyle w:val="0"/>
              <w:jc w:val="center"/>
            </w:pPr>
            <w:r>
              <w:rPr>
                <w:sz w:val="20"/>
              </w:rPr>
              <w:t xml:space="preserve">(__________________________________________).</w:t>
            </w:r>
          </w:p>
          <w:p>
            <w:pPr>
              <w:pStyle w:val="0"/>
              <w:jc w:val="center"/>
            </w:pPr>
            <w:r>
              <w:rPr>
                <w:sz w:val="20"/>
              </w:rPr>
              <w:t xml:space="preserve">(прописью)</w:t>
            </w:r>
          </w:p>
        </w:tc>
      </w:tr>
      <w:tr>
        <w:tc>
          <w:tcPr>
            <w:gridSpan w:val="5"/>
            <w:tcW w:w="9070" w:type="dxa"/>
            <w:tcBorders>
              <w:top w:val="nil"/>
              <w:left w:val="nil"/>
              <w:bottom w:val="nil"/>
              <w:right w:val="nil"/>
            </w:tcBorders>
          </w:tcPr>
          <w:p>
            <w:pPr>
              <w:pStyle w:val="0"/>
            </w:pPr>
            <w:r>
              <w:rPr>
                <w:sz w:val="20"/>
              </w:rPr>
            </w:r>
          </w:p>
        </w:tc>
      </w:tr>
      <w:tr>
        <w:tc>
          <w:tcPr>
            <w:gridSpan w:val="2"/>
            <w:tcW w:w="3061" w:type="dxa"/>
            <w:tcBorders>
              <w:top w:val="nil"/>
              <w:left w:val="nil"/>
              <w:bottom w:val="nil"/>
              <w:right w:val="nil"/>
            </w:tcBorders>
          </w:tcPr>
          <w:p>
            <w:pPr>
              <w:pStyle w:val="0"/>
              <w:jc w:val="both"/>
            </w:pPr>
            <w:r>
              <w:rPr>
                <w:sz w:val="20"/>
              </w:rPr>
              <w:t xml:space="preserve">Руководитель</w:t>
            </w:r>
          </w:p>
          <w:p>
            <w:pPr>
              <w:pStyle w:val="0"/>
              <w:jc w:val="both"/>
            </w:pPr>
            <w:r>
              <w:rPr>
                <w:sz w:val="20"/>
              </w:rPr>
              <w:t xml:space="preserve">некоммерческой</w:t>
            </w:r>
          </w:p>
          <w:p>
            <w:pPr>
              <w:pStyle w:val="0"/>
              <w:jc w:val="both"/>
            </w:pPr>
            <w:r>
              <w:rPr>
                <w:sz w:val="20"/>
              </w:rPr>
              <w:t xml:space="preserve">организации</w:t>
            </w:r>
          </w:p>
        </w:tc>
        <w:tc>
          <w:tcPr>
            <w:gridSpan w:val="2"/>
            <w:tcW w:w="2721" w:type="dxa"/>
            <w:tcBorders>
              <w:top w:val="nil"/>
              <w:left w:val="nil"/>
              <w:bottom w:val="nil"/>
              <w:right w:val="nil"/>
            </w:tcBorders>
          </w:tcPr>
          <w:p>
            <w:pPr>
              <w:pStyle w:val="0"/>
              <w:jc w:val="center"/>
            </w:pPr>
            <w:r>
              <w:rPr>
                <w:sz w:val="20"/>
              </w:rPr>
            </w:r>
          </w:p>
          <w:p>
            <w:pPr>
              <w:pStyle w:val="0"/>
              <w:jc w:val="center"/>
            </w:pPr>
            <w:r>
              <w:rPr>
                <w:sz w:val="20"/>
              </w:rPr>
            </w:r>
          </w:p>
          <w:p>
            <w:pPr>
              <w:pStyle w:val="0"/>
              <w:jc w:val="center"/>
            </w:pPr>
            <w:r>
              <w:rPr>
                <w:sz w:val="20"/>
              </w:rPr>
              <w:t xml:space="preserve">__________________</w:t>
            </w:r>
          </w:p>
          <w:p>
            <w:pPr>
              <w:pStyle w:val="0"/>
              <w:jc w:val="center"/>
            </w:pPr>
            <w:r>
              <w:rPr>
                <w:sz w:val="20"/>
              </w:rPr>
              <w:t xml:space="preserve">(подпись)</w:t>
            </w:r>
          </w:p>
        </w:tc>
        <w:tc>
          <w:tcPr>
            <w:tcW w:w="3288" w:type="dxa"/>
            <w:tcBorders>
              <w:top w:val="nil"/>
              <w:left w:val="nil"/>
              <w:bottom w:val="nil"/>
              <w:right w:val="nil"/>
            </w:tcBorders>
          </w:tcPr>
          <w:p>
            <w:pPr>
              <w:pStyle w:val="0"/>
              <w:jc w:val="center"/>
            </w:pPr>
            <w:r>
              <w:rPr>
                <w:sz w:val="20"/>
              </w:rPr>
            </w:r>
          </w:p>
          <w:p>
            <w:pPr>
              <w:pStyle w:val="0"/>
              <w:jc w:val="center"/>
            </w:pPr>
            <w:r>
              <w:rPr>
                <w:sz w:val="20"/>
              </w:rPr>
            </w:r>
          </w:p>
          <w:p>
            <w:pPr>
              <w:pStyle w:val="0"/>
              <w:jc w:val="center"/>
            </w:pPr>
            <w:r>
              <w:rPr>
                <w:sz w:val="20"/>
              </w:rPr>
              <w:t xml:space="preserve">_______________________</w:t>
            </w:r>
          </w:p>
          <w:p>
            <w:pPr>
              <w:pStyle w:val="0"/>
              <w:jc w:val="center"/>
            </w:pPr>
            <w:r>
              <w:rPr>
                <w:sz w:val="20"/>
              </w:rPr>
              <w:t xml:space="preserve">(инициалы, фамилия)</w:t>
            </w:r>
          </w:p>
        </w:tc>
      </w:tr>
      <w:tr>
        <w:tc>
          <w:tcPr>
            <w:gridSpan w:val="4"/>
            <w:tcW w:w="5782" w:type="dxa"/>
            <w:tcBorders>
              <w:top w:val="nil"/>
              <w:left w:val="nil"/>
              <w:bottom w:val="nil"/>
              <w:right w:val="nil"/>
            </w:tcBorders>
          </w:tcPr>
          <w:p>
            <w:pPr>
              <w:pStyle w:val="0"/>
              <w:jc w:val="both"/>
            </w:pPr>
            <w:r>
              <w:rPr>
                <w:sz w:val="20"/>
              </w:rPr>
              <w:t xml:space="preserve">М.П. (при наличии)</w:t>
            </w:r>
          </w:p>
          <w:p>
            <w:pPr>
              <w:pStyle w:val="0"/>
            </w:pPr>
            <w:r>
              <w:rPr>
                <w:sz w:val="20"/>
              </w:rPr>
            </w:r>
          </w:p>
          <w:p>
            <w:pPr>
              <w:pStyle w:val="0"/>
              <w:jc w:val="both"/>
            </w:pPr>
            <w:r>
              <w:rPr>
                <w:sz w:val="20"/>
              </w:rPr>
              <w:t xml:space="preserve">"___" __________ 20___ г.</w:t>
            </w:r>
          </w:p>
        </w:tc>
        <w:tc>
          <w:tcPr>
            <w:tcW w:w="3288"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Кировской области от 23.12.2025 N 685-П</w:t>
            <w:br/>
            <w:t>"Об утверждении Порядка предоставления субсидии из 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0" TargetMode = "External"/><Relationship Id="rId9" Type="http://schemas.openxmlformats.org/officeDocument/2006/relationships/hyperlink" Target="https://login.consultant.ru/link/?req=doc&amp;base=LAW&amp;n=522972&amp;dst=100019" TargetMode = "External"/><Relationship Id="rId10" Type="http://schemas.openxmlformats.org/officeDocument/2006/relationships/hyperlink" Target="https://login.consultant.ru/link/?req=doc&amp;base=RLAW240&amp;n=248600&amp;dst=100020" TargetMode = "External"/><Relationship Id="rId11" Type="http://schemas.openxmlformats.org/officeDocument/2006/relationships/hyperlink" Target="https://login.consultant.ru/link/?req=doc&amp;base=RLAW240&amp;n=248600&amp;dst=100020" TargetMode = "External"/><Relationship Id="rId12" Type="http://schemas.openxmlformats.org/officeDocument/2006/relationships/hyperlink" Target="https://login.consultant.ru/link/?req=doc&amp;base=RLAW240&amp;n=248600&amp;dst=100020" TargetMode = "External"/><Relationship Id="rId13" Type="http://schemas.openxmlformats.org/officeDocument/2006/relationships/hyperlink" Target="https://login.consultant.ru/link/?req=doc&amp;base=RLAW240&amp;n=235097&amp;dst=100463" TargetMode = "External"/><Relationship Id="rId14" Type="http://schemas.openxmlformats.org/officeDocument/2006/relationships/hyperlink" Target="https://login.consultant.ru/link/?req=doc&amp;base=LAW&amp;n=121087&amp;dst=100142" TargetMode = "External"/><Relationship Id="rId15" Type="http://schemas.openxmlformats.org/officeDocument/2006/relationships/hyperlink" Target="https://login.consultant.ru/link/?req=doc&amp;base=LAW&amp;n=503698" TargetMode = "External"/><Relationship Id="rId16" Type="http://schemas.openxmlformats.org/officeDocument/2006/relationships/hyperlink" Target="https://login.consultant.ru/link/?req=doc&amp;base=LAW&amp;n=520119&amp;dst=5769" TargetMode = "External"/><Relationship Id="rId17" Type="http://schemas.openxmlformats.org/officeDocument/2006/relationships/hyperlink" Target="https://login.consultant.ru/link/?req=doc&amp;base=LAW&amp;n=121087&amp;dst=100142" TargetMode = "External"/><Relationship Id="rId18" Type="http://schemas.openxmlformats.org/officeDocument/2006/relationships/hyperlink" Target="https://login.consultant.ru/link/?req=doc&amp;base=LAW&amp;n=503698" TargetMode = "External"/><Relationship Id="rId19" Type="http://schemas.openxmlformats.org/officeDocument/2006/relationships/hyperlink" Target="https://login.consultant.ru/link/?req=doc&amp;base=LAW&amp;n=520119&amp;dst=5769" TargetMode = "External"/><Relationship Id="rId20" Type="http://schemas.openxmlformats.org/officeDocument/2006/relationships/hyperlink" Target="https://login.consultant.ru/link/?req=doc&amp;base=LAW&amp;n=520154&amp;dst=3704" TargetMode = "External"/><Relationship Id="rId21" Type="http://schemas.openxmlformats.org/officeDocument/2006/relationships/hyperlink" Target="https://login.consultant.ru/link/?req=doc&amp;base=LAW&amp;n=520154&amp;dst=3722" TargetMode = "External"/><Relationship Id="rId22" Type="http://schemas.openxmlformats.org/officeDocument/2006/relationships/hyperlink" Target="https://login.consultant.ru/link/?req=doc&amp;base=LAW&amp;n=520154&amp;dst=3704" TargetMode = "External"/><Relationship Id="rId23" Type="http://schemas.openxmlformats.org/officeDocument/2006/relationships/hyperlink" Target="https://login.consultant.ru/link/?req=doc&amp;base=LAW&amp;n=520154&amp;dst=3722" TargetMode = "External"/><Relationship Id="rId24" Type="http://schemas.openxmlformats.org/officeDocument/2006/relationships/hyperlink" Target="https://login.consultant.ru/link/?req=doc&amp;base=LAW&amp;n=520154&amp;dst=3704" TargetMode = "External"/><Relationship Id="rId25" Type="http://schemas.openxmlformats.org/officeDocument/2006/relationships/hyperlink" Target="https://login.consultant.ru/link/?req=doc&amp;base=LAW&amp;n=520154&amp;dst=3722" TargetMode = "External"/><Relationship Id="rId26" Type="http://schemas.openxmlformats.org/officeDocument/2006/relationships/image" Target="media/image2.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Кировской области от 23.12.2025 N 685-П
"Об утверждении Порядка предоставления субсидии из областного бюджета некоммерческим организациям, осуществляющим деятельность в области физической культуры и спорта"</dc:title>
  <dcterms:created xsi:type="dcterms:W3CDTF">2026-01-07T08:35:57Z</dcterms:created>
</cp:coreProperties>
</file>