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Красноярского края от 28.06.2024 N 464-п</w:t>
              <w:br/>
              <w:t xml:space="preserve">"Об утверждении Порядка предоставления грантов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и проведения отбора получателей указанных грантов в форме субсидий"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июня 2024 г. N 464-п</w:t>
      </w:r>
    </w:p>
    <w:p>
      <w:pPr>
        <w:pStyle w:val="2"/>
        <w:jc w:val="center"/>
      </w:pPr>
      <w:r>
        <w:rPr>
          <w:sz w:val="20"/>
        </w:rPr>
      </w:r>
    </w:p>
    <w:p>
      <w:pPr>
        <w:pStyle w:val="2"/>
        <w:jc w:val="center"/>
      </w:pPr>
      <w:r>
        <w:rPr>
          <w:sz w:val="20"/>
        </w:rPr>
        <w:t xml:space="preserve">ОБ УТВЕРЖДЕНИИ ПОРЯДКА ПРЕДОСТАВЛЕНИЯ ГРАНТОВ В ФОРМЕ</w:t>
      </w:r>
    </w:p>
    <w:p>
      <w:pPr>
        <w:pStyle w:val="2"/>
        <w:jc w:val="center"/>
      </w:pPr>
      <w:r>
        <w:rPr>
          <w:sz w:val="20"/>
        </w:rPr>
        <w:t xml:space="preserve">СУБСИДИЙ НЕКОММЕРЧЕСКИМ ОРГАНИЗАЦИЯМ НА ОБЕСПЕЧЕНИЕ</w:t>
      </w:r>
    </w:p>
    <w:p>
      <w:pPr>
        <w:pStyle w:val="2"/>
        <w:jc w:val="center"/>
      </w:pPr>
      <w:r>
        <w:rPr>
          <w:sz w:val="20"/>
        </w:rPr>
        <w:t xml:space="preserve">ДЕЯТЕЛЬНОСТИ РЕСУРСНЫХ ЦЕНТРОВ ПОДДЕРЖКИ ДОБРОВОЛЬЧЕСТВА</w:t>
      </w:r>
    </w:p>
    <w:p>
      <w:pPr>
        <w:pStyle w:val="2"/>
        <w:jc w:val="center"/>
      </w:pPr>
      <w:r>
        <w:rPr>
          <w:sz w:val="20"/>
        </w:rPr>
        <w:t xml:space="preserve">(ВОЛОНТЕРСТВА), СОЦИАЛЬНО ОРИЕНТИРОВАННЫХ НЕКОММЕРЧЕСКИХ</w:t>
      </w:r>
    </w:p>
    <w:p>
      <w:pPr>
        <w:pStyle w:val="2"/>
        <w:jc w:val="center"/>
      </w:pPr>
      <w:r>
        <w:rPr>
          <w:sz w:val="20"/>
        </w:rPr>
        <w:t xml:space="preserve">ОРГАНИЗАЦИЙ И ПРОВЕДЕНИЯ ОТБОРА ПОЛУЧАТЕЛЕЙ УКАЗАННЫХ</w:t>
      </w:r>
    </w:p>
    <w:p>
      <w:pPr>
        <w:pStyle w:val="2"/>
        <w:jc w:val="center"/>
      </w:pPr>
      <w:r>
        <w:rPr>
          <w:sz w:val="20"/>
        </w:rPr>
        <w:t xml:space="preserve">ГРАНТОВ В ФОРМЕ СУБСИДИЙ</w:t>
      </w:r>
    </w:p>
    <w:p>
      <w:pPr>
        <w:pStyle w:val="0"/>
        <w:jc w:val="both"/>
      </w:pPr>
      <w:r>
        <w:rPr>
          <w:sz w:val="20"/>
        </w:rPr>
      </w:r>
    </w:p>
    <w:p>
      <w:pPr>
        <w:pStyle w:val="0"/>
        <w:ind w:firstLine="540"/>
        <w:jc w:val="both"/>
      </w:pPr>
      <w:r>
        <w:rPr>
          <w:sz w:val="20"/>
        </w:rPr>
        <w:t xml:space="preserve">В соответствии с </w:t>
      </w:r>
      <w:hyperlink w:history="0" r:id="rId7"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пунктом 4 статьи 78.1</w:t>
        </w:r>
      </w:hyperlink>
      <w:r>
        <w:rPr>
          <w:sz w:val="20"/>
        </w:rPr>
        <w:t xml:space="preserve">, </w:t>
      </w:r>
      <w:hyperlink w:history="0" r:id="rId8"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статьей 78.5</w:t>
        </w:r>
      </w:hyperlink>
      <w:r>
        <w:rPr>
          <w:sz w:val="20"/>
        </w:rPr>
        <w:t xml:space="preserve"> Бюджетного кодекса Российской Федерации, </w:t>
      </w:r>
      <w:hyperlink w:history="0" r:id="rId9"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25.20.2023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Устав Красноярского края от 05.06.2008 N 5-1777 (подписан Губернатором Красноярского края 10.06.2008) (ред. от 16.03.2023) {КонсультантПлюс}">
        <w:r>
          <w:rPr>
            <w:sz w:val="20"/>
            <w:color w:val="0000ff"/>
          </w:rPr>
          <w:t xml:space="preserve">статьей 103</w:t>
        </w:r>
      </w:hyperlink>
      <w:r>
        <w:rPr>
          <w:sz w:val="20"/>
        </w:rPr>
        <w:t xml:space="preserve"> Устава Красноярского края, </w:t>
      </w:r>
      <w:hyperlink w:history="0" r:id="rId11" w:tooltip="Постановление Правительства Красноярского края от 30.09.2013 N 509-п (ред. от 10.12.2024)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5)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"Содействие развитию гражданского общества", </w:t>
      </w:r>
      <w:hyperlink w:history="0" r:id="rId12" w:tooltip="Постановление Правительства Красноярского края от 28.12.2023 N 1093-п (ред. от 19.08.2024) &quot;О реализации пункта 4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Красноярского края от 28.12.2023 N 1093-п "О реализации пункта 4 статьи 78.5 Бюджетного кодекса Российской Федерации" постановляю:</w:t>
      </w:r>
    </w:p>
    <w:p>
      <w:pPr>
        <w:pStyle w:val="0"/>
        <w:spacing w:before="200" w:line-rule="auto"/>
        <w:ind w:firstLine="540"/>
        <w:jc w:val="both"/>
      </w:pPr>
      <w:r>
        <w:rPr>
          <w:sz w:val="20"/>
        </w:rPr>
        <w:t xml:space="preserve">1. Утвердить </w:t>
      </w:r>
      <w:hyperlink w:history="0" w:anchor="P33" w:tooltip="ПОРЯДОК">
        <w:r>
          <w:rPr>
            <w:sz w:val="20"/>
            <w:color w:val="0000ff"/>
          </w:rPr>
          <w:t xml:space="preserve">Порядок</w:t>
        </w:r>
      </w:hyperlink>
      <w:r>
        <w:rPr>
          <w:sz w:val="20"/>
        </w:rPr>
        <w:t xml:space="preserve"> предоставления грантов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и проведения отбора получателей указанных грантов в форме субсидий согласно приложению.</w:t>
      </w:r>
    </w:p>
    <w:p>
      <w:pPr>
        <w:pStyle w:val="0"/>
        <w:spacing w:before="200" w:line-rule="auto"/>
        <w:ind w:firstLine="540"/>
        <w:jc w:val="both"/>
      </w:pPr>
      <w:r>
        <w:rPr>
          <w:sz w:val="20"/>
        </w:rPr>
        <w:t xml:space="preserve">2. Опубликовать Постановление на "Официальном интернет-портале правовой информации Красноярского края" (</w:t>
      </w:r>
      <w:hyperlink w:history="0" r:id="rId13">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Постановление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С.В.ВЕРЕЩАГИН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Красноярского края</w:t>
      </w:r>
    </w:p>
    <w:p>
      <w:pPr>
        <w:pStyle w:val="0"/>
        <w:jc w:val="right"/>
      </w:pPr>
      <w:r>
        <w:rPr>
          <w:sz w:val="20"/>
        </w:rPr>
        <w:t xml:space="preserve">от 28 июня 2024 г. N 464-п</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ПРЕДОСТАВЛЕНИЯ ГРАНТОВ В ФОРМЕ СУБСИДИЙ НЕКОММЕРЧЕСКИМ</w:t>
      </w:r>
    </w:p>
    <w:p>
      <w:pPr>
        <w:pStyle w:val="2"/>
        <w:jc w:val="center"/>
      </w:pPr>
      <w:r>
        <w:rPr>
          <w:sz w:val="20"/>
        </w:rPr>
        <w:t xml:space="preserve">ОРГАНИЗАЦИЯМ НА ОБЕСПЕЧЕНИЕ ДЕЯТЕЛЬНОСТИ РЕСУРСНЫХ ЦЕНТРОВ</w:t>
      </w:r>
    </w:p>
    <w:p>
      <w:pPr>
        <w:pStyle w:val="2"/>
        <w:jc w:val="center"/>
      </w:pPr>
      <w:r>
        <w:rPr>
          <w:sz w:val="20"/>
        </w:rPr>
        <w:t xml:space="preserve">ПОДДЕРЖКИ ДОБРОВОЛЬЧЕСТВА (ВОЛОНТЕРСТВА), СОЦИАЛЬНО</w:t>
      </w:r>
    </w:p>
    <w:p>
      <w:pPr>
        <w:pStyle w:val="2"/>
        <w:jc w:val="center"/>
      </w:pPr>
      <w:r>
        <w:rPr>
          <w:sz w:val="20"/>
        </w:rPr>
        <w:t xml:space="preserve">ОРИЕНТИРОВАННЫХ НЕКОММЕРЧЕСКИХ ОРГАНИЗАЦИЙ И ПРОВЕДЕНИЯ</w:t>
      </w:r>
    </w:p>
    <w:p>
      <w:pPr>
        <w:pStyle w:val="2"/>
        <w:jc w:val="center"/>
      </w:pPr>
      <w:r>
        <w:rPr>
          <w:sz w:val="20"/>
        </w:rPr>
        <w:t xml:space="preserve">ОТБОРА ПОЛУЧАТЕЛЕЙ УКАЗАННЫХ ГРАНТОВ В ФОРМЕ СУБСИДИЙ</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грантов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и проведение отбора получателей указанных грантов в форме субсидий (далее - Порядок, гранты, СОНКО) определяет требования к участникам отбора, порядок проведения отбора, условия и порядок предоставления грантов, требования к предоставлению отчетности, осуществлению контроля (мониторингу) за соблюдением условий и порядка предоставления грантов и ответственности за их нарушение.</w:t>
      </w:r>
    </w:p>
    <w:p>
      <w:pPr>
        <w:pStyle w:val="0"/>
        <w:spacing w:before="200" w:line-rule="auto"/>
        <w:ind w:firstLine="540"/>
        <w:jc w:val="both"/>
      </w:pPr>
      <w:r>
        <w:rPr>
          <w:sz w:val="20"/>
        </w:rPr>
        <w:t xml:space="preserve">1.2. В целях Порядка применяются следующие понятия:</w:t>
      </w:r>
    </w:p>
    <w:p>
      <w:pPr>
        <w:pStyle w:val="0"/>
        <w:spacing w:before="200" w:line-rule="auto"/>
        <w:ind w:firstLine="540"/>
        <w:jc w:val="both"/>
      </w:pPr>
      <w:r>
        <w:rPr>
          <w:sz w:val="20"/>
        </w:rPr>
        <w:t xml:space="preserve">1) ресурсный центр поддержки добровольчества (волонтерства), СОНКО (далее - ресурсный центр) - ресурсный центр, соответствующий требованиям, предусмотренным </w:t>
      </w:r>
      <w:hyperlink w:history="0" r:id="rId14" w:tooltip="Федеральный закон от 11.08.1995 N 135-ФЗ (ред. от 08.08.2024) &quot;О благотворительной деятельности и добровольчестве (волонтерстве)&quot; {КонсультантПлюс}">
        <w:r>
          <w:rPr>
            <w:sz w:val="20"/>
            <w:color w:val="0000ff"/>
          </w:rPr>
          <w:t xml:space="preserve">частью 8 статьи 5</w:t>
        </w:r>
      </w:hyperlink>
      <w:r>
        <w:rPr>
          <w:sz w:val="20"/>
        </w:rPr>
        <w:t xml:space="preserve"> Федерального закона от 11.08.1995 N 135-ФЗ "О благотворительной деятельности и добровольчестве (волонтерстве)" и </w:t>
      </w:r>
      <w:hyperlink w:history="0" r:id="rId15" w:tooltip="Закон Красноярского края от 07.02.2013 N 4-1041 (ред. от 13.06.2024) &quot;О государственной поддержке социально ориентированных некоммерческих организаций в Красноярском крае&quot; (подписан Губернатором Красноярского края 18.02.2013) {КонсультантПлюс}">
        <w:r>
          <w:rPr>
            <w:sz w:val="20"/>
            <w:color w:val="0000ff"/>
          </w:rPr>
          <w:t xml:space="preserve">статьей 16</w:t>
        </w:r>
      </w:hyperlink>
      <w:r>
        <w:rPr>
          <w:sz w:val="20"/>
        </w:rPr>
        <w:t xml:space="preserve"> Закона Красноярского края от 07.02.2013 N 4-1041 "О государственной поддержке социально ориентированных некоммерческих организаций в Красноярском крае";</w:t>
      </w:r>
    </w:p>
    <w:p>
      <w:pPr>
        <w:pStyle w:val="0"/>
        <w:spacing w:before="200" w:line-rule="auto"/>
        <w:ind w:firstLine="540"/>
        <w:jc w:val="both"/>
      </w:pPr>
      <w:r>
        <w:rPr>
          <w:sz w:val="20"/>
        </w:rPr>
        <w:t xml:space="preserve">2) заявитель - СОНКО, а также автономное или бюджетное учреждение, обратившееся с заявкой на участие в отборе на предоставление грантов;</w:t>
      </w:r>
    </w:p>
    <w:p>
      <w:pPr>
        <w:pStyle w:val="0"/>
        <w:spacing w:before="200" w:line-rule="auto"/>
        <w:ind w:firstLine="540"/>
        <w:jc w:val="both"/>
      </w:pPr>
      <w:r>
        <w:rPr>
          <w:sz w:val="20"/>
        </w:rPr>
        <w:t xml:space="preserve">3) заявка - </w:t>
      </w:r>
      <w:hyperlink w:history="0" w:anchor="P386" w:tooltip="Заявление на участие в отборе на предоставление грантов">
        <w:r>
          <w:rPr>
            <w:sz w:val="20"/>
            <w:color w:val="0000ff"/>
          </w:rPr>
          <w:t xml:space="preserve">заявление</w:t>
        </w:r>
      </w:hyperlink>
      <w:r>
        <w:rPr>
          <w:sz w:val="20"/>
        </w:rPr>
        <w:t xml:space="preserve"> на участие в отборе на предоставление грантов, по форме согласно приложению N 1 к Порядку (далее - заявление), с приложением документов, указанных в </w:t>
      </w:r>
      <w:hyperlink w:history="0" w:anchor="P91" w:tooltip="2.5. Заявитель должен соответствовать следующим требованиям:">
        <w:r>
          <w:rPr>
            <w:sz w:val="20"/>
            <w:color w:val="0000ff"/>
          </w:rPr>
          <w:t xml:space="preserve">пункте 2.5</w:t>
        </w:r>
      </w:hyperlink>
      <w:r>
        <w:rPr>
          <w:sz w:val="20"/>
        </w:rPr>
        <w:t xml:space="preserve"> Порядка;</w:t>
      </w:r>
    </w:p>
    <w:p>
      <w:pPr>
        <w:pStyle w:val="0"/>
        <w:spacing w:before="200" w:line-rule="auto"/>
        <w:ind w:firstLine="540"/>
        <w:jc w:val="both"/>
      </w:pPr>
      <w:r>
        <w:rPr>
          <w:sz w:val="20"/>
        </w:rPr>
        <w:t xml:space="preserve">4) участник отбора - заявитель, соответствующий требованиям, установленным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пунктом 2.9</w:t>
        </w:r>
      </w:hyperlink>
      <w:r>
        <w:rPr>
          <w:sz w:val="20"/>
        </w:rPr>
        <w:t xml:space="preserve"> Порядка;</w:t>
      </w:r>
    </w:p>
    <w:p>
      <w:pPr>
        <w:pStyle w:val="0"/>
        <w:spacing w:before="200" w:line-rule="auto"/>
        <w:ind w:firstLine="540"/>
        <w:jc w:val="both"/>
      </w:pPr>
      <w:r>
        <w:rPr>
          <w:sz w:val="20"/>
        </w:rPr>
        <w:t xml:space="preserve">5) победитель (победители) отбора - участник (участники) отбора, набравший (набравшие) наибольшее количество баллов по итогам оценки заявок, в отношении которого принято решение о победителях отбора в форме приказа агентства молодежной политики и реализации программ общественного развития Красноярского края о предоставлении субсидии;</w:t>
      </w:r>
    </w:p>
    <w:p>
      <w:pPr>
        <w:pStyle w:val="0"/>
        <w:spacing w:before="200" w:line-rule="auto"/>
        <w:ind w:firstLine="540"/>
        <w:jc w:val="both"/>
      </w:pPr>
      <w:r>
        <w:rPr>
          <w:sz w:val="20"/>
        </w:rPr>
        <w:t xml:space="preserve">6) руководитель ресурсного центра - руководитель или заместитель руководителя автономного или бюджетного учреждения или СОНКО, в должностные обязанности которого включены полномочия по руководству ресурсным центром;</w:t>
      </w:r>
    </w:p>
    <w:p>
      <w:pPr>
        <w:pStyle w:val="0"/>
        <w:spacing w:before="200" w:line-rule="auto"/>
        <w:ind w:firstLine="540"/>
        <w:jc w:val="both"/>
      </w:pPr>
      <w:r>
        <w:rPr>
          <w:sz w:val="20"/>
        </w:rPr>
        <w:t xml:space="preserve">7) сотрудник ресурсного центра - сотрудник, в обязанности которого входит оказание услуг участникам добровольческой (волонтерской) деятельности, ресурсного центра добровольчества (волонтерства), СОНКО;</w:t>
      </w:r>
    </w:p>
    <w:p>
      <w:pPr>
        <w:pStyle w:val="0"/>
        <w:spacing w:before="200" w:line-rule="auto"/>
        <w:ind w:firstLine="540"/>
        <w:jc w:val="both"/>
      </w:pPr>
      <w:r>
        <w:rPr>
          <w:sz w:val="20"/>
        </w:rPr>
        <w:t xml:space="preserve">8) услуги и функции ресурсного центра - перечень услуг и функций, которые включают в себя, в том числе:</w:t>
      </w:r>
    </w:p>
    <w:p>
      <w:pPr>
        <w:pStyle w:val="0"/>
        <w:spacing w:before="200" w:line-rule="auto"/>
        <w:ind w:firstLine="540"/>
        <w:jc w:val="both"/>
      </w:pPr>
      <w:r>
        <w:rPr>
          <w:sz w:val="20"/>
        </w:rPr>
        <w:t xml:space="preserve">а) консультирование СОНКО и добровольцев (волонтеров) по вопросам в сфере социального проектирования, юридической, бухгалтерской, налоговой деятельности СОНКО, по основным видам государственной и муниципальной поддержки СОНКО и добровольцев (волонтеров) на территории Российской Федерации и Красноярского края, а также по другим вопросам, касающимся создания, функционирования и оказания услуг СОНКО и осуществления добровольческой (волонтерской) деятельности;</w:t>
      </w:r>
    </w:p>
    <w:p>
      <w:pPr>
        <w:pStyle w:val="0"/>
        <w:spacing w:before="200" w:line-rule="auto"/>
        <w:ind w:firstLine="540"/>
        <w:jc w:val="both"/>
      </w:pPr>
      <w:r>
        <w:rPr>
          <w:sz w:val="20"/>
        </w:rPr>
        <w:t xml:space="preserve">б) обучение сотрудников СОНКО и добровольцев (волонтеров) по вопросам участия в отборах, направленных на оказание финансовой и имущественной поддержки СОНКО и добровольцам (волонтерам), по организационному управлению, по вопросам деятельности СОНКО и добровольческой (волонтерской) деятельности, социального проектирования, и по другим вопросам, касающимся создания, функционирования и оказания услуг СОНКО;</w:t>
      </w:r>
    </w:p>
    <w:p>
      <w:pPr>
        <w:pStyle w:val="0"/>
        <w:spacing w:before="200" w:line-rule="auto"/>
        <w:ind w:firstLine="540"/>
        <w:jc w:val="both"/>
      </w:pPr>
      <w:r>
        <w:rPr>
          <w:sz w:val="20"/>
        </w:rPr>
        <w:t xml:space="preserve">в) информационное сопровождение деятельности СОНКО и добровольцев (волонтеров) посредством информирования об основных видах и формах поддержки СОНКО и добровольцев (волонтеров), позиционирования и продвижения лучших практик и технологий в социальной сфере в публичном пространстве, а также индивидуального информационного сопровождения добровольцев и СОНКО на всех этапах подготовки и реализации проектов, услуг, программ в социальной сфере СОНКО и добровольческой (волонтерской) деятельности;</w:t>
      </w:r>
    </w:p>
    <w:p>
      <w:pPr>
        <w:pStyle w:val="0"/>
        <w:spacing w:before="200" w:line-rule="auto"/>
        <w:ind w:firstLine="540"/>
        <w:jc w:val="both"/>
      </w:pPr>
      <w:r>
        <w:rPr>
          <w:sz w:val="20"/>
        </w:rPr>
        <w:t xml:space="preserve">г) оказание ресурсной и организационной поддержки деятельности СОНКО и добровольцев (волонтеров), включая предоставление помещений для проведения мероприятий, предоставление площадей для выставочного пространства и для размещения информационных материалов СОНКО и добровольцев (волонтеров), предоставление имеющегося оборудования и имущества для проведения мероприятий, предоставление рабочих мест для работы на компьютере;</w:t>
      </w:r>
    </w:p>
    <w:p>
      <w:pPr>
        <w:pStyle w:val="0"/>
        <w:spacing w:before="200" w:line-rule="auto"/>
        <w:ind w:firstLine="540"/>
        <w:jc w:val="both"/>
      </w:pPr>
      <w:r>
        <w:rPr>
          <w:sz w:val="20"/>
        </w:rPr>
        <w:t xml:space="preserve">д) обеспечение разработки и (или) тиражирования и (или) распространения программно-методической продукции, в том числе гражданской тематики (информационные выпуски, тематические информационно-аналитические бюллетени и журналы, нормативно-справочные издания, методические пособия), сопровождение образовательной, информационной и консультативной деятельности ресурсного центра;</w:t>
      </w:r>
    </w:p>
    <w:p>
      <w:pPr>
        <w:pStyle w:val="0"/>
        <w:spacing w:before="200" w:line-rule="auto"/>
        <w:ind w:firstLine="540"/>
        <w:jc w:val="both"/>
      </w:pPr>
      <w:r>
        <w:rPr>
          <w:sz w:val="20"/>
        </w:rPr>
        <w:t xml:space="preserve">е) обеспечение организации и проведения мероприятий, направленных на развитие СОНКО, добровольческой деятельности и общественных инициатив, открытость СОНКО, доступ СОНКО к оказанию услуг в социальной сфере;</w:t>
      </w:r>
    </w:p>
    <w:p>
      <w:pPr>
        <w:pStyle w:val="0"/>
        <w:spacing w:before="200" w:line-rule="auto"/>
        <w:ind w:firstLine="540"/>
        <w:jc w:val="both"/>
      </w:pPr>
      <w:r>
        <w:rPr>
          <w:sz w:val="20"/>
        </w:rPr>
        <w:t xml:space="preserve">9) </w:t>
      </w:r>
      <w:hyperlink w:history="0" w:anchor="P479" w:tooltip="Программа">
        <w:r>
          <w:rPr>
            <w:sz w:val="20"/>
            <w:color w:val="0000ff"/>
          </w:rPr>
          <w:t xml:space="preserve">программа</w:t>
        </w:r>
      </w:hyperlink>
      <w:r>
        <w:rPr>
          <w:sz w:val="20"/>
        </w:rPr>
        <w:t xml:space="preserve"> деятельности ресурсного центра - документ, составленный в соответствии с приложением к заявлению на участие в отборе некоммерческих организаций с целью предоставления грантов на обеспечение деятельности ресурсных центров, приведенному в </w:t>
      </w:r>
      <w:hyperlink w:history="0" w:anchor="P386" w:tooltip="Заявление на участие в отборе на предоставление грантов">
        <w:r>
          <w:rPr>
            <w:sz w:val="20"/>
            <w:color w:val="0000ff"/>
          </w:rPr>
          <w:t xml:space="preserve">приложении N 1</w:t>
        </w:r>
      </w:hyperlink>
      <w:r>
        <w:rPr>
          <w:sz w:val="20"/>
        </w:rPr>
        <w:t xml:space="preserve"> к настоящему Порядку;</w:t>
      </w:r>
    </w:p>
    <w:p>
      <w:pPr>
        <w:pStyle w:val="0"/>
        <w:spacing w:before="200" w:line-rule="auto"/>
        <w:ind w:firstLine="540"/>
        <w:jc w:val="both"/>
      </w:pPr>
      <w:r>
        <w:rPr>
          <w:sz w:val="20"/>
        </w:rPr>
        <w:t xml:space="preserve">10) "Добро.Центр" - статус, присвоенный ресурсному центру на основании лицензионного договора, заключенного между некоммерческой организацией и Ассоциацией волонтерских центров.</w:t>
      </w:r>
    </w:p>
    <w:bookmarkStart w:id="60" w:name="P60"/>
    <w:bookmarkEnd w:id="60"/>
    <w:p>
      <w:pPr>
        <w:pStyle w:val="0"/>
        <w:spacing w:before="200" w:line-rule="auto"/>
        <w:ind w:firstLine="540"/>
        <w:jc w:val="both"/>
      </w:pPr>
      <w:r>
        <w:rPr>
          <w:sz w:val="20"/>
        </w:rPr>
        <w:t xml:space="preserve">1.3. Целью предоставления грантов является обеспечение деятельности ресурсного центра в рамках мероприятия 1.2 "Гранты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регионального проекта "Социальная активность (Красноярский край)", государственной </w:t>
      </w:r>
      <w:hyperlink w:history="0" r:id="rId16" w:tooltip="Постановление Правительства Красноярского края от 30.09.2013 N 509-п (ред. от 10.12.2024)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5) {КонсультантПлюс}">
        <w:r>
          <w:rPr>
            <w:sz w:val="20"/>
            <w:color w:val="0000ff"/>
          </w:rPr>
          <w:t xml:space="preserve">программы</w:t>
        </w:r>
      </w:hyperlink>
      <w:r>
        <w:rPr>
          <w:sz w:val="20"/>
        </w:rPr>
        <w:t xml:space="preserve"> Красноярского края "Содействие развитию гражданского общества", утвержденной Постановлением Правительства Красноярского края от 30.09.2013 N 509-п.</w:t>
      </w:r>
    </w:p>
    <w:p>
      <w:pPr>
        <w:pStyle w:val="0"/>
        <w:spacing w:before="200" w:line-rule="auto"/>
        <w:ind w:firstLine="540"/>
        <w:jc w:val="both"/>
      </w:pPr>
      <w:r>
        <w:rPr>
          <w:sz w:val="20"/>
        </w:rPr>
        <w:t xml:space="preserve">1.4. Предоставление грантов осуществляется в пределах бюджетных ассигнований, предусмотренных на указанные цели в законе края о краевом бюджете на соответствующий финансовый год и плановый период (далее - закон о краевом бюджете), и лимитов бюджетных обязательств, доведенных в установленном порядке главному распорядителю средств краевого бюджета.</w:t>
      </w:r>
    </w:p>
    <w:p>
      <w:pPr>
        <w:pStyle w:val="0"/>
        <w:spacing w:before="200" w:line-rule="auto"/>
        <w:ind w:firstLine="540"/>
        <w:jc w:val="both"/>
      </w:pPr>
      <w:r>
        <w:rPr>
          <w:sz w:val="20"/>
        </w:rPr>
        <w:t xml:space="preserve">Главным распорядителем средств краевого бюджета, осуществляющим предоставление грантов, является агентство молодежной политики и реализации программ общественного развития Красноярского края (далее - агентство).</w:t>
      </w:r>
    </w:p>
    <w:p>
      <w:pPr>
        <w:pStyle w:val="0"/>
        <w:spacing w:before="200" w:line-rule="auto"/>
        <w:ind w:firstLine="540"/>
        <w:jc w:val="both"/>
      </w:pPr>
      <w:r>
        <w:rPr>
          <w:sz w:val="20"/>
        </w:rPr>
        <w:t xml:space="preserve">1.5. Способом предоставления грантов является финансовое обеспечение затрат.</w:t>
      </w:r>
    </w:p>
    <w:p>
      <w:pPr>
        <w:pStyle w:val="0"/>
        <w:spacing w:before="200" w:line-rule="auto"/>
        <w:ind w:firstLine="540"/>
        <w:jc w:val="both"/>
      </w:pPr>
      <w:r>
        <w:rPr>
          <w:sz w:val="20"/>
        </w:rPr>
        <w:t xml:space="preserve">1.6. Информация о грантах размещается на едином портале бюджетной системы Российской Федерации в информационно-телекоммуникационной сети Интернет на сайте </w:t>
      </w:r>
      <w:hyperlink w:history="0" r:id="rId17">
        <w:r>
          <w:rPr>
            <w:sz w:val="20"/>
            <w:color w:val="0000ff"/>
          </w:rPr>
          <w:t xml:space="preserve">www.budget.gov.ru</w:t>
        </w:r>
      </w:hyperlink>
      <w:r>
        <w:rPr>
          <w:sz w:val="20"/>
        </w:rPr>
        <w:t xml:space="preserve"> (далее - единый портал) в разделе "Бюджет" в соответствии с </w:t>
      </w:r>
      <w:hyperlink w:history="0" r:id="rId18" w:tooltip="Приказ Минфина России от 28.12.2016 N 243н (ред. от 31.03.2023) &quot;О составе и порядке размещения и предоставления информации на едином портале бюджетной системы Российской Федерации&quot; (Зарегистрировано в Минюсте России 05.05.2017 N 46620) {КонсультантПлюс}">
        <w:r>
          <w:rPr>
            <w:sz w:val="20"/>
            <w:color w:val="0000ff"/>
          </w:rPr>
          <w:t xml:space="preserve">Приказом</w:t>
        </w:r>
      </w:hyperlink>
      <w:r>
        <w:rPr>
          <w:sz w:val="20"/>
        </w:rPr>
        <w:t xml:space="preserve"> Министерства финансов Российской Федерации от 28.12.2016 N 243н "О составе и порядке размещения и предоставления информации на едином портале бюджетной системы Российской Федерации".</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Способом проведения отбора получателей грантов является конкурс (далее - отбор). Отбор проводится агентством ежегодно.</w:t>
      </w:r>
    </w:p>
    <w:p>
      <w:pPr>
        <w:pStyle w:val="0"/>
        <w:spacing w:before="200" w:line-rule="auto"/>
        <w:ind w:firstLine="540"/>
        <w:jc w:val="both"/>
      </w:pPr>
      <w:r>
        <w:rPr>
          <w:sz w:val="20"/>
        </w:rPr>
        <w:t xml:space="preserve">К категории получателей гранта относятся СОНКО, а также автономное или бюджетное учреждение.</w:t>
      </w:r>
    </w:p>
    <w:bookmarkStart w:id="70" w:name="P70"/>
    <w:bookmarkEnd w:id="70"/>
    <w:p>
      <w:pPr>
        <w:pStyle w:val="0"/>
        <w:spacing w:before="200" w:line-rule="auto"/>
        <w:ind w:firstLine="540"/>
        <w:jc w:val="both"/>
      </w:pPr>
      <w:r>
        <w:rPr>
          <w:sz w:val="20"/>
        </w:rPr>
        <w:t xml:space="preserve">2.2. Решение о проведении отбора принимается агентством в форме приказа в срок до 1 апреля года предоставления грантов (в 2024 году - до 1 сентября).</w:t>
      </w:r>
    </w:p>
    <w:bookmarkStart w:id="71" w:name="P71"/>
    <w:bookmarkEnd w:id="71"/>
    <w:p>
      <w:pPr>
        <w:pStyle w:val="0"/>
        <w:spacing w:before="200" w:line-rule="auto"/>
        <w:ind w:firstLine="540"/>
        <w:jc w:val="both"/>
      </w:pPr>
      <w:r>
        <w:rPr>
          <w:sz w:val="20"/>
        </w:rPr>
        <w:t xml:space="preserve">2.3. Агентство не позднее 10-го рабочего дня, следующего за днем принятия решения о проведении отбора, формирует и размещает объявление о проведении отбора (далее - объявление) на едином портале, а также на официальном сайте агентства в информационно-телекоммуникационной сети Интернет по адресу </w:t>
      </w:r>
      <w:hyperlink w:history="0" r:id="rId19">
        <w:r>
          <w:rPr>
            <w:sz w:val="20"/>
            <w:color w:val="0000ff"/>
          </w:rPr>
          <w:t xml:space="preserve">http://futureagency.krskstate.ru</w:t>
        </w:r>
      </w:hyperlink>
      <w:r>
        <w:rPr>
          <w:sz w:val="20"/>
        </w:rPr>
        <w:t xml:space="preserve"> (далее - сайт агентства).</w:t>
      </w:r>
    </w:p>
    <w:bookmarkStart w:id="72" w:name="P72"/>
    <w:bookmarkEnd w:id="72"/>
    <w:p>
      <w:pPr>
        <w:pStyle w:val="0"/>
        <w:spacing w:before="200" w:line-rule="auto"/>
        <w:ind w:firstLine="540"/>
        <w:jc w:val="both"/>
      </w:pPr>
      <w:r>
        <w:rPr>
          <w:sz w:val="20"/>
        </w:rPr>
        <w:t xml:space="preserve">2.4. Объявление должно содержать:</w:t>
      </w:r>
    </w:p>
    <w:p>
      <w:pPr>
        <w:pStyle w:val="0"/>
        <w:spacing w:before="200" w:line-rule="auto"/>
        <w:ind w:firstLine="540"/>
        <w:jc w:val="both"/>
      </w:pPr>
      <w:r>
        <w:rPr>
          <w:sz w:val="20"/>
        </w:rPr>
        <w:t xml:space="preserve">1) сроки проведения отбора, в том числе дату начала (окончания) подачи (приема) заявок, при этом дата окончания приема заявок не может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2) наименование, место нахождения, почтовый адрес и адрес электронной почты агентства;</w:t>
      </w:r>
    </w:p>
    <w:p>
      <w:pPr>
        <w:pStyle w:val="0"/>
        <w:spacing w:before="200" w:line-rule="auto"/>
        <w:ind w:firstLine="540"/>
        <w:jc w:val="both"/>
      </w:pPr>
      <w:r>
        <w:rPr>
          <w:sz w:val="20"/>
        </w:rPr>
        <w:t xml:space="preserve">3) результат предоставления грантов;</w:t>
      </w:r>
    </w:p>
    <w:p>
      <w:pPr>
        <w:pStyle w:val="0"/>
        <w:spacing w:before="200" w:line-rule="auto"/>
        <w:ind w:firstLine="540"/>
        <w:jc w:val="both"/>
      </w:pPr>
      <w:r>
        <w:rPr>
          <w:sz w:val="20"/>
        </w:rPr>
        <w:t xml:space="preserve">4) 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5) требования к участникам отбора, требования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6) категории получателей гранта, критерии оценки и показатели критериев оценки;</w:t>
      </w:r>
    </w:p>
    <w:p>
      <w:pPr>
        <w:pStyle w:val="0"/>
        <w:spacing w:before="200" w:line-rule="auto"/>
        <w:ind w:firstLine="540"/>
        <w:jc w:val="both"/>
      </w:pPr>
      <w:r>
        <w:rPr>
          <w:sz w:val="20"/>
        </w:rPr>
        <w:t xml:space="preserve">7) порядок подачи заявок и требования, предъявляемые к форме и содержанию заявок;</w:t>
      </w:r>
    </w:p>
    <w:p>
      <w:pPr>
        <w:pStyle w:val="0"/>
        <w:spacing w:before="200" w:line-rule="auto"/>
        <w:ind w:firstLine="540"/>
        <w:jc w:val="both"/>
      </w:pPr>
      <w:r>
        <w:rPr>
          <w:sz w:val="20"/>
        </w:rPr>
        <w:t xml:space="preserve">8) порядок отзыва заявок, порядок их возврата, определяющего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9) порядка возврата заявок на доработку;</w:t>
      </w:r>
    </w:p>
    <w:p>
      <w:pPr>
        <w:pStyle w:val="0"/>
        <w:spacing w:before="200" w:line-rule="auto"/>
        <w:ind w:firstLine="540"/>
        <w:jc w:val="both"/>
      </w:pPr>
      <w:r>
        <w:rPr>
          <w:sz w:val="20"/>
        </w:rPr>
        <w:t xml:space="preserve">10) правила рассмотрения и оценки заявок;</w:t>
      </w:r>
    </w:p>
    <w:p>
      <w:pPr>
        <w:pStyle w:val="0"/>
        <w:spacing w:before="200" w:line-rule="auto"/>
        <w:ind w:firstLine="540"/>
        <w:jc w:val="both"/>
      </w:pPr>
      <w:r>
        <w:rPr>
          <w:sz w:val="20"/>
        </w:rPr>
        <w:t xml:space="preserve">11)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12) порядок оценки заявок, включающий критерии оценки, и их весовое значение в общей оценке, необходимую для представления информацию по каждому критерию оценки, сведения, документы и материалы, подтверждающие такую информацию, сроки оценки заявок, а также иную информацию об оценке заявок, а также информацию об участии или неучастии комиссии и экспертов (экспертных организаций) в оценке заявок;</w:t>
      </w:r>
    </w:p>
    <w:p>
      <w:pPr>
        <w:pStyle w:val="0"/>
        <w:spacing w:before="200" w:line-rule="auto"/>
        <w:ind w:firstLine="540"/>
        <w:jc w:val="both"/>
      </w:pPr>
      <w:r>
        <w:rPr>
          <w:sz w:val="20"/>
        </w:rPr>
        <w:t xml:space="preserve">13) объем распределяемого гранта в рамках отбора, порядок расчета размера гранта, правила распределения грантов по результатам отбора, предельное количество победителей отбора, максимальный размера гранта, минимальный проходной балл;</w:t>
      </w:r>
    </w:p>
    <w:p>
      <w:pPr>
        <w:pStyle w:val="0"/>
        <w:spacing w:before="200" w:line-rule="auto"/>
        <w:ind w:firstLine="540"/>
        <w:jc w:val="both"/>
      </w:pPr>
      <w:r>
        <w:rPr>
          <w:sz w:val="20"/>
        </w:rPr>
        <w:t xml:space="preserve">14) порядок предоставления участникам отбора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15) срок, в течение которого победитель отбора должен подписать соглашение о предоставлении грантов (далее - Соглашение), подготовленное в соответствии с типовой </w:t>
      </w:r>
      <w:hyperlink w:history="0" r:id="rId20" w:tooltip="Приказ министерства финансов Красноярского края от 07.02.2024 N 17 &quot;Об утверждении типовой формы соглашения (договора) о предоставлении из краевого бюджета субсидий, в том числе грантов в форме субсидий, юридическим лицам, индивидуальным предпринимателям, а также физическим лицам&quot; {КонсультантПлюс}">
        <w:r>
          <w:rPr>
            <w:sz w:val="20"/>
            <w:color w:val="0000ff"/>
          </w:rPr>
          <w:t xml:space="preserve">формой</w:t>
        </w:r>
      </w:hyperlink>
      <w:r>
        <w:rPr>
          <w:sz w:val="20"/>
        </w:rPr>
        <w:t xml:space="preserve"> соглашения (договора) о предоставлении из краевого бюджета субсидий, в том числе грантов в форме субсидий, юридическим лицам, индивидуальным предпринимателям, а также физическим лицам, утвержденной Приказом министерства финансов Красноярского края от 07.02.2024 N 17 (далее - типовая форма);</w:t>
      </w:r>
    </w:p>
    <w:p>
      <w:pPr>
        <w:pStyle w:val="0"/>
        <w:spacing w:before="200" w:line-rule="auto"/>
        <w:ind w:firstLine="540"/>
        <w:jc w:val="both"/>
      </w:pPr>
      <w:r>
        <w:rPr>
          <w:sz w:val="20"/>
        </w:rPr>
        <w:t xml:space="preserve">16) 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17) сроки размещения протокола (приказа) подведения итогов отбора (документа об итогах проведения отбора) на едином портале и (или) на официальном сайте агентства;</w:t>
      </w:r>
    </w:p>
    <w:p>
      <w:pPr>
        <w:pStyle w:val="0"/>
        <w:spacing w:before="200" w:line-rule="auto"/>
        <w:ind w:firstLine="540"/>
        <w:jc w:val="both"/>
      </w:pPr>
      <w:r>
        <w:rPr>
          <w:sz w:val="20"/>
        </w:rPr>
        <w:t xml:space="preserve">18) информацию о государственном гражданском служащем агентства, ответственном за организацию и проведение отбора (фамилия, имя, отчество (при наличии отчества), телефон, адрес электронной почты).</w:t>
      </w:r>
    </w:p>
    <w:bookmarkStart w:id="91" w:name="P91"/>
    <w:bookmarkEnd w:id="91"/>
    <w:p>
      <w:pPr>
        <w:pStyle w:val="0"/>
        <w:spacing w:before="200" w:line-rule="auto"/>
        <w:ind w:firstLine="540"/>
        <w:jc w:val="both"/>
      </w:pPr>
      <w:r>
        <w:rPr>
          <w:sz w:val="20"/>
        </w:rPr>
        <w:t xml:space="preserve">2.5. Заявитель должен соответствовать следующим требованиям:</w:t>
      </w:r>
    </w:p>
    <w:bookmarkStart w:id="92" w:name="P92"/>
    <w:bookmarkEnd w:id="92"/>
    <w:p>
      <w:pPr>
        <w:pStyle w:val="0"/>
        <w:spacing w:before="200" w:line-rule="auto"/>
        <w:ind w:firstLine="540"/>
        <w:jc w:val="both"/>
      </w:pPr>
      <w:r>
        <w:rPr>
          <w:sz w:val="20"/>
        </w:rPr>
        <w:t xml:space="preserve">1)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на дату получения информации из Единого государственного реестра юридических лиц (далее - ЕГРЮЛ);</w:t>
      </w:r>
    </w:p>
    <w:bookmarkStart w:id="93" w:name="P93"/>
    <w:bookmarkEnd w:id="93"/>
    <w:p>
      <w:pPr>
        <w:pStyle w:val="0"/>
        <w:spacing w:before="200" w:line-rule="auto"/>
        <w:ind w:firstLine="540"/>
        <w:jc w:val="both"/>
      </w:pPr>
      <w:r>
        <w:rPr>
          <w:sz w:val="20"/>
        </w:rPr>
        <w:t xml:space="preserve">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получения информации с сайта Федеральной службы по финансовому мониторингу;</w:t>
      </w:r>
    </w:p>
    <w:bookmarkStart w:id="94" w:name="P94"/>
    <w:bookmarkEnd w:id="94"/>
    <w:p>
      <w:pPr>
        <w:pStyle w:val="0"/>
        <w:spacing w:before="200" w:line-rule="auto"/>
        <w:ind w:firstLine="540"/>
        <w:jc w:val="both"/>
      </w:pPr>
      <w:r>
        <w:rPr>
          <w:sz w:val="20"/>
        </w:rPr>
        <w:t xml:space="preserve">3) не должен находиться в составляемых в рамках реализации полномочий, предусмотренных </w:t>
      </w:r>
      <w:hyperlink w:history="0" r:id="rId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получения информации с сайта Федеральной службы по финансовому мониторингу;</w:t>
      </w:r>
    </w:p>
    <w:bookmarkStart w:id="95" w:name="P95"/>
    <w:bookmarkEnd w:id="95"/>
    <w:p>
      <w:pPr>
        <w:pStyle w:val="0"/>
        <w:spacing w:before="200" w:line-rule="auto"/>
        <w:ind w:firstLine="540"/>
        <w:jc w:val="both"/>
      </w:pPr>
      <w:r>
        <w:rPr>
          <w:sz w:val="20"/>
        </w:rPr>
        <w:t xml:space="preserve">4) не должен получать средства из краевого бюджета на основании иных нормативных правовых актов Красноярского края на цель, указанную в </w:t>
      </w:r>
      <w:hyperlink w:history="0" w:anchor="P60" w:tooltip="1.3. Целью предоставления грантов является обеспечение деятельности ресурсного центра в рамках мероприятия 1.2 &quot;Гранты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quot; регионального проекта &quot;Социальная активность (Красноярский край)&quot;, государственной программы Красноярского края &quot;Содействие развитию гражданского общества&quot;, утвержденной Постановлением Правительства Крас...">
        <w:r>
          <w:rPr>
            <w:sz w:val="20"/>
            <w:color w:val="0000ff"/>
          </w:rPr>
          <w:t xml:space="preserve">пункте 1.3</w:t>
        </w:r>
      </w:hyperlink>
      <w:r>
        <w:rPr>
          <w:sz w:val="20"/>
        </w:rPr>
        <w:t xml:space="preserve"> Порядка;</w:t>
      </w:r>
    </w:p>
    <w:bookmarkStart w:id="96" w:name="P96"/>
    <w:bookmarkEnd w:id="96"/>
    <w:p>
      <w:pPr>
        <w:pStyle w:val="0"/>
        <w:spacing w:before="200" w:line-rule="auto"/>
        <w:ind w:firstLine="540"/>
        <w:jc w:val="both"/>
      </w:pPr>
      <w:r>
        <w:rPr>
          <w:sz w:val="20"/>
        </w:rPr>
        <w:t xml:space="preserve">5) не являться иностранным агентом в соответствии с Федеральным </w:t>
      </w:r>
      <w:hyperlink w:history="0" r:id="rId22" w:tooltip="Федеральный закон от 14.07.2022 N 255-ФЗ (ред. от 13.12.2024)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на дату получения информации с сайта Министерства юстиции Российской Федерации;</w:t>
      </w:r>
    </w:p>
    <w:bookmarkStart w:id="97" w:name="P97"/>
    <w:bookmarkEnd w:id="97"/>
    <w:p>
      <w:pPr>
        <w:pStyle w:val="0"/>
        <w:spacing w:before="200" w:line-rule="auto"/>
        <w:ind w:firstLine="540"/>
        <w:jc w:val="both"/>
      </w:pPr>
      <w:r>
        <w:rPr>
          <w:sz w:val="20"/>
        </w:rPr>
        <w:t xml:space="preserve">6) на едином налоговом счете должна отсутствовать или не превышать размер, определенный </w:t>
      </w:r>
      <w:hyperlink w:history="0" r:id="rId23" w:tooltip="&quot;Налоговый кодекс Российской Федерации (часть первая)&quot; от 31.07.1998 N 146-ФЗ (ред. от 23.11.2024)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получения информации от Федеральной налоговой службы Российской Федерации;</w:t>
      </w:r>
    </w:p>
    <w:bookmarkStart w:id="98" w:name="P98"/>
    <w:bookmarkEnd w:id="98"/>
    <w:p>
      <w:pPr>
        <w:pStyle w:val="0"/>
        <w:spacing w:before="200" w:line-rule="auto"/>
        <w:ind w:firstLine="540"/>
        <w:jc w:val="both"/>
      </w:pPr>
      <w:r>
        <w:rPr>
          <w:sz w:val="20"/>
        </w:rPr>
        <w:t xml:space="preserve">7) должна отсутствовать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краевым бюджетом;</w:t>
      </w:r>
    </w:p>
    <w:bookmarkStart w:id="99" w:name="P99"/>
    <w:bookmarkEnd w:id="99"/>
    <w:p>
      <w:pPr>
        <w:pStyle w:val="0"/>
        <w:spacing w:before="200" w:line-rule="auto"/>
        <w:ind w:firstLine="540"/>
        <w:jc w:val="both"/>
      </w:pPr>
      <w:r>
        <w:rPr>
          <w:sz w:val="20"/>
        </w:rPr>
        <w:t xml:space="preserve">8)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w:t>
      </w:r>
    </w:p>
    <w:bookmarkStart w:id="100" w:name="P100"/>
    <w:bookmarkEnd w:id="100"/>
    <w:p>
      <w:pPr>
        <w:pStyle w:val="0"/>
        <w:spacing w:before="200" w:line-rule="auto"/>
        <w:ind w:firstLine="540"/>
        <w:jc w:val="both"/>
      </w:pPr>
      <w:r>
        <w:rPr>
          <w:sz w:val="20"/>
        </w:rPr>
        <w:t xml:space="preserve">9) должен иметь статус "Добро.Центр";</w:t>
      </w:r>
    </w:p>
    <w:bookmarkStart w:id="101" w:name="P101"/>
    <w:bookmarkEnd w:id="101"/>
    <w:p>
      <w:pPr>
        <w:pStyle w:val="0"/>
        <w:spacing w:before="200" w:line-rule="auto"/>
        <w:ind w:firstLine="540"/>
        <w:jc w:val="both"/>
      </w:pPr>
      <w:r>
        <w:rPr>
          <w:sz w:val="20"/>
        </w:rPr>
        <w:t xml:space="preserve">10) должен иметь утвержденное руководителем Положение о ресурсном центре, содержащее услуги и функции;</w:t>
      </w:r>
    </w:p>
    <w:p>
      <w:pPr>
        <w:pStyle w:val="0"/>
        <w:spacing w:before="200" w:line-rule="auto"/>
        <w:ind w:firstLine="540"/>
        <w:jc w:val="both"/>
      </w:pPr>
      <w:r>
        <w:rPr>
          <w:sz w:val="20"/>
        </w:rPr>
        <w:t xml:space="preserve">11) должен иметь кадровый состав, необходимый для работы ресурсного центра (не менее 1 штатного сотрудника и (или) наемного специалиста, который выполняет функции руководителя ресурсного центра);</w:t>
      </w:r>
    </w:p>
    <w:p>
      <w:pPr>
        <w:pStyle w:val="0"/>
        <w:spacing w:before="200" w:line-rule="auto"/>
        <w:ind w:firstLine="540"/>
        <w:jc w:val="both"/>
      </w:pPr>
      <w:r>
        <w:rPr>
          <w:sz w:val="20"/>
        </w:rPr>
        <w:t xml:space="preserve">12) должен владеть и пользоваться на праве аренды, безвозмездного пользования, оперативного управления или иметь в собственности или ином законном основании помещение для размещения ресурсного центра;</w:t>
      </w:r>
    </w:p>
    <w:bookmarkStart w:id="104" w:name="P104"/>
    <w:bookmarkEnd w:id="104"/>
    <w:p>
      <w:pPr>
        <w:pStyle w:val="0"/>
        <w:spacing w:before="200" w:line-rule="auto"/>
        <w:ind w:firstLine="540"/>
        <w:jc w:val="both"/>
      </w:pPr>
      <w:r>
        <w:rPr>
          <w:sz w:val="20"/>
        </w:rPr>
        <w:t xml:space="preserve">13) должен иметь согласие на участие в отборе, выданное органом государственной власти (государственным органом) или органом местного самоуправления, осуществляющим функции и полномочия учредителя (в отношении заявителя, созданного в организационно-правовой форме автономного или бюджетного учреждения).</w:t>
      </w:r>
    </w:p>
    <w:p>
      <w:pPr>
        <w:pStyle w:val="0"/>
        <w:spacing w:before="200" w:line-rule="auto"/>
        <w:ind w:firstLine="540"/>
        <w:jc w:val="both"/>
      </w:pPr>
      <w:r>
        <w:rPr>
          <w:sz w:val="20"/>
        </w:rPr>
        <w:t xml:space="preserve">2.6. Требованиям, предусмотренным в </w:t>
      </w:r>
      <w:hyperlink w:history="0" w:anchor="P92" w:tooltip="1)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на дату получения информации из Единого государственного реестра юридических лиц (далее - ЕГРЮЛ);">
        <w:r>
          <w:rPr>
            <w:sz w:val="20"/>
            <w:color w:val="0000ff"/>
          </w:rPr>
          <w:t xml:space="preserve">подпунктах 1</w:t>
        </w:r>
      </w:hyperlink>
      <w:r>
        <w:rPr>
          <w:sz w:val="20"/>
        </w:rPr>
        <w:t xml:space="preserve"> - </w:t>
      </w:r>
      <w:hyperlink w:history="0" w:anchor="P94"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лучения информации с сайта Федеральной службы по финансовому мониторингу;">
        <w:r>
          <w:rPr>
            <w:sz w:val="20"/>
            <w:color w:val="0000ff"/>
          </w:rPr>
          <w:t xml:space="preserve">3</w:t>
        </w:r>
      </w:hyperlink>
      <w:r>
        <w:rPr>
          <w:sz w:val="20"/>
        </w:rPr>
        <w:t xml:space="preserve">, </w:t>
      </w:r>
      <w:hyperlink w:history="0" w:anchor="P96"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на дату получения информации с сайта Министерства юстиции Российской Федерации;">
        <w:r>
          <w:rPr>
            <w:sz w:val="20"/>
            <w:color w:val="0000ff"/>
          </w:rPr>
          <w:t xml:space="preserve">5</w:t>
        </w:r>
      </w:hyperlink>
      <w:r>
        <w:rPr>
          <w:sz w:val="20"/>
        </w:rPr>
        <w:t xml:space="preserve">, </w:t>
      </w:r>
      <w:hyperlink w:history="0" w:anchor="P100" w:tooltip="9) должен иметь статус &quot;Добро.Центр&quot;;">
        <w:r>
          <w:rPr>
            <w:sz w:val="20"/>
            <w:color w:val="0000ff"/>
          </w:rPr>
          <w:t xml:space="preserve">9 пункта 2.5</w:t>
        </w:r>
      </w:hyperlink>
      <w:r>
        <w:rPr>
          <w:sz w:val="20"/>
        </w:rPr>
        <w:t xml:space="preserve"> Порядка, заявитель должен соответствовать не ранее чем за 20 дней до даты подачи заявки.</w:t>
      </w:r>
    </w:p>
    <w:p>
      <w:pPr>
        <w:pStyle w:val="0"/>
        <w:spacing w:before="200" w:line-rule="auto"/>
        <w:ind w:firstLine="540"/>
        <w:jc w:val="both"/>
      </w:pPr>
      <w:r>
        <w:rPr>
          <w:sz w:val="20"/>
        </w:rPr>
        <w:t xml:space="preserve">2.7. Требованиям, предусмотренным в </w:t>
      </w:r>
      <w:hyperlink w:history="0" w:anchor="P95" w:tooltip="4) не должен получать средства из краевого бюджета на основании иных нормативных правовых актов Красноярского края на цель, указанную в пункте 1.3 Порядка;">
        <w:r>
          <w:rPr>
            <w:sz w:val="20"/>
            <w:color w:val="0000ff"/>
          </w:rPr>
          <w:t xml:space="preserve">подпунктах 4</w:t>
        </w:r>
      </w:hyperlink>
      <w:r>
        <w:rPr>
          <w:sz w:val="20"/>
        </w:rPr>
        <w:t xml:space="preserve">, </w:t>
      </w:r>
      <w:hyperlink w:history="0" w:anchor="P98" w:tooltip="7) должна отсутствовать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краевым бюджетом;">
        <w:r>
          <w:rPr>
            <w:sz w:val="20"/>
            <w:color w:val="0000ff"/>
          </w:rPr>
          <w:t xml:space="preserve">7</w:t>
        </w:r>
      </w:hyperlink>
      <w:r>
        <w:rPr>
          <w:sz w:val="20"/>
        </w:rPr>
        <w:t xml:space="preserve">, </w:t>
      </w:r>
      <w:hyperlink w:history="0" w:anchor="P99" w:tooltip="8)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
        <w:r>
          <w:rPr>
            <w:sz w:val="20"/>
            <w:color w:val="0000ff"/>
          </w:rPr>
          <w:t xml:space="preserve">8</w:t>
        </w:r>
      </w:hyperlink>
      <w:r>
        <w:rPr>
          <w:sz w:val="20"/>
        </w:rPr>
        <w:t xml:space="preserve">, </w:t>
      </w:r>
      <w:hyperlink w:history="0" w:anchor="P101" w:tooltip="10) должен иметь утвержденное руководителем Положение о ресурсном центре, содержащее услуги и функции;">
        <w:r>
          <w:rPr>
            <w:sz w:val="20"/>
            <w:color w:val="0000ff"/>
          </w:rPr>
          <w:t xml:space="preserve">10</w:t>
        </w:r>
      </w:hyperlink>
      <w:r>
        <w:rPr>
          <w:sz w:val="20"/>
        </w:rPr>
        <w:t xml:space="preserve"> - </w:t>
      </w:r>
      <w:hyperlink w:history="0" w:anchor="P104" w:tooltip="13) должен иметь согласие на участие в отборе, выданное органом государственной власти (государственным органом) или органом местного самоуправления, осуществляющим функции и полномочия учредителя (в отношении заявителя, созданного в организационно-правовой форме автономного или бюджетного учреждения).">
        <w:r>
          <w:rPr>
            <w:sz w:val="20"/>
            <w:color w:val="0000ff"/>
          </w:rPr>
          <w:t xml:space="preserve">13 пункта 2.5</w:t>
        </w:r>
      </w:hyperlink>
      <w:r>
        <w:rPr>
          <w:sz w:val="20"/>
        </w:rPr>
        <w:t xml:space="preserve"> Порядка, заявитель должен соответствовать на первое число месяца подачи заявки.</w:t>
      </w:r>
    </w:p>
    <w:p>
      <w:pPr>
        <w:pStyle w:val="0"/>
        <w:spacing w:before="200" w:line-rule="auto"/>
        <w:ind w:firstLine="540"/>
        <w:jc w:val="both"/>
      </w:pPr>
      <w:r>
        <w:rPr>
          <w:sz w:val="20"/>
        </w:rPr>
        <w:t xml:space="preserve">2.8. Требованию, предусмотренному в </w:t>
      </w:r>
      <w:hyperlink w:history="0" w:anchor="P97" w:tooltip="6)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получения информации от Федеральной налоговой службы Российской Федерации;">
        <w:r>
          <w:rPr>
            <w:sz w:val="20"/>
            <w:color w:val="0000ff"/>
          </w:rPr>
          <w:t xml:space="preserve">подпункте 6 пункта 2.5</w:t>
        </w:r>
      </w:hyperlink>
      <w:r>
        <w:rPr>
          <w:sz w:val="20"/>
        </w:rPr>
        <w:t xml:space="preserve"> Порядка, заявитель должен соответствовать не ранее чем за 40 дней до дня подачи заявки.</w:t>
      </w:r>
    </w:p>
    <w:bookmarkStart w:id="108" w:name="P108"/>
    <w:bookmarkEnd w:id="108"/>
    <w:p>
      <w:pPr>
        <w:pStyle w:val="0"/>
        <w:spacing w:before="200" w:line-rule="auto"/>
        <w:ind w:firstLine="540"/>
        <w:jc w:val="both"/>
      </w:pPr>
      <w:r>
        <w:rPr>
          <w:sz w:val="20"/>
        </w:rPr>
        <w:t xml:space="preserve">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w:t>
      </w:r>
    </w:p>
    <w:p>
      <w:pPr>
        <w:pStyle w:val="0"/>
        <w:spacing w:before="200" w:line-rule="auto"/>
        <w:ind w:firstLine="540"/>
        <w:jc w:val="both"/>
      </w:pPr>
      <w:r>
        <w:rPr>
          <w:sz w:val="20"/>
        </w:rPr>
        <w:t xml:space="preserve">1) копия паспорта гражданина Российской Федерации или иного документа, удостоверяющего личность уполномоченного представителя заявителя, копия документа, подтверждающего полномочия лица, представляющего интересы заявителя и уполномоченного на осуществление действий от его имени с приложением </w:t>
      </w:r>
      <w:hyperlink w:history="0" w:anchor="P610" w:tooltip="Согласие на обработку персональных данных">
        <w:r>
          <w:rPr>
            <w:sz w:val="20"/>
            <w:color w:val="0000ff"/>
          </w:rPr>
          <w:t xml:space="preserve">согласия</w:t>
        </w:r>
      </w:hyperlink>
      <w:r>
        <w:rPr>
          <w:sz w:val="20"/>
        </w:rPr>
        <w:t xml:space="preserve"> на обработку персональных данных в соответствии со </w:t>
      </w:r>
      <w:hyperlink w:history="0" r:id="rId24"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по форме согласно приложению N 2 к Порядку;</w:t>
      </w:r>
    </w:p>
    <w:p>
      <w:pPr>
        <w:pStyle w:val="0"/>
        <w:spacing w:before="200" w:line-rule="auto"/>
        <w:ind w:firstLine="540"/>
        <w:jc w:val="both"/>
      </w:pPr>
      <w:r>
        <w:rPr>
          <w:sz w:val="20"/>
        </w:rPr>
        <w:t xml:space="preserve">2) копия учредительных документов заявителя (устав, свидетельства о государственной регистрации);</w:t>
      </w:r>
    </w:p>
    <w:bookmarkStart w:id="111" w:name="P111"/>
    <w:bookmarkEnd w:id="111"/>
    <w:p>
      <w:pPr>
        <w:pStyle w:val="0"/>
        <w:spacing w:before="200" w:line-rule="auto"/>
        <w:ind w:firstLine="540"/>
        <w:jc w:val="both"/>
      </w:pPr>
      <w:r>
        <w:rPr>
          <w:sz w:val="20"/>
        </w:rPr>
        <w:t xml:space="preserve">3) выписка из ЕГРЮЛ (представляется по собственной инициативе);</w:t>
      </w:r>
    </w:p>
    <w:bookmarkStart w:id="112" w:name="P112"/>
    <w:bookmarkEnd w:id="112"/>
    <w:p>
      <w:pPr>
        <w:pStyle w:val="0"/>
        <w:spacing w:before="200" w:line-rule="auto"/>
        <w:ind w:firstLine="540"/>
        <w:jc w:val="both"/>
      </w:pPr>
      <w:r>
        <w:rPr>
          <w:sz w:val="20"/>
        </w:rPr>
        <w:t xml:space="preserve">4) справки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выданной территориальным органом Федеральной налоговой службы, по состоянию на дату получения информации от Федеральной налоговой службы Российской Федерации, но не ранее чем за 40 дней до дня подачи заявки на отбор (представляется по собственной инициативе);</w:t>
      </w:r>
    </w:p>
    <w:bookmarkStart w:id="113" w:name="P113"/>
    <w:bookmarkEnd w:id="113"/>
    <w:p>
      <w:pPr>
        <w:pStyle w:val="0"/>
        <w:spacing w:before="200" w:line-rule="auto"/>
        <w:ind w:firstLine="540"/>
        <w:jc w:val="both"/>
      </w:pPr>
      <w:r>
        <w:rPr>
          <w:sz w:val="20"/>
        </w:rPr>
        <w:t xml:space="preserve">5) электронный носитель с заявкой (прикладывается только к заявке, которая подается лично или почтовым отправлением с уведомлением о вручении и описью вложения, прилагается к 1 тому бумажного варианта заявки и должен содержать скан-образы представленных в составе заявки документов в формате pdf, а также заявление в формате doc и pdf);</w:t>
      </w:r>
    </w:p>
    <w:p>
      <w:pPr>
        <w:pStyle w:val="0"/>
        <w:spacing w:before="200" w:line-rule="auto"/>
        <w:ind w:firstLine="540"/>
        <w:jc w:val="both"/>
      </w:pPr>
      <w:r>
        <w:rPr>
          <w:sz w:val="20"/>
        </w:rPr>
        <w:t xml:space="preserve">6) копия лицензионного договора между заявителем и Ассоциацией волонтерских центров;</w:t>
      </w:r>
    </w:p>
    <w:p>
      <w:pPr>
        <w:pStyle w:val="0"/>
        <w:spacing w:before="200" w:line-rule="auto"/>
        <w:ind w:firstLine="540"/>
        <w:jc w:val="both"/>
      </w:pPr>
      <w:r>
        <w:rPr>
          <w:sz w:val="20"/>
        </w:rPr>
        <w:t xml:space="preserve">7) копия утвержденного Положения о ресурсном центре;</w:t>
      </w:r>
    </w:p>
    <w:p>
      <w:pPr>
        <w:pStyle w:val="0"/>
        <w:spacing w:before="200" w:line-rule="auto"/>
        <w:ind w:firstLine="540"/>
        <w:jc w:val="both"/>
      </w:pPr>
      <w:r>
        <w:rPr>
          <w:sz w:val="20"/>
        </w:rPr>
        <w:t xml:space="preserve">8) копия приказа о назначении руководителя ресурсного центра либо документов, подтверждающих наличие специалиста, выполняющего функции руководителя ресурсного центра на основании договора гражданского - правового характера;</w:t>
      </w:r>
    </w:p>
    <w:p>
      <w:pPr>
        <w:pStyle w:val="0"/>
        <w:spacing w:before="200" w:line-rule="auto"/>
        <w:ind w:firstLine="540"/>
        <w:jc w:val="both"/>
      </w:pPr>
      <w:r>
        <w:rPr>
          <w:sz w:val="20"/>
        </w:rPr>
        <w:t xml:space="preserve">9) копии документов, подтверждающих наличие у заявителя помещения для размещения ресурсного центра, которым он должен владеть и пользоваться на праве аренды, безвозмездного пользования, оперативного управления или иметь в собственности или ином законном основании;</w:t>
      </w:r>
    </w:p>
    <w:p>
      <w:pPr>
        <w:pStyle w:val="0"/>
        <w:spacing w:before="200" w:line-rule="auto"/>
        <w:ind w:firstLine="540"/>
        <w:jc w:val="both"/>
      </w:pPr>
      <w:r>
        <w:rPr>
          <w:sz w:val="20"/>
        </w:rPr>
        <w:t xml:space="preserve">10) согласие органа государственной власти (государственного органа) и (или) органа местного самоуправления, осуществляющего функции и полномочия учредителя в отношении заявителей, являющихся бюджетными или автономными учреждениями, на участие в отборе (за исключением бюджетных или автономных учреждений, функции и полномочия учредителя в отношении которых осуществляет агентство).</w:t>
      </w:r>
    </w:p>
    <w:bookmarkStart w:id="119" w:name="P119"/>
    <w:bookmarkEnd w:id="119"/>
    <w:p>
      <w:pPr>
        <w:pStyle w:val="0"/>
        <w:spacing w:before="200" w:line-rule="auto"/>
        <w:ind w:firstLine="540"/>
        <w:jc w:val="both"/>
      </w:pPr>
      <w:r>
        <w:rPr>
          <w:sz w:val="20"/>
        </w:rPr>
        <w:t xml:space="preserve">2.10. Заявка должна быть выполнена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bookmarkStart w:id="120" w:name="P120"/>
    <w:bookmarkEnd w:id="120"/>
    <w:p>
      <w:pPr>
        <w:pStyle w:val="0"/>
        <w:spacing w:before="200" w:line-rule="auto"/>
        <w:ind w:firstLine="540"/>
        <w:jc w:val="both"/>
      </w:pPr>
      <w:r>
        <w:rPr>
          <w:sz w:val="20"/>
        </w:rPr>
        <w:t xml:space="preserve">2.11. Копии документов, входящие в состав заявки в соответствии с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пунктом 2.9</w:t>
        </w:r>
      </w:hyperlink>
      <w:r>
        <w:rPr>
          <w:sz w:val="20"/>
        </w:rPr>
        <w:t xml:space="preserve"> Порядка, должны быть читабельны, заверены подписью руководителя и печатью заявителя (при наличии), подающего заявку, либо нотариально удостоверены.</w:t>
      </w:r>
    </w:p>
    <w:p>
      <w:pPr>
        <w:pStyle w:val="0"/>
        <w:spacing w:before="200" w:line-rule="auto"/>
        <w:ind w:firstLine="540"/>
        <w:jc w:val="both"/>
      </w:pPr>
      <w:r>
        <w:rPr>
          <w:sz w:val="20"/>
        </w:rPr>
        <w:t xml:space="preserve">2.12. Ответственность за достоверность сведений, содержащихся в заявке, несет заявитель.</w:t>
      </w:r>
    </w:p>
    <w:bookmarkStart w:id="122" w:name="P122"/>
    <w:bookmarkEnd w:id="122"/>
    <w:p>
      <w:pPr>
        <w:pStyle w:val="0"/>
        <w:spacing w:before="200" w:line-rule="auto"/>
        <w:ind w:firstLine="540"/>
        <w:jc w:val="both"/>
      </w:pPr>
      <w:r>
        <w:rPr>
          <w:sz w:val="20"/>
        </w:rPr>
        <w:t xml:space="preserve">2.13. Заявка на бумажном носителе должна быть сброшюрована в одну или несколько папок (томов) и пронумерована. Первым должно быть подшито заявление, затем документы, входящие в состав заявки. При представлении в составе заявки нескольких папок (томов) указываются номера папок (томов) и количество страниц в каждой папке (томе) соответственно.</w:t>
      </w:r>
    </w:p>
    <w:p>
      <w:pPr>
        <w:pStyle w:val="0"/>
        <w:spacing w:before="200" w:line-rule="auto"/>
        <w:ind w:firstLine="540"/>
        <w:jc w:val="both"/>
      </w:pPr>
      <w:r>
        <w:rPr>
          <w:sz w:val="20"/>
        </w:rPr>
        <w:t xml:space="preserve">2.14. Заявка запечатывается в конверт, на котором указывается наименование заявки, юридический адрес заявителя.</w:t>
      </w:r>
    </w:p>
    <w:p>
      <w:pPr>
        <w:pStyle w:val="0"/>
        <w:spacing w:before="200" w:line-rule="auto"/>
        <w:ind w:firstLine="540"/>
        <w:jc w:val="both"/>
      </w:pPr>
      <w:r>
        <w:rPr>
          <w:sz w:val="20"/>
        </w:rPr>
        <w:t xml:space="preserve">Если в заявке содержится несколько папок (томов), то каждая папка (том) запечатывается в отдельный конверт, на котором указываются помимо наименования заявки, юридического адреса заявителя, слова "Заявка на участие в отборе некоммерческих организаций с целью предоставления грантов в форме субсидии на обеспечение деятельности ресурсных центров поддержки добровольчества (волонтерства), социально ориентированных некоммерческих организаций", номер тома.</w:t>
      </w:r>
    </w:p>
    <w:bookmarkStart w:id="125" w:name="P125"/>
    <w:bookmarkEnd w:id="125"/>
    <w:p>
      <w:pPr>
        <w:pStyle w:val="0"/>
        <w:spacing w:before="200" w:line-rule="auto"/>
        <w:ind w:firstLine="540"/>
        <w:jc w:val="both"/>
      </w:pPr>
      <w:r>
        <w:rPr>
          <w:sz w:val="20"/>
        </w:rPr>
        <w:t xml:space="preserve">2.15. Электронный носитель с заявкой прилагается к первому тому бумажного варианта заявки (прикладывается только к заявке, которая подается лично или почтовым отправлением с уведомлением о вручении и описью вложения).</w:t>
      </w:r>
    </w:p>
    <w:p>
      <w:pPr>
        <w:pStyle w:val="0"/>
        <w:spacing w:before="200" w:line-rule="auto"/>
        <w:ind w:firstLine="540"/>
        <w:jc w:val="both"/>
      </w:pPr>
      <w:r>
        <w:rPr>
          <w:sz w:val="20"/>
        </w:rPr>
        <w:t xml:space="preserve">2.16. В случае если заявитель не представил по собственной инициативе документы, указанные в </w:t>
      </w:r>
      <w:hyperlink w:history="0" w:anchor="P111" w:tooltip="3) выписка из ЕГРЮЛ (представляется по собственной инициативе);">
        <w:r>
          <w:rPr>
            <w:sz w:val="20"/>
            <w:color w:val="0000ff"/>
          </w:rPr>
          <w:t xml:space="preserve">подпунктах 3</w:t>
        </w:r>
      </w:hyperlink>
      <w:r>
        <w:rPr>
          <w:sz w:val="20"/>
        </w:rPr>
        <w:t xml:space="preserve">, </w:t>
      </w:r>
      <w:hyperlink w:history="0" w:anchor="P112" w:tooltip="4) справки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ой территориальным органом Федеральной налоговой службы, по состоянию на дату получения информации от Федеральной налоговой службы Российской Федерации, но не ранее чем за 40 дней до дня подачи заявки на отбор (представляется по собственной инициативе);">
        <w:r>
          <w:rPr>
            <w:sz w:val="20"/>
            <w:color w:val="0000ff"/>
          </w:rPr>
          <w:t xml:space="preserve">4 пункта 2.9</w:t>
        </w:r>
      </w:hyperlink>
      <w:r>
        <w:rPr>
          <w:sz w:val="20"/>
        </w:rPr>
        <w:t xml:space="preserve"> Порядка, то сведения о них агентство получает посредством межведомственного информационного взаимодействия в течение 5 рабочих дней, следующих за днем регистрации заявки.</w:t>
      </w:r>
    </w:p>
    <w:p>
      <w:pPr>
        <w:pStyle w:val="0"/>
        <w:spacing w:before="200" w:line-rule="auto"/>
        <w:ind w:firstLine="540"/>
        <w:jc w:val="both"/>
      </w:pPr>
      <w:r>
        <w:rPr>
          <w:sz w:val="20"/>
        </w:rPr>
        <w:t xml:space="preserve">Указанные сведения приобщаются агентством к заявке, представленной заявителем.</w:t>
      </w:r>
    </w:p>
    <w:p>
      <w:pPr>
        <w:pStyle w:val="0"/>
        <w:spacing w:before="200" w:line-rule="auto"/>
        <w:ind w:firstLine="540"/>
        <w:jc w:val="both"/>
      </w:pPr>
      <w:r>
        <w:rPr>
          <w:sz w:val="20"/>
        </w:rPr>
        <w:t xml:space="preserve">2.17. Проведение агентством проверки на соответствие заявителя требованиям, установленным в </w:t>
      </w:r>
      <w:hyperlink w:history="0" w:anchor="P93"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лучения информации с сайта Федеральной службы по финансовому мониторингу;">
        <w:r>
          <w:rPr>
            <w:sz w:val="20"/>
            <w:color w:val="0000ff"/>
          </w:rPr>
          <w:t xml:space="preserve">подпунктах 2</w:t>
        </w:r>
      </w:hyperlink>
      <w:r>
        <w:rPr>
          <w:sz w:val="20"/>
        </w:rPr>
        <w:t xml:space="preserve">, </w:t>
      </w:r>
      <w:hyperlink w:history="0" w:anchor="P94"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лучения информации с сайта Федеральной службы по финансовому мониторингу;">
        <w:r>
          <w:rPr>
            <w:sz w:val="20"/>
            <w:color w:val="0000ff"/>
          </w:rPr>
          <w:t xml:space="preserve">3</w:t>
        </w:r>
      </w:hyperlink>
      <w:r>
        <w:rPr>
          <w:sz w:val="20"/>
        </w:rPr>
        <w:t xml:space="preserve">, </w:t>
      </w:r>
      <w:hyperlink w:history="0" w:anchor="P96"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на дату получения информации с сайта Министерства юстиции Российской Федерации;">
        <w:r>
          <w:rPr>
            <w:sz w:val="20"/>
            <w:color w:val="0000ff"/>
          </w:rPr>
          <w:t xml:space="preserve">5</w:t>
        </w:r>
      </w:hyperlink>
      <w:r>
        <w:rPr>
          <w:sz w:val="20"/>
        </w:rPr>
        <w:t xml:space="preserve">, </w:t>
      </w:r>
      <w:hyperlink w:history="0" w:anchor="P97" w:tooltip="6)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получения информации от Федеральной налоговой службы Российской Федерации;">
        <w:r>
          <w:rPr>
            <w:sz w:val="20"/>
            <w:color w:val="0000ff"/>
          </w:rPr>
          <w:t xml:space="preserve">6 пункта 2.5</w:t>
        </w:r>
      </w:hyperlink>
      <w:r>
        <w:rPr>
          <w:sz w:val="20"/>
        </w:rPr>
        <w:t xml:space="preserve"> Порядка, осуществляется в течение 5 рабочих дней, следующих за днем регистрации заявки, в следующем порядке:</w:t>
      </w:r>
    </w:p>
    <w:p>
      <w:pPr>
        <w:pStyle w:val="0"/>
        <w:spacing w:before="200" w:line-rule="auto"/>
        <w:ind w:firstLine="540"/>
        <w:jc w:val="both"/>
      </w:pPr>
      <w:r>
        <w:rPr>
          <w:sz w:val="20"/>
        </w:rPr>
        <w:t xml:space="preserve">сведения о соблюдении заявителем требований, установленных </w:t>
      </w:r>
      <w:hyperlink w:history="0" w:anchor="P93"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лучения информации с сайта Федеральной службы по финансовому мониторингу;">
        <w:r>
          <w:rPr>
            <w:sz w:val="20"/>
            <w:color w:val="0000ff"/>
          </w:rPr>
          <w:t xml:space="preserve">подпунктами 2</w:t>
        </w:r>
      </w:hyperlink>
      <w:r>
        <w:rPr>
          <w:sz w:val="20"/>
        </w:rPr>
        <w:t xml:space="preserve">, </w:t>
      </w:r>
      <w:hyperlink w:history="0" w:anchor="P94"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лучения информации с сайта Федеральной службы по финансовому мониторингу;">
        <w:r>
          <w:rPr>
            <w:sz w:val="20"/>
            <w:color w:val="0000ff"/>
          </w:rPr>
          <w:t xml:space="preserve">3 пункта 2.5</w:t>
        </w:r>
      </w:hyperlink>
      <w:r>
        <w:rPr>
          <w:sz w:val="20"/>
        </w:rPr>
        <w:t xml:space="preserve"> Порядка, проверяются агентством с использованием общедоступных сведений, размещенных на официальном сайте Федеральной службы по финансовому мониторингу в информационно-телекоммуникационной сети Интернет (скриншот с сайта Федеральной службы по финансовому мониторингу в информационно-телекоммуникационной сети Интернет приобщается агентством к документам, представленным заявителем);</w:t>
      </w:r>
    </w:p>
    <w:p>
      <w:pPr>
        <w:pStyle w:val="0"/>
        <w:spacing w:before="200" w:line-rule="auto"/>
        <w:ind w:firstLine="540"/>
        <w:jc w:val="both"/>
      </w:pPr>
      <w:r>
        <w:rPr>
          <w:sz w:val="20"/>
        </w:rPr>
        <w:t xml:space="preserve">сведения о соблюдении заявителем требований, установленных </w:t>
      </w:r>
      <w:hyperlink w:history="0" w:anchor="P96"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на дату получения информации с сайта Министерства юстиции Российской Федерации;">
        <w:r>
          <w:rPr>
            <w:sz w:val="20"/>
            <w:color w:val="0000ff"/>
          </w:rPr>
          <w:t xml:space="preserve">подпунктом 5 пункта 2.5</w:t>
        </w:r>
      </w:hyperlink>
      <w:r>
        <w:rPr>
          <w:sz w:val="20"/>
        </w:rPr>
        <w:t xml:space="preserve"> Порядка, проверяются агентством с использованием общедоступных сведений, размещенных на официальном сайте Министерства юстиции Российской Федерации в информационно-телекоммуникационной сети Интернет (скриншот с сайта Министерства юстиции Российской Федерации в информационно-телекоммуникационной сети Интернет приобщается агентством к документам, представленным заявителем);</w:t>
      </w:r>
    </w:p>
    <w:p>
      <w:pPr>
        <w:pStyle w:val="0"/>
        <w:spacing w:before="200" w:line-rule="auto"/>
        <w:ind w:firstLine="540"/>
        <w:jc w:val="both"/>
      </w:pPr>
      <w:r>
        <w:rPr>
          <w:sz w:val="20"/>
        </w:rPr>
        <w:t xml:space="preserve">сведения о соблюдении заявителем требований, установленных </w:t>
      </w:r>
      <w:hyperlink w:history="0" w:anchor="P97" w:tooltip="6)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получения информации от Федеральной налоговой службы Российской Федерации;">
        <w:r>
          <w:rPr>
            <w:sz w:val="20"/>
            <w:color w:val="0000ff"/>
          </w:rPr>
          <w:t xml:space="preserve">подпунктом 6 пункта 2.5</w:t>
        </w:r>
      </w:hyperlink>
      <w:r>
        <w:rPr>
          <w:sz w:val="20"/>
        </w:rPr>
        <w:t xml:space="preserve"> Порядка, проверяются агентством посредством межведомственного взаимодействия с территориальным органом Федеральной налоговой службы,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spacing w:before="200" w:line-rule="auto"/>
        <w:ind w:firstLine="540"/>
        <w:jc w:val="both"/>
      </w:pPr>
      <w:r>
        <w:rPr>
          <w:sz w:val="20"/>
        </w:rPr>
        <w:t xml:space="preserve">Сведения о соблюдении заявителем требований, установленных </w:t>
      </w:r>
      <w:hyperlink w:history="0" w:anchor="P95" w:tooltip="4) не должен получать средства из краевого бюджета на основании иных нормативных правовых актов Красноярского края на цель, указанную в пункте 1.3 Порядка;">
        <w:r>
          <w:rPr>
            <w:sz w:val="20"/>
            <w:color w:val="0000ff"/>
          </w:rPr>
          <w:t xml:space="preserve">подпунктами 4</w:t>
        </w:r>
      </w:hyperlink>
      <w:r>
        <w:rPr>
          <w:sz w:val="20"/>
        </w:rPr>
        <w:t xml:space="preserve">, </w:t>
      </w:r>
      <w:hyperlink w:history="0" w:anchor="P98" w:tooltip="7) должна отсутствовать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краевым бюджетом;">
        <w:r>
          <w:rPr>
            <w:sz w:val="20"/>
            <w:color w:val="0000ff"/>
          </w:rPr>
          <w:t xml:space="preserve">7</w:t>
        </w:r>
      </w:hyperlink>
      <w:r>
        <w:rPr>
          <w:sz w:val="20"/>
        </w:rPr>
        <w:t xml:space="preserve">, </w:t>
      </w:r>
      <w:hyperlink w:history="0" w:anchor="P99" w:tooltip="8)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
        <w:r>
          <w:rPr>
            <w:sz w:val="20"/>
            <w:color w:val="0000ff"/>
          </w:rPr>
          <w:t xml:space="preserve">8</w:t>
        </w:r>
      </w:hyperlink>
      <w:r>
        <w:rPr>
          <w:sz w:val="20"/>
        </w:rPr>
        <w:t xml:space="preserve"> (в части сведений о неприостановлении (приостановлении) деятельности заявителя в порядке, предусмотренном законодательством Российской Федерации) пункта 2.5 Порядка, указываются заявителем в заявлении.</w:t>
      </w:r>
    </w:p>
    <w:bookmarkStart w:id="133" w:name="P133"/>
    <w:bookmarkEnd w:id="133"/>
    <w:p>
      <w:pPr>
        <w:pStyle w:val="0"/>
        <w:spacing w:before="200" w:line-rule="auto"/>
        <w:ind w:firstLine="540"/>
        <w:jc w:val="both"/>
      </w:pPr>
      <w:r>
        <w:rPr>
          <w:sz w:val="20"/>
        </w:rPr>
        <w:t xml:space="preserve">2.18. Заявитель может подать не более одной заявки на отбор.</w:t>
      </w:r>
    </w:p>
    <w:p>
      <w:pPr>
        <w:pStyle w:val="0"/>
        <w:spacing w:before="200" w:line-rule="auto"/>
        <w:ind w:firstLine="540"/>
        <w:jc w:val="both"/>
      </w:pPr>
      <w:r>
        <w:rPr>
          <w:sz w:val="20"/>
        </w:rPr>
        <w:t xml:space="preserve">2.19. Заявитель представляет заявку лично или почтовым отправлением с уведомлением о вручении и описью вложения по адресу, указанному в объявлении или в форме электронного документа (пакета документов), подписанного усиленной квалифицированной электронной подписью в соответствии с Федеральным </w:t>
      </w:r>
      <w:hyperlink w:history="0" r:id="rId25"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законом</w:t>
        </w:r>
      </w:hyperlink>
      <w:r>
        <w:rPr>
          <w:sz w:val="20"/>
        </w:rPr>
        <w:t xml:space="preserve"> от 06.04.2011 N 63-ФЗ "Об электронной подписи" (далее - Федеральный закон N 63-ФЗ), по указанному в объявлении адресу электронной почты агентства.</w:t>
      </w:r>
    </w:p>
    <w:bookmarkStart w:id="135" w:name="P135"/>
    <w:bookmarkEnd w:id="135"/>
    <w:p>
      <w:pPr>
        <w:pStyle w:val="0"/>
        <w:spacing w:before="200" w:line-rule="auto"/>
        <w:ind w:firstLine="540"/>
        <w:jc w:val="both"/>
      </w:pPr>
      <w:r>
        <w:rPr>
          <w:sz w:val="20"/>
        </w:rPr>
        <w:t xml:space="preserve">2.20. В случае представления заявки в электронной форме заявление и архив документов, входящий в состав заявки, подписываются с использованием усиленной квалифицированной электронной подписи должностным лицом, уполномоченным на подписание документа в соответствии с Федеральным </w:t>
      </w:r>
      <w:hyperlink w:history="0" r:id="rId26"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законом</w:t>
        </w:r>
      </w:hyperlink>
      <w:r>
        <w:rPr>
          <w:sz w:val="20"/>
        </w:rPr>
        <w:t xml:space="preserve"> N 63-ФЗ.</w:t>
      </w:r>
    </w:p>
    <w:p>
      <w:pPr>
        <w:pStyle w:val="0"/>
        <w:spacing w:before="200" w:line-rule="auto"/>
        <w:ind w:firstLine="540"/>
        <w:jc w:val="both"/>
      </w:pPr>
      <w:r>
        <w:rPr>
          <w:sz w:val="20"/>
        </w:rPr>
        <w:t xml:space="preserve">2.21. Заявка регистрируется агентством в журнале регистрации заявок в день поступления заявки в агентство, в котором указывается наименование заявителя, регистрационный номер заявки, дата и время получения заявки, должность и фамилия, имя, отчество государственного гражданского служащего агентства, принявшего заявку.</w:t>
      </w:r>
    </w:p>
    <w:p>
      <w:pPr>
        <w:pStyle w:val="0"/>
        <w:spacing w:before="200" w:line-rule="auto"/>
        <w:ind w:firstLine="540"/>
        <w:jc w:val="both"/>
      </w:pPr>
      <w:r>
        <w:rPr>
          <w:sz w:val="20"/>
        </w:rPr>
        <w:t xml:space="preserve">2.22. В случае представления заявки в агентство с нарочным, представителю заявителя выдается расписка в получении заявки с указанием даты и времени ее получения и присвоенного регистрационного номера, должности и фамилии, имени, отчества государственного гражданского служащего агентства, принявшего заявку.</w:t>
      </w:r>
    </w:p>
    <w:p>
      <w:pPr>
        <w:pStyle w:val="0"/>
        <w:spacing w:before="200" w:line-rule="auto"/>
        <w:ind w:firstLine="540"/>
        <w:jc w:val="both"/>
      </w:pPr>
      <w:r>
        <w:rPr>
          <w:sz w:val="20"/>
        </w:rPr>
        <w:t xml:space="preserve">При поступлении в агентство заявки, направленной по почте, расписка в получении заявки не составляется и не выдается.</w:t>
      </w:r>
    </w:p>
    <w:p>
      <w:pPr>
        <w:pStyle w:val="0"/>
        <w:spacing w:before="200" w:line-rule="auto"/>
        <w:ind w:firstLine="540"/>
        <w:jc w:val="both"/>
      </w:pPr>
      <w:r>
        <w:rPr>
          <w:sz w:val="20"/>
        </w:rPr>
        <w:t xml:space="preserve">В случае если заявка поступила в агентство в форме электронного документа в нерабочее время (в том числе в нерабочий праздничный или выходной день), то она регистрируются агентством в первый рабочий день, следующий за днем поступления заявки.</w:t>
      </w:r>
    </w:p>
    <w:bookmarkStart w:id="140" w:name="P140"/>
    <w:bookmarkEnd w:id="140"/>
    <w:p>
      <w:pPr>
        <w:pStyle w:val="0"/>
        <w:spacing w:before="200" w:line-rule="auto"/>
        <w:ind w:firstLine="540"/>
        <w:jc w:val="both"/>
      </w:pPr>
      <w:r>
        <w:rPr>
          <w:sz w:val="20"/>
        </w:rPr>
        <w:t xml:space="preserve">2.23. При поступлении заявки в форме электронного документа, подписанного усиленной квалифицированной электронной подписью в соответствии с Федеральным </w:t>
      </w:r>
      <w:hyperlink w:history="0" r:id="rId27"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законом</w:t>
        </w:r>
      </w:hyperlink>
      <w:r>
        <w:rPr>
          <w:sz w:val="20"/>
        </w:rPr>
        <w:t xml:space="preserve"> N 63-ФЗ, агентство в течение 5 рабочих дней с даты регистрации заявки осуществляет проверку действительности усиленной квалифицированной электронной подписи, предусматривающую проверку соблюдения условий, указанных в </w:t>
      </w:r>
      <w:hyperlink w:history="0" r:id="rId28"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статье 11</w:t>
        </w:r>
      </w:hyperlink>
      <w:r>
        <w:rPr>
          <w:sz w:val="20"/>
        </w:rPr>
        <w:t xml:space="preserve"> Федерального закона N 63-ФЗ.</w:t>
      </w:r>
    </w:p>
    <w:p>
      <w:pPr>
        <w:pStyle w:val="0"/>
        <w:spacing w:before="200" w:line-rule="auto"/>
        <w:ind w:firstLine="540"/>
        <w:jc w:val="both"/>
      </w:pPr>
      <w:r>
        <w:rPr>
          <w:sz w:val="20"/>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агентство в течение 3 рабочих дней со дня завершения проведения такой проверки принимает решение об отказе в приеме к рассмотрению заявки и направляет заявителю уведомление об этом в электронной форме по электронной почте, указанной в заявке, с указанием пунктов </w:t>
      </w:r>
      <w:hyperlink w:history="0" r:id="rId29"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статьи 11</w:t>
        </w:r>
      </w:hyperlink>
      <w:r>
        <w:rPr>
          <w:sz w:val="20"/>
        </w:rPr>
        <w:t xml:space="preserve"> Федерального закона N 63-ФЗ, которые послужили основанием для принятия указанного решения.</w:t>
      </w:r>
    </w:p>
    <w:p>
      <w:pPr>
        <w:pStyle w:val="0"/>
        <w:spacing w:before="200" w:line-rule="auto"/>
        <w:ind w:firstLine="540"/>
        <w:jc w:val="both"/>
      </w:pPr>
      <w:r>
        <w:rPr>
          <w:sz w:val="20"/>
        </w:rPr>
        <w:t xml:space="preserve">После получения уведомления заявитель вправе обратиться повторно с заявкой, устранив нарушения, которые послужили основанием для отказа в приеме к рассмотрению заявки, не позднее срока, указанного в объявлении.</w:t>
      </w:r>
    </w:p>
    <w:bookmarkStart w:id="143" w:name="P143"/>
    <w:bookmarkEnd w:id="143"/>
    <w:p>
      <w:pPr>
        <w:pStyle w:val="0"/>
        <w:spacing w:before="200" w:line-rule="auto"/>
        <w:ind w:firstLine="540"/>
        <w:jc w:val="both"/>
      </w:pPr>
      <w:r>
        <w:rPr>
          <w:sz w:val="20"/>
        </w:rPr>
        <w:t xml:space="preserve">2.24. Заявка может быть отозвана заявителем до окончания срока приема заявок путем направления в агентство письменного обращения лично либо направления письменного обращения почтовым отправлением, которое должно быть подписано заявителем и содержать наименование, способ направления отозванной заявки ("передать заявку представителю заявителя лично, по мере его прибытия в агентство" или "направить отозванную заявку по почте"), а в случае если будет выбран способ направления отозванной заявки по почте, то также указывается почтовый адрес, на который необходимо направить отозванную заявку.</w:t>
      </w:r>
    </w:p>
    <w:p>
      <w:pPr>
        <w:pStyle w:val="0"/>
        <w:spacing w:before="200" w:line-rule="auto"/>
        <w:ind w:firstLine="540"/>
        <w:jc w:val="both"/>
      </w:pPr>
      <w:r>
        <w:rPr>
          <w:sz w:val="20"/>
        </w:rPr>
        <w:t xml:space="preserve">Отозванные заявки не учитываются при определении количества заявок, представленных на участие в отборе.</w:t>
      </w:r>
    </w:p>
    <w:bookmarkStart w:id="145" w:name="P145"/>
    <w:bookmarkEnd w:id="145"/>
    <w:p>
      <w:pPr>
        <w:pStyle w:val="0"/>
        <w:spacing w:before="200" w:line-rule="auto"/>
        <w:ind w:firstLine="540"/>
        <w:jc w:val="both"/>
      </w:pPr>
      <w:r>
        <w:rPr>
          <w:sz w:val="20"/>
        </w:rPr>
        <w:t xml:space="preserve">2.25. Возврат заявки заявителя осуществляется агентством на основании письменного обращения заявителя об отзыве заявки.</w:t>
      </w:r>
    </w:p>
    <w:p>
      <w:pPr>
        <w:pStyle w:val="0"/>
        <w:spacing w:before="200" w:line-rule="auto"/>
        <w:ind w:firstLine="540"/>
        <w:jc w:val="both"/>
      </w:pPr>
      <w:r>
        <w:rPr>
          <w:sz w:val="20"/>
        </w:rPr>
        <w:t xml:space="preserve">В случае если отозванная заявка поступила ранее почтовым отправлением или была доставлена лично в агентство, заявка возвращается представителю заявителя лично по мере его прибытия в агентство либо направляется по почте в течение 10 рабочих дней с момента регистрации письменного обращения, указанного в </w:t>
      </w:r>
      <w:hyperlink w:history="0" w:anchor="P145" w:tooltip="2.25. Возврат заявки заявителя осуществляется агентством на основании письменного обращения заявителя об отзыве заявки.">
        <w:r>
          <w:rPr>
            <w:sz w:val="20"/>
            <w:color w:val="0000ff"/>
          </w:rPr>
          <w:t xml:space="preserve">абзаце первом</w:t>
        </w:r>
      </w:hyperlink>
      <w:r>
        <w:rPr>
          <w:sz w:val="20"/>
        </w:rPr>
        <w:t xml:space="preserve"> настоящего пункта Порядка, в государственной межведомственной информационной системе электронного документооборота Правительства Красноярского края и иных органов исполнительной власти Красноярского края "Енисей-СЭД" (далее - Енисей-СЭД).</w:t>
      </w:r>
    </w:p>
    <w:p>
      <w:pPr>
        <w:pStyle w:val="0"/>
        <w:spacing w:before="200" w:line-rule="auto"/>
        <w:ind w:firstLine="540"/>
        <w:jc w:val="both"/>
      </w:pPr>
      <w:r>
        <w:rPr>
          <w:sz w:val="20"/>
        </w:rPr>
        <w:t xml:space="preserve">Отметка о возврате отозванной заявки ставится в журнале регистрации заявок.</w:t>
      </w:r>
    </w:p>
    <w:p>
      <w:pPr>
        <w:pStyle w:val="0"/>
        <w:spacing w:before="200" w:line-rule="auto"/>
        <w:ind w:firstLine="540"/>
        <w:jc w:val="both"/>
      </w:pPr>
      <w:r>
        <w:rPr>
          <w:sz w:val="20"/>
        </w:rPr>
        <w:t xml:space="preserve">2.26. Внесение изменений в заявку (доработка) и ее повторная подача осуществляется заявителем не позднее окончания срока приема заявок, указанного в объявлении, путем представления новой заявки (почтовым отправлением, нарочным, в электронной форме) в соответствии с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пунктом 2.9</w:t>
        </w:r>
      </w:hyperlink>
      <w:r>
        <w:rPr>
          <w:sz w:val="20"/>
        </w:rPr>
        <w:t xml:space="preserve"> Порядка. При этом первоначальная заявка должна быть отозвана в соответствии с </w:t>
      </w:r>
      <w:hyperlink w:history="0" w:anchor="P143" w:tooltip="2.24. Заявка может быть отозвана заявителем до окончания срока приема заявок путем направления в агентство письменного обращения лично либо направления письменного обращения почтовым отправлением, которое должно быть подписано заявителем и содержать наименование, способ направления отозванной заявки (&quot;передать заявку представителю заявителя лично, по мере его прибытия в агентство&quot; или &quot;направить отозванную заявку по почте&quot;), а в случае если будет выбран способ направления отозванной заявки по почте, то т...">
        <w:r>
          <w:rPr>
            <w:sz w:val="20"/>
            <w:color w:val="0000ff"/>
          </w:rPr>
          <w:t xml:space="preserve">пунктом 2.24</w:t>
        </w:r>
      </w:hyperlink>
      <w:r>
        <w:rPr>
          <w:sz w:val="20"/>
        </w:rPr>
        <w:t xml:space="preserve"> Порядка.</w:t>
      </w:r>
    </w:p>
    <w:p>
      <w:pPr>
        <w:pStyle w:val="0"/>
        <w:spacing w:before="200" w:line-rule="auto"/>
        <w:ind w:firstLine="540"/>
        <w:jc w:val="both"/>
      </w:pPr>
      <w:r>
        <w:rPr>
          <w:sz w:val="20"/>
        </w:rPr>
        <w:t xml:space="preserve">2.27. Заявитель вправе обратиться в агентство за разъяснениями положений объявления посредством направления запроса на адрес электронной почты агентства, указанный в объявлении.</w:t>
      </w:r>
    </w:p>
    <w:p>
      <w:pPr>
        <w:pStyle w:val="0"/>
        <w:spacing w:before="200" w:line-rule="auto"/>
        <w:ind w:firstLine="540"/>
        <w:jc w:val="both"/>
      </w:pPr>
      <w:r>
        <w:rPr>
          <w:sz w:val="20"/>
        </w:rPr>
        <w:t xml:space="preserve">Заявитель получает в агентстве разъяснения положений объявления, начиная с даты размещения на едином портале, а также на официальном сайте агентства, определенной в соответствии с </w:t>
      </w:r>
      <w:hyperlink w:history="0" w:anchor="P71" w:tooltip="2.3. Агентство не позднее 10-го рабочего дня, следующего за днем принятия решения о проведении отбора, формирует и размещает объявление о проведении отбора (далее - объявление) на едином портале, а также на официальном сайте агентства в информационно-телекоммуникационной сети Интернет по адресу http://futureagency.krskstate.ru (далее - сайт агентства).">
        <w:r>
          <w:rPr>
            <w:sz w:val="20"/>
            <w:color w:val="0000ff"/>
          </w:rPr>
          <w:t xml:space="preserve">пунктом 2.3</w:t>
        </w:r>
      </w:hyperlink>
      <w:r>
        <w:rPr>
          <w:sz w:val="20"/>
        </w:rPr>
        <w:t xml:space="preserve"> Порядка, и не позднее чем за 5 рабочих дней до окончания срока приема заявок в электронной форме путем их направления агентством на электронную почту заявителя.</w:t>
      </w:r>
    </w:p>
    <w:bookmarkStart w:id="151" w:name="P151"/>
    <w:bookmarkEnd w:id="151"/>
    <w:p>
      <w:pPr>
        <w:pStyle w:val="0"/>
        <w:spacing w:before="200" w:line-rule="auto"/>
        <w:ind w:firstLine="540"/>
        <w:jc w:val="both"/>
      </w:pPr>
      <w:r>
        <w:rPr>
          <w:sz w:val="20"/>
        </w:rPr>
        <w:t xml:space="preserve">2.28. Агентство в течение 10 рабочих дней, следующих за днем завершения приема заявок, осуществляет рассмотрение заявок на соответствие требованиям, установленным </w:t>
      </w:r>
      <w:hyperlink w:history="0" w:anchor="P91" w:tooltip="2.5. Заявитель должен соответствовать следующим требованиям:">
        <w:r>
          <w:rPr>
            <w:sz w:val="20"/>
            <w:color w:val="0000ff"/>
          </w:rPr>
          <w:t xml:space="preserve">пунктами 2.5</w:t>
        </w:r>
      </w:hyperlink>
      <w:r>
        <w:rPr>
          <w:sz w:val="20"/>
        </w:rPr>
        <w:t xml:space="preserve">,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2.9</w:t>
        </w:r>
      </w:hyperlink>
      <w:r>
        <w:rPr>
          <w:sz w:val="20"/>
        </w:rPr>
        <w:t xml:space="preserve"> - </w:t>
      </w:r>
      <w:hyperlink w:history="0" w:anchor="P120" w:tooltip="2.11. Копии документов, входящие в состав заявки в соответствии с пунктом 2.9 Порядка, должны быть читабельны, заверены подписью руководителя и печатью заявителя (при наличии), подающего заявку, либо нотариально удостоверены.">
        <w:r>
          <w:rPr>
            <w:sz w:val="20"/>
            <w:color w:val="0000ff"/>
          </w:rPr>
          <w:t xml:space="preserve">2.11</w:t>
        </w:r>
      </w:hyperlink>
      <w:r>
        <w:rPr>
          <w:sz w:val="20"/>
        </w:rPr>
        <w:t xml:space="preserve">, </w:t>
      </w:r>
      <w:hyperlink w:history="0" w:anchor="P122" w:tooltip="2.13. Заявка на бумажном носителе должна быть сброшюрована в одну или несколько папок (томов) и пронумерована. Первым должно быть подшито заявление, затем документы, входящие в состав заявки. При представлении в составе заявки нескольких папок (томов) указываются номера папок (томов) и количество страниц в каждой папке (томе) соответственно.">
        <w:r>
          <w:rPr>
            <w:sz w:val="20"/>
            <w:color w:val="0000ff"/>
          </w:rPr>
          <w:t xml:space="preserve">2.13</w:t>
        </w:r>
      </w:hyperlink>
      <w:r>
        <w:rPr>
          <w:sz w:val="20"/>
        </w:rPr>
        <w:t xml:space="preserve"> - </w:t>
      </w:r>
      <w:hyperlink w:history="0" w:anchor="P125" w:tooltip="2.15. Электронный носитель с заявкой прилагается к первому тому бумажного варианта заявки (прикладывается только к заявке, которая подается лично или почтовым отправлением с уведомлением о вручении и описью вложения).">
        <w:r>
          <w:rPr>
            <w:sz w:val="20"/>
            <w:color w:val="0000ff"/>
          </w:rPr>
          <w:t xml:space="preserve">2.15</w:t>
        </w:r>
      </w:hyperlink>
      <w:r>
        <w:rPr>
          <w:sz w:val="20"/>
        </w:rPr>
        <w:t xml:space="preserve">, </w:t>
      </w:r>
      <w:hyperlink w:history="0" w:anchor="P133" w:tooltip="2.18. Заявитель может подать не более одной заявки на отбор.">
        <w:r>
          <w:rPr>
            <w:sz w:val="20"/>
            <w:color w:val="0000ff"/>
          </w:rPr>
          <w:t xml:space="preserve">2.18</w:t>
        </w:r>
      </w:hyperlink>
      <w:r>
        <w:rPr>
          <w:sz w:val="20"/>
        </w:rPr>
        <w:t xml:space="preserve">, </w:t>
      </w:r>
      <w:hyperlink w:history="0" w:anchor="P135" w:tooltip="2.20. В случае представления заявки в электронной форме заявление и архив документов, входящий в состав заявки, подписываются с использованием усиленной квалифицированной электронной подписи должностным лицом, уполномоченным на подписание документа в соответствии с Федеральным законом N 63-ФЗ.">
        <w:r>
          <w:rPr>
            <w:sz w:val="20"/>
            <w:color w:val="0000ff"/>
          </w:rPr>
          <w:t xml:space="preserve">2.20</w:t>
        </w:r>
      </w:hyperlink>
      <w:r>
        <w:rPr>
          <w:sz w:val="20"/>
        </w:rPr>
        <w:t xml:space="preserve">, </w:t>
      </w:r>
      <w:hyperlink w:history="0" w:anchor="P140" w:tooltip="2.23. При поступлении заявки в форме электронного документа, подписанного усиленной квалифицированной электронной подписью в соответствии с Федеральным законом N 63-ФЗ, агентство в течение 5 рабочих дней с даты регистрации заявки осуществляет проверку действительности усиленной квалифицированной электронной подписи, предусматривающую проверку соблюдения условий, указанных в статье 11 Федерального закона N 63-ФЗ.">
        <w:r>
          <w:rPr>
            <w:sz w:val="20"/>
            <w:color w:val="0000ff"/>
          </w:rPr>
          <w:t xml:space="preserve">2.23</w:t>
        </w:r>
      </w:hyperlink>
      <w:r>
        <w:rPr>
          <w:sz w:val="20"/>
        </w:rPr>
        <w:t xml:space="preserve"> Порядка.</w:t>
      </w:r>
    </w:p>
    <w:bookmarkStart w:id="152" w:name="P152"/>
    <w:bookmarkEnd w:id="152"/>
    <w:p>
      <w:pPr>
        <w:pStyle w:val="0"/>
        <w:spacing w:before="200" w:line-rule="auto"/>
        <w:ind w:firstLine="540"/>
        <w:jc w:val="both"/>
      </w:pPr>
      <w:r>
        <w:rPr>
          <w:sz w:val="20"/>
        </w:rPr>
        <w:t xml:space="preserve">2.29. Агентство в течение 10 рабочих дней с момента завершения рассмотрения заявок в соответствии с </w:t>
      </w:r>
      <w:hyperlink w:history="0" w:anchor="P151" w:tooltip="2.28. Агентство в течение 10 рабочих дней, следующих за днем завершения приема заявок, осуществляет рассмотрение заявок на соответствие требованиям, установленным пунктами 2.5, 2.9 - 2.11, 2.13 - 2.15, 2.18, 2.20, 2.23 Порядка.">
        <w:r>
          <w:rPr>
            <w:sz w:val="20"/>
            <w:color w:val="0000ff"/>
          </w:rPr>
          <w:t xml:space="preserve">пунктом 2.28</w:t>
        </w:r>
      </w:hyperlink>
      <w:r>
        <w:rPr>
          <w:sz w:val="20"/>
        </w:rPr>
        <w:t xml:space="preserve"> Порядка принимает решение в форме приказа о допуске заявок к участию в отборе либо об отклонении заявок с указанием информации о причинах их отклонения.</w:t>
      </w:r>
    </w:p>
    <w:p>
      <w:pPr>
        <w:pStyle w:val="0"/>
        <w:spacing w:before="200" w:line-rule="auto"/>
        <w:ind w:firstLine="540"/>
        <w:jc w:val="both"/>
      </w:pPr>
      <w:r>
        <w:rPr>
          <w:sz w:val="20"/>
        </w:rPr>
        <w:t xml:space="preserve">В течение 5 рабочих дней с момента подписания приказа о допуске заявок к участию в отборе либо об отклонении заявок агентство уведомляет заявителя путем размещения информации о допуске к участию в отборе либо об отклонении заявок с указанием причин отклонения на сайте агентства.</w:t>
      </w:r>
    </w:p>
    <w:p>
      <w:pPr>
        <w:pStyle w:val="0"/>
        <w:spacing w:before="200" w:line-rule="auto"/>
        <w:ind w:firstLine="540"/>
        <w:jc w:val="both"/>
      </w:pPr>
      <w:r>
        <w:rPr>
          <w:sz w:val="20"/>
        </w:rPr>
        <w:t xml:space="preserve">Заявка заявителю в случае ее отклонения не возвращается.</w:t>
      </w:r>
    </w:p>
    <w:bookmarkStart w:id="155" w:name="P155"/>
    <w:bookmarkEnd w:id="155"/>
    <w:p>
      <w:pPr>
        <w:pStyle w:val="0"/>
        <w:spacing w:before="200" w:line-rule="auto"/>
        <w:ind w:firstLine="540"/>
        <w:jc w:val="both"/>
      </w:pPr>
      <w:r>
        <w:rPr>
          <w:sz w:val="20"/>
        </w:rPr>
        <w:t xml:space="preserve">2.30. Основанием для отказа в предоставлении гранта и отклонения заявок при рассмотрении заявок заявителей на предмет их соответствия требованиям, установленным в объявлении, является:</w:t>
      </w:r>
    </w:p>
    <w:p>
      <w:pPr>
        <w:pStyle w:val="0"/>
        <w:spacing w:before="200" w:line-rule="auto"/>
        <w:ind w:firstLine="540"/>
        <w:jc w:val="both"/>
      </w:pPr>
      <w:r>
        <w:rPr>
          <w:sz w:val="20"/>
        </w:rPr>
        <w:t xml:space="preserve">1) несоответствие заявителя требованиям, установленным в </w:t>
      </w:r>
      <w:hyperlink w:history="0" w:anchor="P91" w:tooltip="2.5. Заявитель должен соответствовать следующим требованиям:">
        <w:r>
          <w:rPr>
            <w:sz w:val="20"/>
            <w:color w:val="0000ff"/>
          </w:rPr>
          <w:t xml:space="preserve">пункте 2.5</w:t>
        </w:r>
      </w:hyperlink>
      <w:r>
        <w:rPr>
          <w:sz w:val="20"/>
        </w:rPr>
        <w:t xml:space="preserve"> Порядка;</w:t>
      </w:r>
    </w:p>
    <w:p>
      <w:pPr>
        <w:pStyle w:val="0"/>
        <w:spacing w:before="200" w:line-rule="auto"/>
        <w:ind w:firstLine="540"/>
        <w:jc w:val="both"/>
      </w:pPr>
      <w:r>
        <w:rPr>
          <w:sz w:val="20"/>
        </w:rPr>
        <w:t xml:space="preserve">2) непредставление (представление не в полном объеме) документов, указанных в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пункте 2.9</w:t>
        </w:r>
      </w:hyperlink>
      <w:r>
        <w:rPr>
          <w:sz w:val="20"/>
        </w:rPr>
        <w:t xml:space="preserve"> Порядка (за исключением документов, представленных по собственной инициативе, указанных в </w:t>
      </w:r>
      <w:hyperlink w:history="0" w:anchor="P111" w:tooltip="3) выписка из ЕГРЮЛ (представляется по собственной инициативе);">
        <w:r>
          <w:rPr>
            <w:sz w:val="20"/>
            <w:color w:val="0000ff"/>
          </w:rPr>
          <w:t xml:space="preserve">подпунктах 3</w:t>
        </w:r>
      </w:hyperlink>
      <w:r>
        <w:rPr>
          <w:sz w:val="20"/>
        </w:rPr>
        <w:t xml:space="preserve"> - </w:t>
      </w:r>
      <w:hyperlink w:history="0" w:anchor="P113" w:tooltip="5) электронный носитель с заявкой (прикладывается только к заявке, которая подается лично или почтовым отправлением с уведомлением о вручении и описью вложения, прилагается к 1 тому бумажного варианта заявки и должен содержать скан-образы представленных в составе заявки документов в формате pdf, а также заявление в формате doc и pdf);">
        <w:r>
          <w:rPr>
            <w:sz w:val="20"/>
            <w:color w:val="0000ff"/>
          </w:rPr>
          <w:t xml:space="preserve">5 пункта 2.9</w:t>
        </w:r>
      </w:hyperlink>
      <w:r>
        <w:rPr>
          <w:sz w:val="20"/>
        </w:rPr>
        <w:t xml:space="preserve"> Порядка);</w:t>
      </w:r>
    </w:p>
    <w:p>
      <w:pPr>
        <w:pStyle w:val="0"/>
        <w:spacing w:before="200" w:line-rule="auto"/>
        <w:ind w:firstLine="540"/>
        <w:jc w:val="both"/>
      </w:pPr>
      <w:r>
        <w:rPr>
          <w:sz w:val="20"/>
        </w:rPr>
        <w:t xml:space="preserve">3) несоответствие представленной заявителем заявки требованиям, установленным в объявлении и предусмотренным в </w:t>
      </w:r>
      <w:hyperlink w:history="0" w:anchor="P108" w:tooltip="2.9. Для участия в отборе заявитель в течение срока, установленного в объявлении, представляет в агентство заявку, в состав которой входит заявление и следующие документы:">
        <w:r>
          <w:rPr>
            <w:sz w:val="20"/>
            <w:color w:val="0000ff"/>
          </w:rPr>
          <w:t xml:space="preserve">пунктах 2.9</w:t>
        </w:r>
      </w:hyperlink>
      <w:r>
        <w:rPr>
          <w:sz w:val="20"/>
        </w:rPr>
        <w:t xml:space="preserve">, </w:t>
      </w:r>
      <w:hyperlink w:history="0" w:anchor="P119" w:tooltip="2.10. Заявка должна быть выполнена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2.10</w:t>
        </w:r>
      </w:hyperlink>
      <w:r>
        <w:rPr>
          <w:sz w:val="20"/>
        </w:rPr>
        <w:t xml:space="preserve">, </w:t>
      </w:r>
      <w:hyperlink w:history="0" w:anchor="P120" w:tooltip="2.11. Копии документов, входящие в состав заявки в соответствии с пунктом 2.9 Порядка, должны быть читабельны, заверены подписью руководителя и печатью заявителя (при наличии), подающего заявку, либо нотариально удостоверены.">
        <w:r>
          <w:rPr>
            <w:sz w:val="20"/>
            <w:color w:val="0000ff"/>
          </w:rPr>
          <w:t xml:space="preserve">2.11</w:t>
        </w:r>
      </w:hyperlink>
      <w:r>
        <w:rPr>
          <w:sz w:val="20"/>
        </w:rPr>
        <w:t xml:space="preserve">, </w:t>
      </w:r>
      <w:hyperlink w:history="0" w:anchor="P122" w:tooltip="2.13. Заявка на бумажном носителе должна быть сброшюрована в одну или несколько папок (томов) и пронумерована. Первым должно быть подшито заявление, затем документы, входящие в состав заявки. При представлении в составе заявки нескольких папок (томов) указываются номера папок (томов) и количество страниц в каждой папке (томе) соответственно.">
        <w:r>
          <w:rPr>
            <w:sz w:val="20"/>
            <w:color w:val="0000ff"/>
          </w:rPr>
          <w:t xml:space="preserve">2.13</w:t>
        </w:r>
      </w:hyperlink>
      <w:r>
        <w:rPr>
          <w:sz w:val="20"/>
        </w:rPr>
        <w:t xml:space="preserve"> - </w:t>
      </w:r>
      <w:hyperlink w:history="0" w:anchor="P125" w:tooltip="2.15. Электронный носитель с заявкой прилагается к первому тому бумажного варианта заявки (прикладывается только к заявке, которая подается лично или почтовым отправлением с уведомлением о вручении и описью вложения).">
        <w:r>
          <w:rPr>
            <w:sz w:val="20"/>
            <w:color w:val="0000ff"/>
          </w:rPr>
          <w:t xml:space="preserve">2.15</w:t>
        </w:r>
      </w:hyperlink>
      <w:r>
        <w:rPr>
          <w:sz w:val="20"/>
        </w:rPr>
        <w:t xml:space="preserve">, </w:t>
      </w:r>
      <w:hyperlink w:history="0" w:anchor="P135" w:tooltip="2.20. В случае представления заявки в электронной форме заявление и архив документов, входящий в состав заявки, подписываются с использованием усиленной квалифицированной электронной подписи должностным лицом, уполномоченным на подписание документа в соответствии с Федеральным законом N 63-ФЗ.">
        <w:r>
          <w:rPr>
            <w:sz w:val="20"/>
            <w:color w:val="0000ff"/>
          </w:rPr>
          <w:t xml:space="preserve">2.20</w:t>
        </w:r>
      </w:hyperlink>
      <w:r>
        <w:rPr>
          <w:sz w:val="20"/>
        </w:rPr>
        <w:t xml:space="preserve"> Порядка;</w:t>
      </w:r>
    </w:p>
    <w:p>
      <w:pPr>
        <w:pStyle w:val="0"/>
        <w:spacing w:before="200" w:line-rule="auto"/>
        <w:ind w:firstLine="540"/>
        <w:jc w:val="both"/>
      </w:pPr>
      <w:r>
        <w:rPr>
          <w:sz w:val="20"/>
        </w:rPr>
        <w:t xml:space="preserve">4)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5) недостоверность информации, содержащейся в заявке, представленной заявителем в целях подтверждения соответствия установленным в </w:t>
      </w:r>
      <w:hyperlink w:history="0" w:anchor="P91" w:tooltip="2.5. Заявитель должен соответствовать следующим требованиям:">
        <w:r>
          <w:rPr>
            <w:sz w:val="20"/>
            <w:color w:val="0000ff"/>
          </w:rPr>
          <w:t xml:space="preserve">пункте 2.5</w:t>
        </w:r>
      </w:hyperlink>
      <w:r>
        <w:rPr>
          <w:sz w:val="20"/>
        </w:rPr>
        <w:t xml:space="preserve"> Порядка требованиям.</w:t>
      </w:r>
    </w:p>
    <w:p>
      <w:pPr>
        <w:pStyle w:val="0"/>
        <w:spacing w:before="200" w:line-rule="auto"/>
        <w:ind w:firstLine="540"/>
        <w:jc w:val="both"/>
      </w:pPr>
      <w:r>
        <w:rPr>
          <w:sz w:val="20"/>
        </w:rPr>
        <w:t xml:space="preserve">2.31. Агентство в течение 20 рабочих дней со дня принятия приказа, указанного в </w:t>
      </w:r>
      <w:hyperlink w:history="0" w:anchor="P152" w:tooltip="2.29. Агентство в течение 10 рабочих дней с момента завершения рассмотрения заявок в соответствии с пунктом 2.28 Порядка принимает решение в форме приказа о допуске заявок к участию в отборе либо об отклонении заявок с указанием информации о причинах их отклонения.">
        <w:r>
          <w:rPr>
            <w:sz w:val="20"/>
            <w:color w:val="0000ff"/>
          </w:rPr>
          <w:t xml:space="preserve">пункте 2.29</w:t>
        </w:r>
      </w:hyperlink>
      <w:r>
        <w:rPr>
          <w:sz w:val="20"/>
        </w:rPr>
        <w:t xml:space="preserve"> Порядка, оценивает заявки в соответствии со следующими критериями: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835"/>
        <w:gridCol w:w="2551"/>
        <w:gridCol w:w="1814"/>
        <w:gridCol w:w="1417"/>
      </w:tblGrid>
      <w:tr>
        <w:tc>
          <w:tcPr>
            <w:tcW w:w="454" w:type="dxa"/>
          </w:tcPr>
          <w:p>
            <w:pPr>
              <w:pStyle w:val="0"/>
              <w:jc w:val="center"/>
            </w:pPr>
            <w:r>
              <w:rPr>
                <w:sz w:val="20"/>
              </w:rPr>
              <w:t xml:space="preserve">N п/п</w:t>
            </w:r>
          </w:p>
        </w:tc>
        <w:tc>
          <w:tcPr>
            <w:tcW w:w="2835" w:type="dxa"/>
          </w:tcPr>
          <w:p>
            <w:pPr>
              <w:pStyle w:val="0"/>
              <w:jc w:val="center"/>
            </w:pPr>
            <w:r>
              <w:rPr>
                <w:sz w:val="20"/>
              </w:rPr>
              <w:t xml:space="preserve">Критерии</w:t>
            </w:r>
          </w:p>
        </w:tc>
        <w:tc>
          <w:tcPr>
            <w:tcW w:w="2551" w:type="dxa"/>
          </w:tcPr>
          <w:p>
            <w:pPr>
              <w:pStyle w:val="0"/>
              <w:jc w:val="center"/>
            </w:pPr>
            <w:r>
              <w:rPr>
                <w:sz w:val="20"/>
              </w:rPr>
              <w:t xml:space="preserve">Показатели критериев оценки</w:t>
            </w:r>
          </w:p>
        </w:tc>
        <w:tc>
          <w:tcPr>
            <w:tcW w:w="1814" w:type="dxa"/>
          </w:tcPr>
          <w:p>
            <w:pPr>
              <w:pStyle w:val="0"/>
              <w:jc w:val="center"/>
            </w:pPr>
            <w:r>
              <w:rPr>
                <w:sz w:val="20"/>
              </w:rPr>
              <w:t xml:space="preserve">Весовое значение в общей оценке</w:t>
            </w:r>
          </w:p>
        </w:tc>
        <w:tc>
          <w:tcPr>
            <w:tcW w:w="1417" w:type="dxa"/>
          </w:tcPr>
          <w:p>
            <w:pPr>
              <w:pStyle w:val="0"/>
              <w:jc w:val="center"/>
            </w:pPr>
            <w:r>
              <w:rPr>
                <w:sz w:val="20"/>
              </w:rPr>
              <w:t xml:space="preserve">Оценка</w:t>
            </w:r>
          </w:p>
        </w:tc>
      </w:tr>
      <w:tr>
        <w:tc>
          <w:tcPr>
            <w:tcW w:w="454" w:type="dxa"/>
          </w:tcPr>
          <w:p>
            <w:pPr>
              <w:pStyle w:val="0"/>
              <w:jc w:val="center"/>
            </w:pPr>
            <w:r>
              <w:rPr>
                <w:sz w:val="20"/>
              </w:rPr>
              <w:t xml:space="preserve">1</w:t>
            </w:r>
          </w:p>
        </w:tc>
        <w:tc>
          <w:tcPr>
            <w:tcW w:w="2835" w:type="dxa"/>
          </w:tcPr>
          <w:p>
            <w:pPr>
              <w:pStyle w:val="0"/>
              <w:jc w:val="center"/>
            </w:pPr>
            <w:r>
              <w:rPr>
                <w:sz w:val="20"/>
              </w:rPr>
              <w:t xml:space="preserve">2</w:t>
            </w:r>
          </w:p>
        </w:tc>
        <w:tc>
          <w:tcPr>
            <w:tcW w:w="2551" w:type="dxa"/>
          </w:tcPr>
          <w:p>
            <w:pPr>
              <w:pStyle w:val="0"/>
              <w:jc w:val="center"/>
            </w:pPr>
            <w:r>
              <w:rPr>
                <w:sz w:val="20"/>
              </w:rPr>
              <w:t xml:space="preserve">3</w:t>
            </w:r>
          </w:p>
        </w:tc>
        <w:tc>
          <w:tcPr>
            <w:tcW w:w="1814" w:type="dxa"/>
          </w:tcPr>
          <w:p>
            <w:pPr>
              <w:pStyle w:val="0"/>
              <w:jc w:val="center"/>
            </w:pPr>
            <w:r>
              <w:rPr>
                <w:sz w:val="20"/>
              </w:rPr>
              <w:t xml:space="preserve">4</w:t>
            </w:r>
          </w:p>
        </w:tc>
        <w:tc>
          <w:tcPr>
            <w:tcW w:w="1417" w:type="dxa"/>
          </w:tcPr>
          <w:p>
            <w:pPr>
              <w:pStyle w:val="0"/>
              <w:jc w:val="center"/>
            </w:pPr>
            <w:r>
              <w:rPr>
                <w:sz w:val="20"/>
              </w:rPr>
              <w:t xml:space="preserve">5</w:t>
            </w:r>
          </w:p>
        </w:tc>
      </w:tr>
      <w:tr>
        <w:tc>
          <w:tcPr>
            <w:tcW w:w="454" w:type="dxa"/>
            <w:vMerge w:val="restart"/>
          </w:tcPr>
          <w:p>
            <w:pPr>
              <w:pStyle w:val="0"/>
            </w:pPr>
            <w:r>
              <w:rPr>
                <w:sz w:val="20"/>
              </w:rPr>
              <w:t xml:space="preserve">1</w:t>
            </w:r>
          </w:p>
        </w:tc>
        <w:tc>
          <w:tcPr>
            <w:tcW w:w="2835" w:type="dxa"/>
            <w:vMerge w:val="restart"/>
          </w:tcPr>
          <w:p>
            <w:pPr>
              <w:pStyle w:val="0"/>
            </w:pPr>
            <w:r>
              <w:rPr>
                <w:sz w:val="20"/>
              </w:rPr>
              <w:t xml:space="preserve">Число жителей Красноярского края, которое заявитель, планирует вовлечь в добровольческую (волонтерскую) и общественно активную деятельности за период использования грантов в рамках программы деятельности ресурсного центра</w:t>
            </w:r>
          </w:p>
        </w:tc>
        <w:tc>
          <w:tcPr>
            <w:tcW w:w="2551" w:type="dxa"/>
          </w:tcPr>
          <w:p>
            <w:pPr>
              <w:pStyle w:val="0"/>
            </w:pPr>
            <w:r>
              <w:rPr>
                <w:sz w:val="20"/>
              </w:rPr>
              <w:t xml:space="preserve">от 390 до 400 жителей Красноярского края, которых заявитель планирует вовлечь в добровольческую (волонтерскую) и общественно активную деятельность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0,25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401 до 610 жителей Красноярского края, которых заявитель планирует вовлечь в добровольческую (волонтерскую) и общественно активную деятельность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601 до 800 жителей Красноярского края, которых заявитель планирует вовлечь в добровольческую (волонтерскую) и общественно активную деятельность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801 и более жителей Красноярского края, которых заявитель планирует вовлечь в добровольческую (волонтерскую) и общественно активную деятельность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r>
        <w:tc>
          <w:tcPr>
            <w:tcW w:w="454" w:type="dxa"/>
            <w:vMerge w:val="restart"/>
          </w:tcPr>
          <w:p>
            <w:pPr>
              <w:pStyle w:val="0"/>
            </w:pPr>
            <w:r>
              <w:rPr>
                <w:sz w:val="20"/>
              </w:rPr>
              <w:t xml:space="preserve">2</w:t>
            </w:r>
          </w:p>
        </w:tc>
        <w:tc>
          <w:tcPr>
            <w:tcW w:w="2835" w:type="dxa"/>
            <w:vMerge w:val="restart"/>
          </w:tcPr>
          <w:p>
            <w:pPr>
              <w:pStyle w:val="0"/>
            </w:pPr>
            <w:r>
              <w:rPr>
                <w:sz w:val="20"/>
              </w:rPr>
              <w:t xml:space="preserve">Количество консультаций представителям СОНКО и (или) добровольцам (волонтерам), которое планируется провести за период использования грантов в рамках программы деятельности ресурсного центра</w:t>
            </w:r>
          </w:p>
        </w:tc>
        <w:tc>
          <w:tcPr>
            <w:tcW w:w="2551" w:type="dxa"/>
          </w:tcPr>
          <w:p>
            <w:pPr>
              <w:pStyle w:val="0"/>
            </w:pPr>
            <w:r>
              <w:rPr>
                <w:sz w:val="20"/>
              </w:rPr>
              <w:t xml:space="preserve">от 75 до 100 консультаций представителям СОНКО и (или) добровольцам (волонтерам), которые планируется провести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0,15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101 до 150 консультаций представителям СОНКО и (или) добровольцам (волонтерам), которые планируется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151 до 200 консультаций представителям СОНКО и (или) добровольцам (волонтерам), которые планируется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201 и более консультаций представителям СОНКО и (или) добровольцам (волонтерам), которые планируется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r>
        <w:tc>
          <w:tcPr>
            <w:tcW w:w="454" w:type="dxa"/>
            <w:vMerge w:val="restart"/>
          </w:tcPr>
          <w:p>
            <w:pPr>
              <w:pStyle w:val="0"/>
            </w:pPr>
            <w:r>
              <w:rPr>
                <w:sz w:val="20"/>
              </w:rPr>
              <w:t xml:space="preserve">3</w:t>
            </w:r>
          </w:p>
        </w:tc>
        <w:tc>
          <w:tcPr>
            <w:tcW w:w="2835" w:type="dxa"/>
            <w:vMerge w:val="restart"/>
          </w:tcPr>
          <w:p>
            <w:pPr>
              <w:pStyle w:val="0"/>
            </w:pPr>
            <w:r>
              <w:rPr>
                <w:sz w:val="20"/>
              </w:rPr>
              <w:t xml:space="preserve">Количество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 которые заявитель планирует провести за период использования грантов в рамках программы деятельности ресурсного центра</w:t>
            </w:r>
          </w:p>
        </w:tc>
        <w:tc>
          <w:tcPr>
            <w:tcW w:w="2551" w:type="dxa"/>
          </w:tcPr>
          <w:p>
            <w:pPr>
              <w:pStyle w:val="0"/>
            </w:pPr>
            <w:r>
              <w:rPr>
                <w:sz w:val="20"/>
              </w:rPr>
              <w:t xml:space="preserve">от 4 до 5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 которые заявитель планирует провести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0,15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6 до 7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 которые заявитель планирует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8 до 9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 которые заявитель планирует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10 и более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 которые заявитель планирует провести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r>
        <w:tc>
          <w:tcPr>
            <w:tcW w:w="454" w:type="dxa"/>
            <w:vMerge w:val="restart"/>
          </w:tcPr>
          <w:p>
            <w:pPr>
              <w:pStyle w:val="0"/>
            </w:pPr>
            <w:r>
              <w:rPr>
                <w:sz w:val="20"/>
              </w:rPr>
              <w:t xml:space="preserve">4</w:t>
            </w:r>
          </w:p>
        </w:tc>
        <w:tc>
          <w:tcPr>
            <w:tcW w:w="2835" w:type="dxa"/>
            <w:vMerge w:val="restart"/>
          </w:tcPr>
          <w:p>
            <w:pPr>
              <w:pStyle w:val="0"/>
            </w:pPr>
            <w:r>
              <w:rPr>
                <w:sz w:val="20"/>
              </w:rPr>
              <w:t xml:space="preserve">Число представителей СОНКО и добровольцев (волонтеров), которое заявитель планирует вовлечь в качестве участников в мероприятия ресурсного центра за период использования грантов в рамках программы деятельности ресурсного центра</w:t>
            </w:r>
          </w:p>
        </w:tc>
        <w:tc>
          <w:tcPr>
            <w:tcW w:w="2551" w:type="dxa"/>
          </w:tcPr>
          <w:p>
            <w:pPr>
              <w:pStyle w:val="0"/>
            </w:pPr>
            <w:r>
              <w:rPr>
                <w:sz w:val="20"/>
              </w:rPr>
              <w:t xml:space="preserve">от 195 до 200 представителей СОНКО и добровольцев (волонтеров), которых заявитель планирует вовлечь в качестве участников в мероприятия ресурсного центра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0,15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201 до 300 представителей СОНКО и добровольцев (волонтеров), которых заявитель планирует вовлечь в качестве участников в мероприятия ресурсного центра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301 до 400 представителей СОНКО и добровольцев (волонтеров), которых заявитель планирует вовлечь в качестве участников в мероприятия ресурсного центра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401 и более представителей СОНКО и добровольцев (волонтеров), которых заявитель планирует вовлечь в качестве участников в мероприятия ресурсного центра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r>
        <w:tc>
          <w:tcPr>
            <w:tcW w:w="454" w:type="dxa"/>
            <w:vMerge w:val="restart"/>
          </w:tcPr>
          <w:p>
            <w:pPr>
              <w:pStyle w:val="0"/>
            </w:pPr>
            <w:r>
              <w:rPr>
                <w:sz w:val="20"/>
              </w:rPr>
              <w:t xml:space="preserve">5</w:t>
            </w:r>
          </w:p>
        </w:tc>
        <w:tc>
          <w:tcPr>
            <w:tcW w:w="2835" w:type="dxa"/>
            <w:vMerge w:val="restart"/>
          </w:tcPr>
          <w:p>
            <w:pPr>
              <w:pStyle w:val="0"/>
            </w:pPr>
            <w:r>
              <w:rPr>
                <w:sz w:val="20"/>
              </w:rPr>
              <w:t xml:space="preserve">Количество информационных материалов о СОНКО и добровольцах (волонтерах) и для СОНКО и добровольцев (волонтеров), которое планируется разместить заявитель в сети Интернет на сайте и (или) группе ресурсного центра за период использования грантов в рамках программы деятельности ресурсного центра</w:t>
            </w:r>
          </w:p>
        </w:tc>
        <w:tc>
          <w:tcPr>
            <w:tcW w:w="2551" w:type="dxa"/>
          </w:tcPr>
          <w:p>
            <w:pPr>
              <w:pStyle w:val="0"/>
            </w:pPr>
            <w:r>
              <w:rPr>
                <w:sz w:val="20"/>
              </w:rPr>
              <w:t xml:space="preserve">от 20 до 25 информационных материалов о СОНКО и добровольцах (волонтерах) и для СОНКО и добровольцев (волонтеров), которые планируется разместить заявителем в сети Интернет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0,15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26 до 45 информационных материалов о СОНКО и добровольцах (волонтерах) и для СОНКО и добровольцев (волонтеров), которые планируется разместить заявителем в сети Интернет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46 до 65 информационных материалов о СОНКО и добровольцах (волонтерах) и для СОНКО и добровольцев (волонтеров), которые планируется разместить заявителем в сети Интернет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66 и более информационных материалов о СОНКО и добровольцах (волонтерах) и для СОНКО и добровольцев (волонтеров), которые планируется разместить заявителем в сети Интернет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r>
        <w:tc>
          <w:tcPr>
            <w:tcW w:w="454" w:type="dxa"/>
            <w:vMerge w:val="restart"/>
          </w:tcPr>
          <w:p>
            <w:pPr>
              <w:pStyle w:val="0"/>
            </w:pPr>
            <w:r>
              <w:rPr>
                <w:sz w:val="20"/>
              </w:rPr>
              <w:t xml:space="preserve">6</w:t>
            </w:r>
          </w:p>
        </w:tc>
        <w:tc>
          <w:tcPr>
            <w:tcW w:w="2835" w:type="dxa"/>
            <w:vMerge w:val="restart"/>
          </w:tcPr>
          <w:p>
            <w:pPr>
              <w:pStyle w:val="0"/>
            </w:pPr>
            <w:r>
              <w:rPr>
                <w:sz w:val="20"/>
              </w:rPr>
              <w:t xml:space="preserve">Количество услуг (за исключением консультаций), которое заявитель планирует оказать СОНКО и добровольцам (волонтерам) за период использования грантов в рамках программы деятельности ресурсного центра</w:t>
            </w:r>
          </w:p>
        </w:tc>
        <w:tc>
          <w:tcPr>
            <w:tcW w:w="2551" w:type="dxa"/>
          </w:tcPr>
          <w:p>
            <w:pPr>
              <w:pStyle w:val="0"/>
            </w:pPr>
            <w:r>
              <w:rPr>
                <w:sz w:val="20"/>
              </w:rPr>
              <w:t xml:space="preserve">от 20 до 30 услуг (за исключением консультаций), которые заявитель планирует оказать СОНКО и добровольцам (волонтерам) за период использования грантов в рамках программы деятельности ресурсного центра</w:t>
            </w:r>
          </w:p>
        </w:tc>
        <w:tc>
          <w:tcPr>
            <w:tcW w:w="1814" w:type="dxa"/>
            <w:vMerge w:val="restart"/>
          </w:tcPr>
          <w:p>
            <w:pPr>
              <w:pStyle w:val="0"/>
              <w:jc w:val="center"/>
            </w:pPr>
            <w:r>
              <w:rPr>
                <w:sz w:val="20"/>
              </w:rPr>
              <w:t xml:space="preserve">0,15</w:t>
            </w:r>
          </w:p>
        </w:tc>
        <w:tc>
          <w:tcPr>
            <w:tcW w:w="1417" w:type="dxa"/>
          </w:tcPr>
          <w:p>
            <w:pPr>
              <w:pStyle w:val="0"/>
            </w:pPr>
            <w:r>
              <w:rPr>
                <w:sz w:val="20"/>
              </w:rPr>
              <w:t xml:space="preserve">0 баллов</w:t>
            </w:r>
          </w:p>
        </w:tc>
      </w:tr>
      <w:tr>
        <w:tc>
          <w:tcPr>
            <w:vMerge w:val="continue"/>
          </w:tcPr>
          <w:p/>
        </w:tc>
        <w:tc>
          <w:tcPr>
            <w:vMerge w:val="continue"/>
          </w:tcPr>
          <w:p/>
        </w:tc>
        <w:tc>
          <w:tcPr>
            <w:tcW w:w="2551" w:type="dxa"/>
          </w:tcPr>
          <w:p>
            <w:pPr>
              <w:pStyle w:val="0"/>
            </w:pPr>
            <w:r>
              <w:rPr>
                <w:sz w:val="20"/>
              </w:rPr>
              <w:t xml:space="preserve">от 31 до 40 услуг (за исключением консультаций), которые заявитель планирует оказать СОНКО и добровольцам (волонтерам)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1 балл</w:t>
            </w:r>
          </w:p>
        </w:tc>
      </w:tr>
      <w:tr>
        <w:tc>
          <w:tcPr>
            <w:vMerge w:val="continue"/>
          </w:tcPr>
          <w:p/>
        </w:tc>
        <w:tc>
          <w:tcPr>
            <w:vMerge w:val="continue"/>
          </w:tcPr>
          <w:p/>
        </w:tc>
        <w:tc>
          <w:tcPr>
            <w:tcW w:w="2551" w:type="dxa"/>
          </w:tcPr>
          <w:p>
            <w:pPr>
              <w:pStyle w:val="0"/>
            </w:pPr>
            <w:r>
              <w:rPr>
                <w:sz w:val="20"/>
              </w:rPr>
              <w:t xml:space="preserve">от 41 до 50 услуг (за исключением консультаций), которые заявитель планирует оказать СОНКО и добровольцам (волонтерам)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2 балла</w:t>
            </w:r>
          </w:p>
        </w:tc>
      </w:tr>
      <w:tr>
        <w:tc>
          <w:tcPr>
            <w:vMerge w:val="continue"/>
          </w:tcPr>
          <w:p/>
        </w:tc>
        <w:tc>
          <w:tcPr>
            <w:vMerge w:val="continue"/>
          </w:tcPr>
          <w:p/>
        </w:tc>
        <w:tc>
          <w:tcPr>
            <w:tcW w:w="2551" w:type="dxa"/>
          </w:tcPr>
          <w:p>
            <w:pPr>
              <w:pStyle w:val="0"/>
            </w:pPr>
            <w:r>
              <w:rPr>
                <w:sz w:val="20"/>
              </w:rPr>
              <w:t xml:space="preserve">от 51 и более услуг (за исключением консультаций), которые заявитель планирует оказать СОНКО и добровольцам (волонтерам) за период использования грантов в рамках программы деятельности ресурсного центра</w:t>
            </w:r>
          </w:p>
        </w:tc>
        <w:tc>
          <w:tcPr>
            <w:vMerge w:val="continue"/>
          </w:tcPr>
          <w:p/>
        </w:tc>
        <w:tc>
          <w:tcPr>
            <w:tcW w:w="1417" w:type="dxa"/>
          </w:tcPr>
          <w:p>
            <w:pPr>
              <w:pStyle w:val="0"/>
            </w:pPr>
            <w:r>
              <w:rPr>
                <w:sz w:val="20"/>
              </w:rPr>
              <w:t xml:space="preserve">3 балла</w:t>
            </w:r>
          </w:p>
        </w:tc>
      </w:tr>
    </w:tbl>
    <w:p>
      <w:pPr>
        <w:pStyle w:val="0"/>
        <w:jc w:val="both"/>
      </w:pPr>
      <w:r>
        <w:rPr>
          <w:sz w:val="20"/>
        </w:rPr>
      </w:r>
    </w:p>
    <w:bookmarkStart w:id="240" w:name="P240"/>
    <w:bookmarkEnd w:id="240"/>
    <w:p>
      <w:pPr>
        <w:pStyle w:val="0"/>
        <w:ind w:firstLine="540"/>
        <w:jc w:val="both"/>
      </w:pPr>
      <w:r>
        <w:rPr>
          <w:sz w:val="20"/>
        </w:rPr>
        <w:t xml:space="preserve">2.32. По итогам оценки заявок агентство формирует рейтинг (далее - рейтинг) заявок путем выведения суммарного балла заявки (сумма оценок по каждому критерию оценки с учетом его весового значения).</w:t>
      </w:r>
    </w:p>
    <w:p>
      <w:pPr>
        <w:pStyle w:val="0"/>
        <w:spacing w:before="200" w:line-rule="auto"/>
        <w:ind w:firstLine="540"/>
        <w:jc w:val="both"/>
      </w:pPr>
      <w:r>
        <w:rPr>
          <w:sz w:val="20"/>
        </w:rPr>
        <w:t xml:space="preserve">2.33. Порядковые номера присваиваются заявкам по результатам оценки в соответствии с местом в рейтинге, который формируется от большего значения баллов к меньшему. При равенстве баллов заявок в рейтинге победителем отбора считается участник отбора, подавший заявку ранее других, что подтверждается записью в журнале регистрации заявок.</w:t>
      </w:r>
    </w:p>
    <w:p>
      <w:pPr>
        <w:pStyle w:val="0"/>
        <w:spacing w:before="200" w:line-rule="auto"/>
        <w:ind w:firstLine="540"/>
        <w:jc w:val="both"/>
      </w:pPr>
      <w:r>
        <w:rPr>
          <w:sz w:val="20"/>
        </w:rPr>
        <w:t xml:space="preserve">2.34. Количество победителей отбора определяется на основании сформированного рейтинга в пределах лимитов бюджетных обязательств на предоставление грантов, доведенных до агентства.</w:t>
      </w:r>
    </w:p>
    <w:bookmarkStart w:id="243" w:name="P243"/>
    <w:bookmarkEnd w:id="243"/>
    <w:p>
      <w:pPr>
        <w:pStyle w:val="0"/>
        <w:spacing w:before="200" w:line-rule="auto"/>
        <w:ind w:firstLine="540"/>
        <w:jc w:val="both"/>
      </w:pPr>
      <w:r>
        <w:rPr>
          <w:sz w:val="20"/>
        </w:rPr>
        <w:t xml:space="preserve">2.35.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6 баллов.</w:t>
      </w:r>
    </w:p>
    <w:p>
      <w:pPr>
        <w:pStyle w:val="0"/>
        <w:spacing w:before="200" w:line-rule="auto"/>
        <w:ind w:firstLine="540"/>
        <w:jc w:val="both"/>
      </w:pPr>
      <w:r>
        <w:rPr>
          <w:sz w:val="20"/>
        </w:rPr>
        <w:t xml:space="preserve">2.36. Агентство в течение 5 рабочих дней со дня завершения оценки заявок принимает решение о победителях отбора в форме приказа с утверждением рейтинга, содержащего информацию, о размерах предоставляемых им грантов либо об отказе в предоставлении грантов в соответствии с </w:t>
      </w:r>
      <w:hyperlink w:history="0" w:anchor="P243" w:tooltip="2.35.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6 баллов.">
        <w:r>
          <w:rPr>
            <w:sz w:val="20"/>
            <w:color w:val="0000ff"/>
          </w:rPr>
          <w:t xml:space="preserve">пунктом 2.35</w:t>
        </w:r>
      </w:hyperlink>
      <w:r>
        <w:rPr>
          <w:sz w:val="20"/>
        </w:rPr>
        <w:t xml:space="preserve"> Порядка.</w:t>
      </w:r>
    </w:p>
    <w:p>
      <w:pPr>
        <w:pStyle w:val="0"/>
        <w:spacing w:before="200" w:line-rule="auto"/>
        <w:ind w:firstLine="540"/>
        <w:jc w:val="both"/>
      </w:pPr>
      <w:r>
        <w:rPr>
          <w:sz w:val="20"/>
        </w:rPr>
        <w:t xml:space="preserve">2.37. Агентство в течение 14 календарных дней со дня, следующего за днем издания приказа о победителях отбора, размещает на едином портале (путем размещения указателя страницы сайта агентства), а также на сайте агентства следующую информацию:</w:t>
      </w:r>
    </w:p>
    <w:p>
      <w:pPr>
        <w:pStyle w:val="0"/>
        <w:spacing w:before="200" w:line-rule="auto"/>
        <w:ind w:firstLine="540"/>
        <w:jc w:val="both"/>
      </w:pPr>
      <w:r>
        <w:rPr>
          <w:sz w:val="20"/>
        </w:rPr>
        <w:t xml:space="preserve">1) дату, время и место рассмотрения заявок;</w:t>
      </w:r>
    </w:p>
    <w:p>
      <w:pPr>
        <w:pStyle w:val="0"/>
        <w:spacing w:before="200" w:line-rule="auto"/>
        <w:ind w:firstLine="540"/>
        <w:jc w:val="both"/>
      </w:pPr>
      <w:r>
        <w:rPr>
          <w:sz w:val="20"/>
        </w:rPr>
        <w:t xml:space="preserve">2) дату, время и место оценки заявок;</w:t>
      </w:r>
    </w:p>
    <w:p>
      <w:pPr>
        <w:pStyle w:val="0"/>
        <w:spacing w:before="200" w:line-rule="auto"/>
        <w:ind w:firstLine="540"/>
        <w:jc w:val="both"/>
      </w:pPr>
      <w:r>
        <w:rPr>
          <w:sz w:val="20"/>
        </w:rPr>
        <w:t xml:space="preserve">3) информацию о заявителях, заявки которых были рассмотрены;</w:t>
      </w:r>
    </w:p>
    <w:p>
      <w:pPr>
        <w:pStyle w:val="0"/>
        <w:spacing w:before="200" w:line-rule="auto"/>
        <w:ind w:firstLine="540"/>
        <w:jc w:val="both"/>
      </w:pPr>
      <w:r>
        <w:rPr>
          <w:sz w:val="20"/>
        </w:rPr>
        <w:t xml:space="preserve">4) информацию о заявителях, заявки которых были отклонены в соответствии с </w:t>
      </w:r>
      <w:hyperlink w:history="0" w:anchor="P155" w:tooltip="2.30. Основанием для отказа в предоставлении гранта и отклонения заявок при рассмотрении заявок заявителей на предмет их соответствия требованиям, установленным в объявлении, является:">
        <w:r>
          <w:rPr>
            <w:sz w:val="20"/>
            <w:color w:val="0000ff"/>
          </w:rPr>
          <w:t xml:space="preserve">пунктом 2.30</w:t>
        </w:r>
      </w:hyperlink>
      <w:r>
        <w:rPr>
          <w:sz w:val="20"/>
        </w:rPr>
        <w:t xml:space="preserve"> Порядка,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5) последовательность оценки заявок, присвоенные заявкам баллы по каждому из предусмотренных критериев оценки, показатели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6) наименование получателя гранта, с которым заключается Соглашение, размер предоставляемых грантов.</w:t>
      </w:r>
    </w:p>
    <w:bookmarkStart w:id="252" w:name="P252"/>
    <w:bookmarkEnd w:id="252"/>
    <w:p>
      <w:pPr>
        <w:pStyle w:val="0"/>
        <w:spacing w:before="200" w:line-rule="auto"/>
        <w:ind w:firstLine="540"/>
        <w:jc w:val="both"/>
      </w:pPr>
      <w:r>
        <w:rPr>
          <w:sz w:val="20"/>
        </w:rPr>
        <w:t xml:space="preserve">2.38. Отбор признается несостоявшимся в следующих случаях:</w:t>
      </w:r>
    </w:p>
    <w:bookmarkStart w:id="253" w:name="P253"/>
    <w:bookmarkEnd w:id="253"/>
    <w:p>
      <w:pPr>
        <w:pStyle w:val="0"/>
        <w:spacing w:before="200" w:line-rule="auto"/>
        <w:ind w:firstLine="540"/>
        <w:jc w:val="both"/>
      </w:pPr>
      <w:r>
        <w:rPr>
          <w:sz w:val="20"/>
        </w:rPr>
        <w:t xml:space="preserve">1) по окончании срока приема заявок подано менее двух заявок;</w:t>
      </w:r>
    </w:p>
    <w:bookmarkStart w:id="254" w:name="P254"/>
    <w:bookmarkEnd w:id="254"/>
    <w:p>
      <w:pPr>
        <w:pStyle w:val="0"/>
        <w:spacing w:before="200" w:line-rule="auto"/>
        <w:ind w:firstLine="540"/>
        <w:jc w:val="both"/>
      </w:pPr>
      <w:r>
        <w:rPr>
          <w:sz w:val="20"/>
        </w:rPr>
        <w:t xml:space="preserve">2) по результатам рассмотрения заявок все заявки отклонены по основаниям, предусмотренным </w:t>
      </w:r>
      <w:hyperlink w:history="0" w:anchor="P155" w:tooltip="2.30. Основанием для отказа в предоставлении гранта и отклонения заявок при рассмотрении заявок заявителей на предмет их соответствия требованиям, установленным в объявлении, является:">
        <w:r>
          <w:rPr>
            <w:sz w:val="20"/>
            <w:color w:val="0000ff"/>
          </w:rPr>
          <w:t xml:space="preserve">пунктом 2.30</w:t>
        </w:r>
      </w:hyperlink>
      <w:r>
        <w:rPr>
          <w:sz w:val="20"/>
        </w:rPr>
        <w:t xml:space="preserve"> Порядка;</w:t>
      </w:r>
    </w:p>
    <w:bookmarkStart w:id="255" w:name="P255"/>
    <w:bookmarkEnd w:id="255"/>
    <w:p>
      <w:pPr>
        <w:pStyle w:val="0"/>
        <w:spacing w:before="200" w:line-rule="auto"/>
        <w:ind w:firstLine="540"/>
        <w:jc w:val="both"/>
      </w:pPr>
      <w:r>
        <w:rPr>
          <w:sz w:val="20"/>
        </w:rPr>
        <w:t xml:space="preserve">3) по результатам рассмотрения заявок все заявки набрали менее минимального проходного балла, предусмотренного </w:t>
      </w:r>
      <w:hyperlink w:history="0" w:anchor="P243" w:tooltip="2.35.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6 баллов.">
        <w:r>
          <w:rPr>
            <w:sz w:val="20"/>
            <w:color w:val="0000ff"/>
          </w:rPr>
          <w:t xml:space="preserve">пунктом 2.35</w:t>
        </w:r>
      </w:hyperlink>
      <w:r>
        <w:rPr>
          <w:sz w:val="20"/>
        </w:rPr>
        <w:t xml:space="preserve"> Порядка.</w:t>
      </w:r>
    </w:p>
    <w:p>
      <w:pPr>
        <w:pStyle w:val="0"/>
        <w:spacing w:before="200" w:line-rule="auto"/>
        <w:ind w:firstLine="540"/>
        <w:jc w:val="both"/>
      </w:pPr>
      <w:r>
        <w:rPr>
          <w:sz w:val="20"/>
        </w:rPr>
        <w:t xml:space="preserve">2.39. В случаях, предусмотренных в </w:t>
      </w:r>
      <w:hyperlink w:history="0" w:anchor="P253" w:tooltip="1) по окончании срока приема заявок подано менее двух заявок;">
        <w:r>
          <w:rPr>
            <w:sz w:val="20"/>
            <w:color w:val="0000ff"/>
          </w:rPr>
          <w:t xml:space="preserve">подпунктах 1</w:t>
        </w:r>
      </w:hyperlink>
      <w:r>
        <w:rPr>
          <w:sz w:val="20"/>
        </w:rPr>
        <w:t xml:space="preserve">, </w:t>
      </w:r>
      <w:hyperlink w:history="0" w:anchor="P255" w:tooltip="3) по результатам рассмотрения заявок все заявки набрали менее минимального проходного балла, предусмотренного пунктом 2.35 Порядка.">
        <w:r>
          <w:rPr>
            <w:sz w:val="20"/>
            <w:color w:val="0000ff"/>
          </w:rPr>
          <w:t xml:space="preserve">3 пункта 2.38</w:t>
        </w:r>
      </w:hyperlink>
      <w:r>
        <w:rPr>
          <w:sz w:val="20"/>
        </w:rPr>
        <w:t xml:space="preserve"> Порядка, агентство в течение 5 рабочих дней, следующих за днем окончания срока приема заявок, принимает решение в форме приказа о признании отбора несостоявшимся, а также направляет участнику отбора, подавшему заявку, заказным почтовым отправлением с уведомлением о вручении уведомления о том, что отбор признан несостоявшимся, с приложением заявки, поданной участником отбора. При этом в журнале регистрации заявок указывается дата возврата участнику отбора поданной им заявки.</w:t>
      </w:r>
    </w:p>
    <w:p>
      <w:pPr>
        <w:pStyle w:val="0"/>
        <w:spacing w:before="200" w:line-rule="auto"/>
        <w:ind w:firstLine="540"/>
        <w:jc w:val="both"/>
      </w:pPr>
      <w:r>
        <w:rPr>
          <w:sz w:val="20"/>
        </w:rPr>
        <w:t xml:space="preserve">В случае, предусмотренном в </w:t>
      </w:r>
      <w:hyperlink w:history="0" w:anchor="P254" w:tooltip="2) по результатам рассмотрения заявок все заявки отклонены по основаниям, предусмотренным пунктом 2.30 Порядка;">
        <w:r>
          <w:rPr>
            <w:sz w:val="20"/>
            <w:color w:val="0000ff"/>
          </w:rPr>
          <w:t xml:space="preserve">подпункте 2 пункта 2.38</w:t>
        </w:r>
      </w:hyperlink>
      <w:r>
        <w:rPr>
          <w:sz w:val="20"/>
        </w:rPr>
        <w:t xml:space="preserve"> Порядка, решение агентства о признании отбора несостоявшимся отражается в приказе об отклонении заявок, предусмотренном </w:t>
      </w:r>
      <w:hyperlink w:history="0" w:anchor="P152" w:tooltip="2.29. Агентство в течение 10 рабочих дней с момента завершения рассмотрения заявок в соответствии с пунктом 2.28 Порядка принимает решение в форме приказа о допуске заявок к участию в отборе либо об отклонении заявок с указанием информации о причинах их отклонения.">
        <w:r>
          <w:rPr>
            <w:sz w:val="20"/>
            <w:color w:val="0000ff"/>
          </w:rPr>
          <w:t xml:space="preserve">пунктом 2.29</w:t>
        </w:r>
      </w:hyperlink>
      <w:r>
        <w:rPr>
          <w:sz w:val="20"/>
        </w:rPr>
        <w:t xml:space="preserve"> Порядка.</w:t>
      </w:r>
    </w:p>
    <w:p>
      <w:pPr>
        <w:pStyle w:val="0"/>
        <w:spacing w:before="200" w:line-rule="auto"/>
        <w:ind w:firstLine="540"/>
        <w:jc w:val="both"/>
      </w:pPr>
      <w:r>
        <w:rPr>
          <w:sz w:val="20"/>
        </w:rPr>
        <w:t xml:space="preserve">2.40. При наступлении случаев признания отбора несостоявшимся, указанных в </w:t>
      </w:r>
      <w:hyperlink w:history="0" w:anchor="P252" w:tooltip="2.38. Отбор признается несостоявшимся в следующих случаях:">
        <w:r>
          <w:rPr>
            <w:sz w:val="20"/>
            <w:color w:val="0000ff"/>
          </w:rPr>
          <w:t xml:space="preserve">пункте 2.38</w:t>
        </w:r>
      </w:hyperlink>
      <w:r>
        <w:rPr>
          <w:sz w:val="20"/>
        </w:rPr>
        <w:t xml:space="preserve"> Порядка, агентство принимает решение в форме приказа о проведении повторного отбора и размещает объявление о новом отборе в соответствии с </w:t>
      </w:r>
      <w:hyperlink w:history="0" w:anchor="P70" w:tooltip="2.2. Решение о проведении отбора принимается агентством в форме приказа в срок до 1 апреля года предоставления грантов (в 2024 году - до 1 сентября).">
        <w:r>
          <w:rPr>
            <w:sz w:val="20"/>
            <w:color w:val="0000ff"/>
          </w:rPr>
          <w:t xml:space="preserve">пунктами 2.2</w:t>
        </w:r>
      </w:hyperlink>
      <w:r>
        <w:rPr>
          <w:sz w:val="20"/>
        </w:rPr>
        <w:t xml:space="preserve"> и </w:t>
      </w:r>
      <w:hyperlink w:history="0" w:anchor="P72" w:tooltip="2.4. Объявление должно содержать:">
        <w:r>
          <w:rPr>
            <w:sz w:val="20"/>
            <w:color w:val="0000ff"/>
          </w:rPr>
          <w:t xml:space="preserve">2.4</w:t>
        </w:r>
      </w:hyperlink>
      <w:r>
        <w:rPr>
          <w:sz w:val="20"/>
        </w:rPr>
        <w:t xml:space="preserve"> Порядка.</w:t>
      </w:r>
    </w:p>
    <w:p>
      <w:pPr>
        <w:pStyle w:val="0"/>
        <w:spacing w:before="200" w:line-rule="auto"/>
        <w:ind w:firstLine="540"/>
        <w:jc w:val="both"/>
      </w:pPr>
      <w:r>
        <w:rPr>
          <w:sz w:val="20"/>
        </w:rPr>
        <w:t xml:space="preserve">Решение о проведении повторного отбора может быть принято агентством не позднее 1 июня года, в котором проводится отбор (в 2024 году - не позднее 1 сентября).</w:t>
      </w:r>
    </w:p>
    <w:p>
      <w:pPr>
        <w:pStyle w:val="0"/>
        <w:spacing w:before="200" w:line-rule="auto"/>
        <w:ind w:firstLine="540"/>
        <w:jc w:val="both"/>
      </w:pPr>
      <w:r>
        <w:rPr>
          <w:sz w:val="20"/>
        </w:rPr>
        <w:t xml:space="preserve">Повторный отбор проводится в порядке, предусмотренном настоящим разделом Порядка.</w:t>
      </w:r>
    </w:p>
    <w:p>
      <w:pPr>
        <w:pStyle w:val="0"/>
        <w:jc w:val="both"/>
      </w:pPr>
      <w:r>
        <w:rPr>
          <w:sz w:val="20"/>
        </w:rPr>
      </w:r>
    </w:p>
    <w:p>
      <w:pPr>
        <w:pStyle w:val="2"/>
        <w:outlineLvl w:val="1"/>
        <w:jc w:val="center"/>
      </w:pPr>
      <w:r>
        <w:rPr>
          <w:sz w:val="20"/>
        </w:rPr>
        <w:t xml:space="preserve">3. УСЛОВИЯ И ПОРЯДОК ПРЕДОСТАВЛЕНИЯ ГРАНТОВ</w:t>
      </w:r>
    </w:p>
    <w:p>
      <w:pPr>
        <w:pStyle w:val="0"/>
        <w:jc w:val="both"/>
      </w:pPr>
      <w:r>
        <w:rPr>
          <w:sz w:val="20"/>
        </w:rPr>
      </w:r>
    </w:p>
    <w:p>
      <w:pPr>
        <w:pStyle w:val="0"/>
        <w:ind w:firstLine="540"/>
        <w:jc w:val="both"/>
      </w:pPr>
      <w:r>
        <w:rPr>
          <w:sz w:val="20"/>
        </w:rPr>
        <w:t xml:space="preserve">3.1. Условием предоставления грантов победителю является подписание Соглашения.</w:t>
      </w:r>
    </w:p>
    <w:p>
      <w:pPr>
        <w:pStyle w:val="0"/>
        <w:spacing w:before="200" w:line-rule="auto"/>
        <w:ind w:firstLine="540"/>
        <w:jc w:val="both"/>
      </w:pPr>
      <w:r>
        <w:rPr>
          <w:sz w:val="20"/>
        </w:rPr>
        <w:t xml:space="preserve">3.2. Максимальный размер гранта, предоставляемого каждому получателю гранта, не может превышать 500000 (пятьсот тысяч) рублей 00 копеек.</w:t>
      </w:r>
    </w:p>
    <w:p>
      <w:pPr>
        <w:pStyle w:val="0"/>
        <w:spacing w:before="200" w:line-rule="auto"/>
        <w:ind w:firstLine="540"/>
        <w:jc w:val="both"/>
      </w:pPr>
      <w:r>
        <w:rPr>
          <w:sz w:val="20"/>
        </w:rPr>
        <w:t xml:space="preserve">3.3. Направления расходов, источником финансового обеспечения которых являются гранты:</w:t>
      </w:r>
    </w:p>
    <w:p>
      <w:pPr>
        <w:pStyle w:val="0"/>
        <w:spacing w:before="200" w:line-rule="auto"/>
        <w:ind w:firstLine="540"/>
        <w:jc w:val="both"/>
      </w:pPr>
      <w:r>
        <w:rPr>
          <w:sz w:val="20"/>
        </w:rPr>
        <w:t xml:space="preserve">1) затраты на приобретение и (или) аренду оборудования, инвентаря, программного обеспечения, расходных материалов, материально-технических запасов, результатов интеллектуальной деятельности (методических разработок);</w:t>
      </w:r>
    </w:p>
    <w:p>
      <w:pPr>
        <w:pStyle w:val="0"/>
        <w:spacing w:before="200" w:line-rule="auto"/>
        <w:ind w:firstLine="540"/>
        <w:jc w:val="both"/>
      </w:pPr>
      <w:r>
        <w:rPr>
          <w:sz w:val="20"/>
        </w:rPr>
        <w:t xml:space="preserve">2) затраты на закупку работ и услуг, которые необходимы в рамках реализации программы деятельности ресурсного центра;</w:t>
      </w:r>
    </w:p>
    <w:p>
      <w:pPr>
        <w:pStyle w:val="0"/>
        <w:spacing w:before="200" w:line-rule="auto"/>
        <w:ind w:firstLine="540"/>
        <w:jc w:val="both"/>
      </w:pPr>
      <w:r>
        <w:rPr>
          <w:sz w:val="20"/>
        </w:rPr>
        <w:t xml:space="preserve">3) затраты на обучение специалистов, участвующих в работе ресурсного центра;</w:t>
      </w:r>
    </w:p>
    <w:p>
      <w:pPr>
        <w:pStyle w:val="0"/>
        <w:spacing w:before="200" w:line-rule="auto"/>
        <w:ind w:firstLine="540"/>
        <w:jc w:val="both"/>
      </w:pPr>
      <w:r>
        <w:rPr>
          <w:sz w:val="20"/>
        </w:rPr>
        <w:t xml:space="preserve">4) оплата труда специалистов, участвующих в работе ресурсного центра, с учетом налогов и сборов, связанных с деятельностью ресурсного центра;</w:t>
      </w:r>
    </w:p>
    <w:p>
      <w:pPr>
        <w:pStyle w:val="0"/>
        <w:spacing w:before="200" w:line-rule="auto"/>
        <w:ind w:firstLine="540"/>
        <w:jc w:val="both"/>
      </w:pPr>
      <w:r>
        <w:rPr>
          <w:sz w:val="20"/>
        </w:rPr>
        <w:t xml:space="preserve">5) затраты на мероприятия, реализуемые в рамках программы деятельности ресурсного центра.</w:t>
      </w:r>
    </w:p>
    <w:p>
      <w:pPr>
        <w:pStyle w:val="0"/>
        <w:spacing w:before="200" w:line-rule="auto"/>
        <w:ind w:firstLine="540"/>
        <w:jc w:val="both"/>
      </w:pPr>
      <w:r>
        <w:rPr>
          <w:sz w:val="20"/>
        </w:rPr>
        <w:t xml:space="preserve">3.4. Срок реализации программы деятельности ресурсного центра, на обеспечение которой предоставляется грант, - с момента заключения Соглашения до 31 декабря года, в котором предоставляется грант.</w:t>
      </w:r>
    </w:p>
    <w:p>
      <w:pPr>
        <w:pStyle w:val="0"/>
        <w:spacing w:before="200" w:line-rule="auto"/>
        <w:ind w:firstLine="540"/>
        <w:jc w:val="both"/>
      </w:pPr>
      <w:r>
        <w:rPr>
          <w:sz w:val="20"/>
        </w:rPr>
        <w:t xml:space="preserve">3.5. Гранты предоставляются на основании заключенного между агентством и получателем грантов Соглашения в соответствии с типовой формой.</w:t>
      </w:r>
    </w:p>
    <w:p>
      <w:pPr>
        <w:pStyle w:val="0"/>
        <w:spacing w:before="200" w:line-rule="auto"/>
        <w:ind w:firstLine="540"/>
        <w:jc w:val="both"/>
      </w:pPr>
      <w:r>
        <w:rPr>
          <w:sz w:val="20"/>
        </w:rPr>
        <w:t xml:space="preserve">3.6. Соглашение должно содержать в том числе:</w:t>
      </w:r>
    </w:p>
    <w:p>
      <w:pPr>
        <w:pStyle w:val="0"/>
        <w:spacing w:before="200" w:line-rule="auto"/>
        <w:ind w:firstLine="540"/>
        <w:jc w:val="both"/>
      </w:pPr>
      <w:r>
        <w:rPr>
          <w:sz w:val="20"/>
        </w:rPr>
        <w:t xml:space="preserve">1) условие о согласовании новых условий Соглашения или о расторжении Соглашения при недостижении согласия по новым условиям в случае уменьшения агентству ранее доведенных лимитов бюджетных обязательств, приводящего к невозможности предоставления грантов в размере, определенном в Соглашении;</w:t>
      </w:r>
    </w:p>
    <w:p>
      <w:pPr>
        <w:pStyle w:val="0"/>
        <w:spacing w:before="200" w:line-rule="auto"/>
        <w:ind w:firstLine="540"/>
        <w:jc w:val="both"/>
      </w:pPr>
      <w:r>
        <w:rPr>
          <w:sz w:val="20"/>
        </w:rPr>
        <w:t xml:space="preserve">2) запрет приобретения получателем грантов, а также иными юридическими лицами, получающими средства на основании договоров, заключенных с получателем грантов, за счет полученных из краевого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согласие получателя грантов, лиц, получающих средства на основании договоров, заключенных с получателем грантов, на осуществление в отношении их проверки агентством соблюдения порядка и условий предоставления грантов, в том числе в части достижения результата предоставления грантов, а также проверки службой финансово-экономического контроля и контроля в сфере закупок Красноярского края (далее - Служба) и Счетной палатой Красноярского края в соответствии со </w:t>
      </w:r>
      <w:hyperlink w:history="0" r:id="rId30"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 согласие получателя грантов на обязательное участие в мероприятиях, акциях и (или) содействие в их организации (проведении), которые организуют агентство и (или) автономная некоммерческая организация "Краевой центр поддержки и развития общественных инициатив" (далее - АНО "КЦПИРОИ") по письменному обращению агентства или АНО "КЦПИРОИ", направленному на адрес электронной почты получателя грантов, указанный в Соглашении, не позднее 2 дней до даты проведения акции или мероприятия;</w:t>
      </w:r>
    </w:p>
    <w:p>
      <w:pPr>
        <w:pStyle w:val="0"/>
        <w:spacing w:before="200" w:line-rule="auto"/>
        <w:ind w:firstLine="540"/>
        <w:jc w:val="both"/>
      </w:pPr>
      <w:r>
        <w:rPr>
          <w:sz w:val="20"/>
        </w:rPr>
        <w:t xml:space="preserve">5) согласие получателя грантов на оказание содействия агентству и (или) АНО "КЦПИРОИ" в сборе и обработке информации, касающейся деятельности ресурсного центра, по письменному обращению агентства или АНО "КЦПИРОИ", направленному на адрес электронной почты получателя грантов, указанный в Соглашении;</w:t>
      </w:r>
    </w:p>
    <w:p>
      <w:pPr>
        <w:pStyle w:val="0"/>
        <w:spacing w:before="200" w:line-rule="auto"/>
        <w:ind w:firstLine="540"/>
        <w:jc w:val="both"/>
      </w:pPr>
      <w:r>
        <w:rPr>
          <w:sz w:val="20"/>
        </w:rPr>
        <w:t xml:space="preserve">6) согласие получателя грантов на осуществление функций и оказание услуг, указанных в положении о ресурсном центре, которое было представлено в составе заявки, представителям СОНКО, добровольцам (волонтерам), гражданам, которые решили стать добровольцами (волонтерами), в течение срока, на который предоставлены гранты.</w:t>
      </w:r>
    </w:p>
    <w:p>
      <w:pPr>
        <w:pStyle w:val="0"/>
        <w:spacing w:before="200" w:line-rule="auto"/>
        <w:ind w:firstLine="540"/>
        <w:jc w:val="both"/>
      </w:pPr>
      <w:r>
        <w:rPr>
          <w:sz w:val="20"/>
        </w:rPr>
        <w:t xml:space="preserve">3.7. Получатель гранта возвращает неиспользованный остаток средств гранта в доход краевого бюджета в срок до 25 января года, следующего за годом предоставления грантов.</w:t>
      </w:r>
    </w:p>
    <w:p>
      <w:pPr>
        <w:pStyle w:val="0"/>
        <w:spacing w:before="200" w:line-rule="auto"/>
        <w:ind w:firstLine="540"/>
        <w:jc w:val="both"/>
      </w:pPr>
      <w:r>
        <w:rPr>
          <w:sz w:val="20"/>
        </w:rPr>
        <w:t xml:space="preserve">3.8. Внесение изменений в Соглашение осуществляется в следующих случаях:</w:t>
      </w:r>
    </w:p>
    <w:bookmarkStart w:id="283" w:name="P283"/>
    <w:bookmarkEnd w:id="283"/>
    <w:p>
      <w:pPr>
        <w:pStyle w:val="0"/>
        <w:spacing w:before="200" w:line-rule="auto"/>
        <w:ind w:firstLine="540"/>
        <w:jc w:val="both"/>
      </w:pPr>
      <w:r>
        <w:rPr>
          <w:sz w:val="20"/>
        </w:rPr>
        <w:t xml:space="preserve">1) уменьшение (увеличение) агентству ранее доведенных лимитов бюджетных обязательств на предоставление грантов;</w:t>
      </w:r>
    </w:p>
    <w:bookmarkStart w:id="284" w:name="P284"/>
    <w:bookmarkEnd w:id="284"/>
    <w:p>
      <w:pPr>
        <w:pStyle w:val="0"/>
        <w:spacing w:before="200" w:line-rule="auto"/>
        <w:ind w:firstLine="540"/>
        <w:jc w:val="both"/>
      </w:pPr>
      <w:r>
        <w:rPr>
          <w:sz w:val="20"/>
        </w:rPr>
        <w:t xml:space="preserve">2) экономия финансовых средств, сложившаяся в результате исполнения мероприятий, предусмотренных программой деятельности ресурсного центра;</w:t>
      </w:r>
    </w:p>
    <w:bookmarkStart w:id="285" w:name="P285"/>
    <w:bookmarkEnd w:id="285"/>
    <w:p>
      <w:pPr>
        <w:pStyle w:val="0"/>
        <w:spacing w:before="200" w:line-rule="auto"/>
        <w:ind w:firstLine="540"/>
        <w:jc w:val="both"/>
      </w:pPr>
      <w:r>
        <w:rPr>
          <w:sz w:val="20"/>
        </w:rPr>
        <w:t xml:space="preserve">3) необходимость исправления описок, технических и арифметических ошибок;</w:t>
      </w:r>
    </w:p>
    <w:bookmarkStart w:id="286" w:name="P286"/>
    <w:bookmarkEnd w:id="286"/>
    <w:p>
      <w:pPr>
        <w:pStyle w:val="0"/>
        <w:spacing w:before="200" w:line-rule="auto"/>
        <w:ind w:firstLine="540"/>
        <w:jc w:val="both"/>
      </w:pPr>
      <w:r>
        <w:rPr>
          <w:sz w:val="20"/>
        </w:rPr>
        <w:t xml:space="preserve">4) перераспределение средств субсидии по направлениям расходов, источником финансового обеспечения которых являются гранты.</w:t>
      </w:r>
    </w:p>
    <w:p>
      <w:pPr>
        <w:pStyle w:val="0"/>
        <w:spacing w:before="200" w:line-rule="auto"/>
        <w:ind w:firstLine="540"/>
        <w:jc w:val="both"/>
      </w:pPr>
      <w:r>
        <w:rPr>
          <w:sz w:val="20"/>
        </w:rPr>
        <w:t xml:space="preserve">В случае возникновения оснований для заключения дополнительного соглашения, указанных в </w:t>
      </w:r>
      <w:hyperlink w:history="0" w:anchor="P283" w:tooltip="1) уменьшение (увеличение) агентству ранее доведенных лимитов бюджетных обязательств на предоставление грантов;">
        <w:r>
          <w:rPr>
            <w:sz w:val="20"/>
            <w:color w:val="0000ff"/>
          </w:rPr>
          <w:t xml:space="preserve">подпунктах 1</w:t>
        </w:r>
      </w:hyperlink>
      <w:r>
        <w:rPr>
          <w:sz w:val="20"/>
        </w:rPr>
        <w:t xml:space="preserve">, </w:t>
      </w:r>
      <w:hyperlink w:history="0" w:anchor="P285" w:tooltip="3) необходимость исправления описок, технических и арифметических ошибок;">
        <w:r>
          <w:rPr>
            <w:sz w:val="20"/>
            <w:color w:val="0000ff"/>
          </w:rPr>
          <w:t xml:space="preserve">3</w:t>
        </w:r>
      </w:hyperlink>
      <w:r>
        <w:rPr>
          <w:sz w:val="20"/>
        </w:rPr>
        <w:t xml:space="preserve"> настоящего пункта, агентство направляет получателю грантов по адресу электронной почты получателя грантов, указанному в Соглашении, письменное уведомление о принятии решения о заключении дополнительного соглашения. Между агентством и получателем грантов заключается дополнительное соглашение в соответствии с типовой формой не позднее 20 рабочих дней со дня получения получателем грантов уведомления о принятии решения о заключении дополнительного соглашения.</w:t>
      </w:r>
    </w:p>
    <w:p>
      <w:pPr>
        <w:pStyle w:val="0"/>
        <w:spacing w:before="200" w:line-rule="auto"/>
        <w:ind w:firstLine="540"/>
        <w:jc w:val="both"/>
      </w:pPr>
      <w:r>
        <w:rPr>
          <w:sz w:val="20"/>
        </w:rPr>
        <w:t xml:space="preserve">В случае возникновения оснований, указанных в </w:t>
      </w:r>
      <w:hyperlink w:history="0" w:anchor="P284" w:tooltip="2) экономия финансовых средств, сложившаяся в результате исполнения мероприятий, предусмотренных программой деятельности ресурсного центра;">
        <w:r>
          <w:rPr>
            <w:sz w:val="20"/>
            <w:color w:val="0000ff"/>
          </w:rPr>
          <w:t xml:space="preserve">подпунктах 2</w:t>
        </w:r>
      </w:hyperlink>
      <w:r>
        <w:rPr>
          <w:sz w:val="20"/>
        </w:rPr>
        <w:t xml:space="preserve">, </w:t>
      </w:r>
      <w:hyperlink w:history="0" w:anchor="P286" w:tooltip="4) перераспределение средств субсидии по направлениям расходов, источником финансового обеспечения которых являются гранты.">
        <w:r>
          <w:rPr>
            <w:sz w:val="20"/>
            <w:color w:val="0000ff"/>
          </w:rPr>
          <w:t xml:space="preserve">4</w:t>
        </w:r>
      </w:hyperlink>
      <w:r>
        <w:rPr>
          <w:sz w:val="20"/>
        </w:rPr>
        <w:t xml:space="preserve"> настоящего пункта, получатель грантов направляет в агентство письменное обращение о заключении дополнительного соглашения с приложением обоснования вносимых изменений.</w:t>
      </w:r>
    </w:p>
    <w:p>
      <w:pPr>
        <w:pStyle w:val="0"/>
        <w:spacing w:before="200" w:line-rule="auto"/>
        <w:ind w:firstLine="540"/>
        <w:jc w:val="both"/>
      </w:pPr>
      <w:r>
        <w:rPr>
          <w:sz w:val="20"/>
        </w:rPr>
        <w:t xml:space="preserve">Агентство рассматривает обращение получателя грантов и в случае принятия положительного решения между получателем грантов и агентством заключается дополнительное соглашение в соответствии с типовой формой не позднее 25 рабочих дней со дня поступления обращения в агентство. В случае принятия отрицательного решения по заключению дополнительного соглашения агентство в течение 10 рабочих дней направляет получателю субсидии по адресу электронной почты получателя грантов, указанному в Соглашении, письменное уведомление с указанием причин отказа.</w:t>
      </w:r>
    </w:p>
    <w:p>
      <w:pPr>
        <w:pStyle w:val="0"/>
        <w:spacing w:before="200" w:line-rule="auto"/>
        <w:ind w:firstLine="540"/>
        <w:jc w:val="both"/>
      </w:pPr>
      <w:r>
        <w:rPr>
          <w:sz w:val="20"/>
        </w:rPr>
        <w:t xml:space="preserve">При реорганизации получателя грантов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3.9. Расторжение Соглашения осуществляется в случаях:</w:t>
      </w:r>
    </w:p>
    <w:p>
      <w:pPr>
        <w:pStyle w:val="0"/>
        <w:spacing w:before="200" w:line-rule="auto"/>
        <w:ind w:firstLine="540"/>
        <w:jc w:val="both"/>
      </w:pPr>
      <w:r>
        <w:rPr>
          <w:sz w:val="20"/>
        </w:rPr>
        <w:t xml:space="preserve">1) нарушения получателем грантов порядка и условий предоставления грантов, установленных Порядком и Соглашением;</w:t>
      </w:r>
    </w:p>
    <w:p>
      <w:pPr>
        <w:pStyle w:val="0"/>
        <w:spacing w:before="200" w:line-rule="auto"/>
        <w:ind w:firstLine="540"/>
        <w:jc w:val="both"/>
      </w:pPr>
      <w:r>
        <w:rPr>
          <w:sz w:val="20"/>
        </w:rPr>
        <w:t xml:space="preserve">2) недостижения согласия по новым условиям Соглашения в случае уменьшения агентству как получателю бюджетных средств ранее доведенных лимитов бюджетных ассигнований, приводящего к невозможности предоставления грантов в размере, определенном в Соглашении.</w:t>
      </w:r>
    </w:p>
    <w:p>
      <w:pPr>
        <w:pStyle w:val="0"/>
        <w:spacing w:before="200" w:line-rule="auto"/>
        <w:ind w:firstLine="540"/>
        <w:jc w:val="both"/>
      </w:pPr>
      <w:r>
        <w:rPr>
          <w:sz w:val="20"/>
        </w:rPr>
        <w:t xml:space="preserve">При реорганизации получателя грантов в форме разделения, выделения, а также при ликвидации получателя грантов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грантов обязательствах, источником финансового обеспечения которых являются гранты.</w:t>
      </w:r>
    </w:p>
    <w:p>
      <w:pPr>
        <w:pStyle w:val="0"/>
        <w:spacing w:before="200" w:line-rule="auto"/>
        <w:ind w:firstLine="540"/>
        <w:jc w:val="both"/>
      </w:pPr>
      <w:r>
        <w:rPr>
          <w:sz w:val="20"/>
        </w:rPr>
        <w:t xml:space="preserve">3.10. Агентство в течение 20 рабочих дней со дня принятия приказа о победителях отбора направляет получателю гранта проект Соглашения на электронную почту, указанную в заявке. Проект Соглашения в части сведений о получателе грантов и сведений о программе деятельности ресурсного центра заполняется агентством на основании информации, указанной в заявке.</w:t>
      </w:r>
    </w:p>
    <w:bookmarkStart w:id="296" w:name="P296"/>
    <w:bookmarkEnd w:id="296"/>
    <w:p>
      <w:pPr>
        <w:pStyle w:val="0"/>
        <w:spacing w:before="200" w:line-rule="auto"/>
        <w:ind w:firstLine="540"/>
        <w:jc w:val="both"/>
      </w:pPr>
      <w:r>
        <w:rPr>
          <w:sz w:val="20"/>
        </w:rPr>
        <w:t xml:space="preserve">3.11. Получатели гранта в течение 5 рабочих дней со дня получения проекта Соглашения представляют в агентство подписанное Соглашение в 2 экземплярах (нарочным либо почтовым отправлением с уведомлением о вручении) с сопроводительным письмом, в котором получатель гранта указывает один из способов получения подписанного со стороны агентства Соглашения (передать представителю получателя гранта лично по его прибытии в агентство или направить почтовым отправлением с уведомлением о вручении). Сопроводительное письмо с двумя экземплярами проекта Соглашения регистрируется агентством в Енисей-СЭД в течение 2 рабочих дней со дня его поступления.</w:t>
      </w:r>
    </w:p>
    <w:p>
      <w:pPr>
        <w:pStyle w:val="0"/>
        <w:spacing w:before="200" w:line-rule="auto"/>
        <w:ind w:firstLine="540"/>
        <w:jc w:val="both"/>
      </w:pPr>
      <w:r>
        <w:rPr>
          <w:sz w:val="20"/>
        </w:rPr>
        <w:t xml:space="preserve">3.12. В течение 10 рабочих дней со дня регистрации сопроводительного письма, указанного в </w:t>
      </w:r>
      <w:hyperlink w:history="0" w:anchor="P296" w:tooltip="3.11. Получатели гранта в течение 5 рабочих дней со дня получения проекта Соглашения представляют в агентство подписанное Соглашение в 2 экземплярах (нарочным либо почтовым отправлением с уведомлением о вручении) с сопроводительным письмом, в котором получатель гранта указывает один из способов получения подписанного со стороны агентства Соглашения (передать представителю получателя гранта лично по его прибытии в агентство или направить почтовым отправлением с уведомлением о вручении). Сопроводительное п...">
        <w:r>
          <w:rPr>
            <w:sz w:val="20"/>
            <w:color w:val="0000ff"/>
          </w:rPr>
          <w:t xml:space="preserve">пункте 3.11</w:t>
        </w:r>
      </w:hyperlink>
      <w:r>
        <w:rPr>
          <w:sz w:val="20"/>
        </w:rPr>
        <w:t xml:space="preserve"> Порядка, в Енисей-СЭД подписанные получателем гранта экземпляры Соглашения подписываются со стороны агентства.</w:t>
      </w:r>
    </w:p>
    <w:p>
      <w:pPr>
        <w:pStyle w:val="0"/>
        <w:spacing w:before="200" w:line-rule="auto"/>
        <w:ind w:firstLine="540"/>
        <w:jc w:val="both"/>
      </w:pPr>
      <w:r>
        <w:rPr>
          <w:sz w:val="20"/>
        </w:rPr>
        <w:t xml:space="preserve">3.13. Один экземпляр подписанного Соглашения передается представителю получателя гранта лично или почтовым отправлением с уведомлением о вручении.</w:t>
      </w:r>
    </w:p>
    <w:bookmarkStart w:id="299" w:name="P299"/>
    <w:bookmarkEnd w:id="299"/>
    <w:p>
      <w:pPr>
        <w:pStyle w:val="0"/>
        <w:spacing w:before="200" w:line-rule="auto"/>
        <w:ind w:firstLine="540"/>
        <w:jc w:val="both"/>
      </w:pPr>
      <w:r>
        <w:rPr>
          <w:sz w:val="20"/>
        </w:rPr>
        <w:t xml:space="preserve">3.14. Получатель гранта признается уклонившимся от заключения Соглашения в следующих случаях:</w:t>
      </w:r>
    </w:p>
    <w:p>
      <w:pPr>
        <w:pStyle w:val="0"/>
        <w:spacing w:before="200" w:line-rule="auto"/>
        <w:ind w:firstLine="540"/>
        <w:jc w:val="both"/>
      </w:pPr>
      <w:r>
        <w:rPr>
          <w:sz w:val="20"/>
        </w:rPr>
        <w:t xml:space="preserve">1) нарушение срока направления проекта Соглашения в агентство, установленного в </w:t>
      </w:r>
      <w:hyperlink w:history="0" w:anchor="P296" w:tooltip="3.11. Получатели гранта в течение 5 рабочих дней со дня получения проекта Соглашения представляют в агентство подписанное Соглашение в 2 экземплярах (нарочным либо почтовым отправлением с уведомлением о вручении) с сопроводительным письмом, в котором получатель гранта указывает один из способов получения подписанного со стороны агентства Соглашения (передать представителю получателя гранта лично по его прибытии в агентство или направить почтовым отправлением с уведомлением о вручении). Сопроводительное п...">
        <w:r>
          <w:rPr>
            <w:sz w:val="20"/>
            <w:color w:val="0000ff"/>
          </w:rPr>
          <w:t xml:space="preserve">пункте 3.11</w:t>
        </w:r>
      </w:hyperlink>
      <w:r>
        <w:rPr>
          <w:sz w:val="20"/>
        </w:rPr>
        <w:t xml:space="preserve"> Порядка;</w:t>
      </w:r>
    </w:p>
    <w:p>
      <w:pPr>
        <w:pStyle w:val="0"/>
        <w:spacing w:before="200" w:line-rule="auto"/>
        <w:ind w:firstLine="540"/>
        <w:jc w:val="both"/>
      </w:pPr>
      <w:r>
        <w:rPr>
          <w:sz w:val="20"/>
        </w:rPr>
        <w:t xml:space="preserve">2) поступление в адрес агентства от получателя гранта письменного обращения об отказе от заключения Соглашения.</w:t>
      </w:r>
    </w:p>
    <w:p>
      <w:pPr>
        <w:pStyle w:val="0"/>
        <w:spacing w:before="200" w:line-rule="auto"/>
        <w:ind w:firstLine="540"/>
        <w:jc w:val="both"/>
      </w:pPr>
      <w:r>
        <w:rPr>
          <w:sz w:val="20"/>
        </w:rPr>
        <w:t xml:space="preserve">Получателю гранта, уклонившемуся от заключения Соглашения, грант не предоставляется.</w:t>
      </w:r>
    </w:p>
    <w:p>
      <w:pPr>
        <w:pStyle w:val="0"/>
        <w:spacing w:before="200" w:line-rule="auto"/>
        <w:ind w:firstLine="540"/>
        <w:jc w:val="both"/>
      </w:pPr>
      <w:r>
        <w:rPr>
          <w:sz w:val="20"/>
        </w:rPr>
        <w:t xml:space="preserve">3.15. При наступлении одного из случаев, указанных в </w:t>
      </w:r>
      <w:hyperlink w:history="0" w:anchor="P299" w:tooltip="3.14. Получатель гранта признается уклонившимся от заключения Соглашения в следующих случаях:">
        <w:r>
          <w:rPr>
            <w:sz w:val="20"/>
            <w:color w:val="0000ff"/>
          </w:rPr>
          <w:t xml:space="preserve">пункте 3.14</w:t>
        </w:r>
      </w:hyperlink>
      <w:r>
        <w:rPr>
          <w:sz w:val="20"/>
        </w:rPr>
        <w:t xml:space="preserve"> Порядка, агентство в течение 7 рабочих дней после несоблюдения условий, установленных в </w:t>
      </w:r>
      <w:hyperlink w:history="0" w:anchor="P296" w:tooltip="3.11. Получатели гранта в течение 5 рабочих дней со дня получения проекта Соглашения представляют в агентство подписанное Соглашение в 2 экземплярах (нарочным либо почтовым отправлением с уведомлением о вручении) с сопроводительным письмом, в котором получатель гранта указывает один из способов получения подписанного со стороны агентства Соглашения (передать представителю получателя гранта лично по его прибытии в агентство или направить почтовым отправлением с уведомлением о вручении). Сопроводительное п...">
        <w:r>
          <w:rPr>
            <w:sz w:val="20"/>
            <w:color w:val="0000ff"/>
          </w:rPr>
          <w:t xml:space="preserve">пункте 3.11</w:t>
        </w:r>
      </w:hyperlink>
      <w:r>
        <w:rPr>
          <w:sz w:val="20"/>
        </w:rPr>
        <w:t xml:space="preserve"> Порядка, принимает решение в форме приказа о признании получателя гранта уклонившимся от заключения Соглашения и о распределении высвободившихся средств грантов участнику отбора, чья заявка определена следующей в рейтинге и не вошла в приказ о победителях отбора в соответствии требованиями, предусмотренными в </w:t>
      </w:r>
      <w:hyperlink w:history="0" w:anchor="P240" w:tooltip="2.32. По итогам оценки заявок агентство формирует рейтинг (далее - рейтинг) заявок путем выведения суммарного балла заявки (сумма оценок по каждому критерию оценки с учетом его весового значения).">
        <w:r>
          <w:rPr>
            <w:sz w:val="20"/>
            <w:color w:val="0000ff"/>
          </w:rPr>
          <w:t xml:space="preserve">пунктах 2.32</w:t>
        </w:r>
      </w:hyperlink>
      <w:r>
        <w:rPr>
          <w:sz w:val="20"/>
        </w:rPr>
        <w:t xml:space="preserve"> - </w:t>
      </w:r>
      <w:hyperlink w:history="0" w:anchor="P243" w:tooltip="2.35.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6 баллов.">
        <w:r>
          <w:rPr>
            <w:sz w:val="20"/>
            <w:color w:val="0000ff"/>
          </w:rPr>
          <w:t xml:space="preserve">2.35</w:t>
        </w:r>
      </w:hyperlink>
      <w:r>
        <w:rPr>
          <w:sz w:val="20"/>
        </w:rPr>
        <w:t xml:space="preserve"> Порядка.</w:t>
      </w:r>
    </w:p>
    <w:p>
      <w:pPr>
        <w:pStyle w:val="0"/>
        <w:spacing w:before="200" w:line-rule="auto"/>
        <w:ind w:firstLine="540"/>
        <w:jc w:val="both"/>
      </w:pPr>
      <w:r>
        <w:rPr>
          <w:sz w:val="20"/>
        </w:rPr>
        <w:t xml:space="preserve">В случае отсутствия заявителя, чья заявка определена следующей в рейтинге, утвержденном приказом о победителях отбора, и который соответствует требованию, предусмотренному в </w:t>
      </w:r>
      <w:hyperlink w:history="0" w:anchor="P243" w:tooltip="2.35.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6 баллов.">
        <w:r>
          <w:rPr>
            <w:sz w:val="20"/>
            <w:color w:val="0000ff"/>
          </w:rPr>
          <w:t xml:space="preserve">пункте 2.35</w:t>
        </w:r>
      </w:hyperlink>
      <w:r>
        <w:rPr>
          <w:sz w:val="20"/>
        </w:rPr>
        <w:t xml:space="preserve"> Порядка, высвободившиеся средства гранта возвращаются в краевой бюджет.</w:t>
      </w:r>
    </w:p>
    <w:p>
      <w:pPr>
        <w:pStyle w:val="0"/>
        <w:spacing w:before="200" w:line-rule="auto"/>
        <w:ind w:firstLine="540"/>
        <w:jc w:val="both"/>
      </w:pPr>
      <w:r>
        <w:rPr>
          <w:sz w:val="20"/>
        </w:rPr>
        <w:t xml:space="preserve">3.16. Агентство в течение 10 рабочих дней со дня подписания Соглашения перечисляет средства гранта на расчетный или корреспондентский счет, открытый получателем грантов в учреждении Центрального банка Российской Федерации или кредитной организации, если иное не установлено законодательством Российской Федерации.</w:t>
      </w:r>
    </w:p>
    <w:p>
      <w:pPr>
        <w:pStyle w:val="0"/>
        <w:spacing w:before="200" w:line-rule="auto"/>
        <w:ind w:firstLine="540"/>
        <w:jc w:val="both"/>
      </w:pPr>
      <w:r>
        <w:rPr>
          <w:sz w:val="20"/>
        </w:rPr>
        <w:t xml:space="preserve">3.17. Результатами предоставления грантов являются:</w:t>
      </w:r>
    </w:p>
    <w:p>
      <w:pPr>
        <w:pStyle w:val="0"/>
        <w:spacing w:before="200" w:line-rule="auto"/>
        <w:ind w:firstLine="540"/>
        <w:jc w:val="both"/>
      </w:pPr>
      <w:r>
        <w:rPr>
          <w:sz w:val="20"/>
        </w:rPr>
        <w:t xml:space="preserve">число жителей Красноярского края, вовлеченных в добровольческую (волонтерскую) и общественно активную деятельность;</w:t>
      </w:r>
    </w:p>
    <w:p>
      <w:pPr>
        <w:pStyle w:val="0"/>
        <w:spacing w:before="200" w:line-rule="auto"/>
        <w:ind w:firstLine="540"/>
        <w:jc w:val="both"/>
      </w:pPr>
      <w:r>
        <w:rPr>
          <w:sz w:val="20"/>
        </w:rPr>
        <w:t xml:space="preserve">количество оказанных консультаций представителям СОНКО и (или) добровольцам (волонтерам);</w:t>
      </w:r>
    </w:p>
    <w:p>
      <w:pPr>
        <w:pStyle w:val="0"/>
        <w:spacing w:before="200" w:line-rule="auto"/>
        <w:ind w:firstLine="540"/>
        <w:jc w:val="both"/>
      </w:pPr>
      <w:r>
        <w:rPr>
          <w:sz w:val="20"/>
        </w:rPr>
        <w:t xml:space="preserve">количество проведенных мероприятий, в том числе образовательного и (или) просветительского характера, культурно-массовых мероприятий, для представителей СОНКО и добровольцев (волонтеров);</w:t>
      </w:r>
    </w:p>
    <w:p>
      <w:pPr>
        <w:pStyle w:val="0"/>
        <w:spacing w:before="200" w:line-rule="auto"/>
        <w:ind w:firstLine="540"/>
        <w:jc w:val="both"/>
      </w:pPr>
      <w:r>
        <w:rPr>
          <w:sz w:val="20"/>
        </w:rPr>
        <w:t xml:space="preserve">число представителей СОНКО и добровольцев (волонтеров), принявших участие в мероприятиях ресурсных центров;</w:t>
      </w:r>
    </w:p>
    <w:p>
      <w:pPr>
        <w:pStyle w:val="0"/>
        <w:spacing w:before="200" w:line-rule="auto"/>
        <w:ind w:firstLine="540"/>
        <w:jc w:val="both"/>
      </w:pPr>
      <w:r>
        <w:rPr>
          <w:sz w:val="20"/>
        </w:rPr>
        <w:t xml:space="preserve">количество информационных материалов о СОНКО и добровольцах (волонтерах) и для социально ориентированных некоммерческих организаций и добровольцев (волонтеров), размещенных ресурсными центрами в сети Интернет;</w:t>
      </w:r>
    </w:p>
    <w:p>
      <w:pPr>
        <w:pStyle w:val="0"/>
        <w:spacing w:before="200" w:line-rule="auto"/>
        <w:ind w:firstLine="540"/>
        <w:jc w:val="both"/>
      </w:pPr>
      <w:r>
        <w:rPr>
          <w:sz w:val="20"/>
        </w:rPr>
        <w:t xml:space="preserve">количество оказанных услуг СОНКО и добровольцам (волонтерам).</w:t>
      </w:r>
    </w:p>
    <w:p>
      <w:pPr>
        <w:pStyle w:val="0"/>
        <w:spacing w:before="200" w:line-rule="auto"/>
        <w:ind w:firstLine="540"/>
        <w:jc w:val="both"/>
      </w:pPr>
      <w:r>
        <w:rPr>
          <w:sz w:val="20"/>
        </w:rPr>
        <w:t xml:space="preserve">Значения и сроки достижения результатов предоставления грантов устанавливаются в Соглашении.</w:t>
      </w:r>
    </w:p>
    <w:p>
      <w:pPr>
        <w:pStyle w:val="0"/>
        <w:jc w:val="both"/>
      </w:pPr>
      <w:r>
        <w:rPr>
          <w:sz w:val="20"/>
        </w:rPr>
      </w:r>
    </w:p>
    <w:p>
      <w:pPr>
        <w:pStyle w:val="2"/>
        <w:outlineLvl w:val="1"/>
        <w:jc w:val="center"/>
      </w:pPr>
      <w:r>
        <w:rPr>
          <w:sz w:val="20"/>
        </w:rPr>
        <w:t xml:space="preserve">4. ТРЕБОВАНИЯ К ПРЕДСТАВЛЕНИЮ ОТЧЕТНОСТИ, ОСУЩЕСТВЛЕНИЮ</w:t>
      </w:r>
    </w:p>
    <w:p>
      <w:pPr>
        <w:pStyle w:val="2"/>
        <w:jc w:val="center"/>
      </w:pPr>
      <w:r>
        <w:rPr>
          <w:sz w:val="20"/>
        </w:rPr>
        <w:t xml:space="preserve">КОНТРОЛЯ (МОНИТОРИНГА) ЗА СОБЛЮДЕНИЕМ УСЛОВИЙ И ПОРЯДКА</w:t>
      </w:r>
    </w:p>
    <w:p>
      <w:pPr>
        <w:pStyle w:val="2"/>
        <w:jc w:val="center"/>
      </w:pPr>
      <w:r>
        <w:rPr>
          <w:sz w:val="20"/>
        </w:rPr>
        <w:t xml:space="preserve">ПРЕДОСТАВЛЕНИЯ СУБСИДИИ И ОТВЕТСТВЕННОСТЬ ЗА ИХ НАРУШЕНИЕ</w:t>
      </w:r>
    </w:p>
    <w:p>
      <w:pPr>
        <w:pStyle w:val="0"/>
        <w:jc w:val="both"/>
      </w:pPr>
      <w:r>
        <w:rPr>
          <w:sz w:val="20"/>
        </w:rPr>
      </w:r>
    </w:p>
    <w:bookmarkStart w:id="319" w:name="P319"/>
    <w:bookmarkEnd w:id="319"/>
    <w:p>
      <w:pPr>
        <w:pStyle w:val="0"/>
        <w:ind w:firstLine="540"/>
        <w:jc w:val="both"/>
      </w:pPr>
      <w:r>
        <w:rPr>
          <w:sz w:val="20"/>
        </w:rPr>
        <w:t xml:space="preserve">4.1. Получатели грантов нарастающим итогом ежеквартально до 15-го числа месяца, следующего за отчетным кварталом, и по итогам года до 25 января года, следующего за годом предоставления гранта, представляют в агентство с сопроводительным письмом, подписанным получателем гранта, на бумажном носителе (по почте или лично):</w:t>
      </w:r>
    </w:p>
    <w:p>
      <w:pPr>
        <w:pStyle w:val="0"/>
        <w:spacing w:before="200" w:line-rule="auto"/>
        <w:ind w:firstLine="540"/>
        <w:jc w:val="both"/>
      </w:pPr>
      <w:r>
        <w:rPr>
          <w:sz w:val="20"/>
        </w:rPr>
        <w:t xml:space="preserve">1) отчет об осуществлении расходов, источником финансового обеспечения которых являются гранты (далее - финансовый отчет);</w:t>
      </w:r>
    </w:p>
    <w:p>
      <w:pPr>
        <w:pStyle w:val="0"/>
        <w:spacing w:before="200" w:line-rule="auto"/>
        <w:ind w:firstLine="540"/>
        <w:jc w:val="both"/>
      </w:pPr>
      <w:r>
        <w:rPr>
          <w:sz w:val="20"/>
        </w:rPr>
        <w:t xml:space="preserve">2) отчет о достижении значений результатов предоставления грантов (далее - аналитический отчет).</w:t>
      </w:r>
    </w:p>
    <w:p>
      <w:pPr>
        <w:pStyle w:val="0"/>
        <w:spacing w:before="200" w:line-rule="auto"/>
        <w:ind w:firstLine="540"/>
        <w:jc w:val="both"/>
      </w:pPr>
      <w:r>
        <w:rPr>
          <w:sz w:val="20"/>
        </w:rPr>
        <w:t xml:space="preserve">4.2. Формы отчетов, указанных в </w:t>
      </w:r>
      <w:hyperlink w:history="0" w:anchor="P319" w:tooltip="4.1. Получатели грантов нарастающим итогом ежеквартально до 15-го числа месяца, следующего за отчетным кварталом, и по итогам года до 25 января года, следующего за годом предоставления гранта, представляют в агентство с сопроводительным письмом, подписанным получателем гранта, на бумажном носителе (по почте или лично):">
        <w:r>
          <w:rPr>
            <w:sz w:val="20"/>
            <w:color w:val="0000ff"/>
          </w:rPr>
          <w:t xml:space="preserve">пункте 4.1</w:t>
        </w:r>
      </w:hyperlink>
      <w:r>
        <w:rPr>
          <w:sz w:val="20"/>
        </w:rPr>
        <w:t xml:space="preserve"> Порядка, устанавливаются Соглашением в соответствии с типовой формой.</w:t>
      </w:r>
    </w:p>
    <w:p>
      <w:pPr>
        <w:pStyle w:val="0"/>
        <w:spacing w:before="200" w:line-rule="auto"/>
        <w:ind w:firstLine="540"/>
        <w:jc w:val="both"/>
      </w:pPr>
      <w:r>
        <w:rPr>
          <w:sz w:val="20"/>
        </w:rPr>
        <w:t xml:space="preserve">4.3. К финансовому отчету прилагаются копии документов, подтверждающих расходы, понесенные получателем грантов в ходе реализации программы деятельности ресурсного центра.</w:t>
      </w:r>
    </w:p>
    <w:p>
      <w:pPr>
        <w:pStyle w:val="0"/>
        <w:spacing w:before="200" w:line-rule="auto"/>
        <w:ind w:firstLine="540"/>
        <w:jc w:val="both"/>
      </w:pPr>
      <w:r>
        <w:rPr>
          <w:sz w:val="20"/>
        </w:rPr>
        <w:t xml:space="preserve">К аналитическому отчету прилагаются документы и (или) электронный носитель с материалами, которые подтверждают достижение значений результатов (характеристик результата) предоставления грантов.</w:t>
      </w:r>
    </w:p>
    <w:p>
      <w:pPr>
        <w:pStyle w:val="0"/>
        <w:spacing w:before="200" w:line-rule="auto"/>
        <w:ind w:firstLine="540"/>
        <w:jc w:val="both"/>
      </w:pPr>
      <w:r>
        <w:rPr>
          <w:sz w:val="20"/>
        </w:rPr>
        <w:t xml:space="preserve">4.4. Агентство осуществляет регистрацию сопроводительного письма о представлении отчетов, указанных в </w:t>
      </w:r>
      <w:hyperlink w:history="0" w:anchor="P319" w:tooltip="4.1. Получатели грантов нарастающим итогом ежеквартально до 15-го числа месяца, следующего за отчетным кварталом, и по итогам года до 25 января года, следующего за годом предоставления гранта, представляют в агентство с сопроводительным письмом, подписанным получателем гранта, на бумажном носителе (по почте или лично):">
        <w:r>
          <w:rPr>
            <w:sz w:val="20"/>
            <w:color w:val="0000ff"/>
          </w:rPr>
          <w:t xml:space="preserve">пункте 4.1</w:t>
        </w:r>
      </w:hyperlink>
      <w:r>
        <w:rPr>
          <w:sz w:val="20"/>
        </w:rPr>
        <w:t xml:space="preserve"> Порядка, в Енисей-СЭД в течение 2 рабочих дней со дня их поступления.</w:t>
      </w:r>
    </w:p>
    <w:p>
      <w:pPr>
        <w:pStyle w:val="0"/>
        <w:spacing w:before="200" w:line-rule="auto"/>
        <w:ind w:firstLine="540"/>
        <w:jc w:val="both"/>
      </w:pPr>
      <w:r>
        <w:rPr>
          <w:sz w:val="20"/>
        </w:rPr>
        <w:t xml:space="preserve">4.5. Агентство осуществляет проверку соблюдения получателем грантов условий и порядка предоставления грантов, в том числе результатов предоставления грантов, путем проведения документальной проверки аналитического отчета (отчетов), финансового отчета (отчетов) (далее - документальная проверка) в течение 90 рабочих дней со дня получения отчетов.</w:t>
      </w:r>
    </w:p>
    <w:p>
      <w:pPr>
        <w:pStyle w:val="0"/>
        <w:spacing w:before="200" w:line-rule="auto"/>
        <w:ind w:firstLine="540"/>
        <w:jc w:val="both"/>
      </w:pPr>
      <w:r>
        <w:rPr>
          <w:sz w:val="20"/>
        </w:rPr>
        <w:t xml:space="preserve">Служба, Счетная палата Красноярского края осуществляют проверки в соответствии со </w:t>
      </w:r>
      <w:hyperlink w:history="0" r:id="rId32"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4.6. Мониторинг достижения результатов предоставления грантов исходя из достижения значений результатов предоставления грантов, определенных Соглашением, и событий, отражающих факт завершения соответствующего мероприятия по получению результатов предоставления грантов, осуществляется в соответствии с </w:t>
      </w:r>
      <w:hyperlink w:history="0" r:id="rId34" w:tooltip="Приказ Минфина России от 29.09.2021 N 138н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quot; (Зарегистрировано в Минюсте России 12.11.2021 N 65786) ------------ Утратил силу или отменен {КонсультантПлюс}">
        <w:r>
          <w:rPr>
            <w:sz w:val="20"/>
            <w:color w:val="0000ff"/>
          </w:rPr>
          <w:t xml:space="preserve">Приказом</w:t>
        </w:r>
      </w:hyperlink>
      <w:r>
        <w:rPr>
          <w:sz w:val="20"/>
        </w:rPr>
        <w:t xml:space="preserve"> Министерства финансов Российской Федерации от 29.09.2021 N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w:t>
      </w:r>
    </w:p>
    <w:bookmarkStart w:id="329" w:name="P329"/>
    <w:bookmarkEnd w:id="329"/>
    <w:p>
      <w:pPr>
        <w:pStyle w:val="0"/>
        <w:spacing w:before="200" w:line-rule="auto"/>
        <w:ind w:firstLine="540"/>
        <w:jc w:val="both"/>
      </w:pPr>
      <w:r>
        <w:rPr>
          <w:sz w:val="20"/>
        </w:rPr>
        <w:t xml:space="preserve">4.7. В случае установления агентством или получения им от Службы и (или) Счетной палаты Красноярского края информации о факте (ах) нарушения получателем грантов, лицами, получающими средства на основании договоров (соглашений), заключенных с получателем грантов, условий предоставления грантов агентство направляет требование о возврате средств грантов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грантов по адресу, указанному в Соглашении.</w:t>
      </w:r>
    </w:p>
    <w:p>
      <w:pPr>
        <w:pStyle w:val="0"/>
        <w:spacing w:before="200" w:line-rule="auto"/>
        <w:ind w:firstLine="540"/>
        <w:jc w:val="both"/>
      </w:pPr>
      <w:r>
        <w:rPr>
          <w:sz w:val="20"/>
        </w:rPr>
        <w:t xml:space="preserve">В требовании, указанном в </w:t>
      </w:r>
      <w:hyperlink w:history="0" w:anchor="P329" w:tooltip="4.7. В случае установления агентством или получения им от Службы и (или) Счетной палаты Красноярского края информации о факте (ах) нарушения получателем грантов, лицами, получающими средства на основании договоров (соглашений), заключенных с получателем грантов, условий предоставления грантов агентство направляет требование о возврате средств грантов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
        <w:r>
          <w:rPr>
            <w:sz w:val="20"/>
            <w:color w:val="0000ff"/>
          </w:rPr>
          <w:t xml:space="preserve">абзаце первом</w:t>
        </w:r>
      </w:hyperlink>
      <w:r>
        <w:rPr>
          <w:sz w:val="20"/>
        </w:rPr>
        <w:t xml:space="preserve"> настоящего пункта, указываются реквизиты для возврата грантов в краевой бюджет.</w:t>
      </w:r>
    </w:p>
    <w:p>
      <w:pPr>
        <w:pStyle w:val="0"/>
        <w:spacing w:before="200" w:line-rule="auto"/>
        <w:ind w:firstLine="540"/>
        <w:jc w:val="both"/>
      </w:pPr>
      <w:r>
        <w:rPr>
          <w:sz w:val="20"/>
        </w:rPr>
        <w:t xml:space="preserve">4.8. Возврату в краевой бюджет подлежат гранты в следующих случаях и размерах:</w:t>
      </w:r>
    </w:p>
    <w:p>
      <w:pPr>
        <w:pStyle w:val="0"/>
        <w:spacing w:before="200" w:line-rule="auto"/>
        <w:ind w:firstLine="540"/>
        <w:jc w:val="both"/>
      </w:pPr>
      <w:r>
        <w:rPr>
          <w:sz w:val="20"/>
        </w:rPr>
        <w:t xml:space="preserve">нарушения получателем грантов условий предоставления грантов, установленных Соглашением, выявленных в том числе по фактам проверок, проведенных агентством и (или) Службой, Счетной палатой Красноярского края в соответствии со </w:t>
      </w:r>
      <w:hyperlink w:history="0" r:id="rId35"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269.2</w:t>
        </w:r>
      </w:hyperlink>
      <w:r>
        <w:rPr>
          <w:sz w:val="20"/>
        </w:rPr>
        <w:t xml:space="preserve"> Бюджетного кодекса Российской Федерации, - в объеме выявленных нарушений;</w:t>
      </w:r>
    </w:p>
    <w:p>
      <w:pPr>
        <w:pStyle w:val="0"/>
        <w:spacing w:before="200" w:line-rule="auto"/>
        <w:ind w:firstLine="540"/>
        <w:jc w:val="both"/>
      </w:pPr>
      <w:r>
        <w:rPr>
          <w:sz w:val="20"/>
        </w:rPr>
        <w:t xml:space="preserve">неполного использования грантов в текущем году - в размере неиспользованного остатка грантов;</w:t>
      </w:r>
    </w:p>
    <w:p>
      <w:pPr>
        <w:pStyle w:val="0"/>
        <w:spacing w:before="200" w:line-rule="auto"/>
        <w:ind w:firstLine="540"/>
        <w:jc w:val="both"/>
      </w:pPr>
      <w:r>
        <w:rPr>
          <w:sz w:val="20"/>
        </w:rPr>
        <w:t xml:space="preserve">недостижения значения результатов предоставления грантов и их показателей - в объеме средств, подлежащих возврату в краевой бюджет, рассчитанном по следующей формуле:</w:t>
      </w:r>
    </w:p>
    <w:p>
      <w:pPr>
        <w:pStyle w:val="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грантов</w:t>
      </w:r>
      <w:r>
        <w:rPr>
          <w:sz w:val="20"/>
        </w:rPr>
        <w:t xml:space="preserve"> - Os</w:t>
      </w:r>
      <w:r>
        <w:rPr>
          <w:sz w:val="20"/>
          <w:vertAlign w:val="subscript"/>
        </w:rPr>
        <w:t xml:space="preserve">i</w:t>
      </w:r>
      <w:r>
        <w:rPr>
          <w:sz w:val="20"/>
        </w:rPr>
        <w:t xml:space="preserve">) x k) x 0,5,</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субсидии</w:t>
      </w:r>
      <w:r>
        <w:rPr>
          <w:sz w:val="20"/>
        </w:rPr>
        <w:t xml:space="preserve"> - размер грантов, предоставленных i-му получателю грантов;</w:t>
      </w:r>
    </w:p>
    <w:p>
      <w:pPr>
        <w:pStyle w:val="0"/>
        <w:spacing w:before="200" w:line-rule="auto"/>
        <w:ind w:firstLine="540"/>
        <w:jc w:val="both"/>
      </w:pPr>
      <w:r>
        <w:rPr>
          <w:sz w:val="20"/>
        </w:rPr>
        <w:t xml:space="preserve">Os</w:t>
      </w:r>
      <w:r>
        <w:rPr>
          <w:sz w:val="20"/>
          <w:vertAlign w:val="subscript"/>
        </w:rPr>
        <w:t xml:space="preserve">i</w:t>
      </w:r>
      <w:r>
        <w:rPr>
          <w:sz w:val="20"/>
        </w:rPr>
        <w:t xml:space="preserve"> - размер остатка грантов, предоставленных i-му получателю грантов, который был возвращен в соответствии с </w:t>
      </w:r>
      <w:hyperlink w:history="0" w:anchor="P357" w:tooltip="4.9. Получатель грантов в течение 20 рабочих дней со дня получения требования о возврате грантов, указанного в абзаце первом пункта 4.7 Порядка, обязан произвести возврат в краевой бюджет суммы грантов, указанной в требовании о возврате грантов, в полном объеме.">
        <w:r>
          <w:rPr>
            <w:sz w:val="20"/>
            <w:color w:val="0000ff"/>
          </w:rPr>
          <w:t xml:space="preserve">пунктом 4.9</w:t>
        </w:r>
      </w:hyperlink>
      <w:r>
        <w:rPr>
          <w:sz w:val="20"/>
        </w:rPr>
        <w:t xml:space="preserve"> Порядка;</w:t>
      </w:r>
    </w:p>
    <w:p>
      <w:pPr>
        <w:pStyle w:val="0"/>
        <w:spacing w:before="200" w:line-rule="auto"/>
        <w:ind w:firstLine="540"/>
        <w:jc w:val="both"/>
      </w:pPr>
      <w:r>
        <w:rPr>
          <w:sz w:val="20"/>
        </w:rPr>
        <w:t xml:space="preserve">k - коэффициент возврата грантов.</w:t>
      </w:r>
    </w:p>
    <w:p>
      <w:pPr>
        <w:pStyle w:val="0"/>
        <w:spacing w:before="200" w:line-rule="auto"/>
        <w:ind w:firstLine="540"/>
        <w:jc w:val="both"/>
      </w:pPr>
      <w:r>
        <w:rPr>
          <w:sz w:val="20"/>
        </w:rPr>
        <w:t xml:space="preserve">Коэффициент возврата грантов рассчитывается по формуле:</w:t>
      </w:r>
    </w:p>
    <w:p>
      <w:pPr>
        <w:pStyle w:val="0"/>
        <w:jc w:val="both"/>
      </w:pPr>
      <w:r>
        <w:rPr>
          <w:sz w:val="20"/>
        </w:rPr>
      </w:r>
    </w:p>
    <w:p>
      <w:pPr>
        <w:pStyle w:val="0"/>
        <w:jc w:val="center"/>
      </w:pPr>
      <w:r>
        <w:rPr>
          <w:sz w:val="20"/>
        </w:rPr>
        <w:t xml:space="preserve">k = SUM D</w:t>
      </w:r>
      <w:r>
        <w:rPr>
          <w:sz w:val="20"/>
          <w:vertAlign w:val="subscript"/>
        </w:rPr>
        <w:t xml:space="preserve">i</w:t>
      </w:r>
      <w:r>
        <w:rPr>
          <w:sz w:val="20"/>
        </w:rPr>
        <w:t xml:space="preserve"> / n,</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общее количество результатов предоставления грантов;</w:t>
      </w:r>
    </w:p>
    <w:p>
      <w:pPr>
        <w:pStyle w:val="0"/>
        <w:spacing w:before="200" w:line-rule="auto"/>
        <w:ind w:firstLine="540"/>
        <w:jc w:val="both"/>
      </w:pPr>
      <w:r>
        <w:rPr>
          <w:sz w:val="20"/>
        </w:rPr>
        <w:t xml:space="preserve">D</w:t>
      </w:r>
      <w:r>
        <w:rPr>
          <w:sz w:val="20"/>
          <w:vertAlign w:val="subscript"/>
        </w:rPr>
        <w:t xml:space="preserve">i</w:t>
      </w:r>
      <w:r>
        <w:rPr>
          <w:sz w:val="20"/>
        </w:rPr>
        <w:t xml:space="preserve"> - индекс, отражающий уровень недостижения i-го результата предоставления грантов.</w:t>
      </w:r>
    </w:p>
    <w:p>
      <w:pPr>
        <w:pStyle w:val="0"/>
        <w:spacing w:before="200" w:line-rule="auto"/>
        <w:ind w:firstLine="540"/>
        <w:jc w:val="both"/>
      </w:pPr>
      <w:r>
        <w:rPr>
          <w:sz w:val="20"/>
        </w:rPr>
        <w:t xml:space="preserve">При расчете коэффициента возврата грантов используются только положительные значения индекса, отражающего уровень недостижения i-й характеристики результата предоставления грантов.</w:t>
      </w:r>
    </w:p>
    <w:p>
      <w:pPr>
        <w:pStyle w:val="0"/>
        <w:spacing w:before="200" w:line-rule="auto"/>
        <w:ind w:firstLine="540"/>
        <w:jc w:val="both"/>
      </w:pPr>
      <w:r>
        <w:rPr>
          <w:sz w:val="20"/>
        </w:rPr>
        <w:t xml:space="preserve">Индекс, отражающий уровень недостижения i-го значения результата предоставления грантов, определяется по формуле:</w:t>
      </w:r>
    </w:p>
    <w:p>
      <w:pPr>
        <w:pStyle w:val="0"/>
        <w:jc w:val="both"/>
      </w:pPr>
      <w:r>
        <w:rPr>
          <w:sz w:val="20"/>
        </w:rPr>
      </w:r>
    </w:p>
    <w:p>
      <w:pPr>
        <w:pStyle w:val="0"/>
        <w:jc w:val="center"/>
      </w:pPr>
      <w:r>
        <w:rPr>
          <w:sz w:val="20"/>
        </w:rPr>
        <w:t xml:space="preserve">D</w:t>
      </w:r>
      <w:r>
        <w:rPr>
          <w:sz w:val="20"/>
          <w:vertAlign w:val="subscript"/>
        </w:rPr>
        <w:t xml:space="preserve">i</w:t>
      </w:r>
      <w:r>
        <w:rPr>
          <w:sz w:val="20"/>
        </w:rPr>
        <w:t xml:space="preserve"> = 1 - T</w:t>
      </w:r>
      <w:r>
        <w:rPr>
          <w:sz w:val="20"/>
          <w:vertAlign w:val="subscript"/>
        </w:rPr>
        <w:t xml:space="preserve">i</w:t>
      </w:r>
      <w:r>
        <w:rPr>
          <w:sz w:val="20"/>
        </w:rPr>
        <w:t xml:space="preserve"> / S</w:t>
      </w:r>
      <w:r>
        <w:rPr>
          <w:sz w:val="20"/>
          <w:vertAlign w:val="subscript"/>
        </w:rPr>
        <w:t xml:space="preserve">i</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w:t>
      </w:r>
      <w:r>
        <w:rPr>
          <w:sz w:val="20"/>
          <w:vertAlign w:val="subscript"/>
        </w:rPr>
        <w:t xml:space="preserve">i</w:t>
      </w:r>
      <w:r>
        <w:rPr>
          <w:sz w:val="20"/>
        </w:rPr>
        <w:t xml:space="preserve"> - фактически достигнутое значение i-го результата предоставления грантов на отчетную дату;</w:t>
      </w:r>
    </w:p>
    <w:p>
      <w:pPr>
        <w:pStyle w:val="0"/>
        <w:spacing w:before="200" w:line-rule="auto"/>
        <w:ind w:firstLine="540"/>
        <w:jc w:val="both"/>
      </w:pPr>
      <w:r>
        <w:rPr>
          <w:sz w:val="20"/>
        </w:rPr>
        <w:t xml:space="preserve">S</w:t>
      </w:r>
      <w:r>
        <w:rPr>
          <w:sz w:val="20"/>
          <w:vertAlign w:val="subscript"/>
        </w:rPr>
        <w:t xml:space="preserve">i</w:t>
      </w:r>
      <w:r>
        <w:rPr>
          <w:sz w:val="20"/>
        </w:rPr>
        <w:t xml:space="preserve"> - плановое значение i-го результата предоставления грантов, установленное Соглашением.</w:t>
      </w:r>
    </w:p>
    <w:bookmarkStart w:id="357" w:name="P357"/>
    <w:bookmarkEnd w:id="357"/>
    <w:p>
      <w:pPr>
        <w:pStyle w:val="0"/>
        <w:spacing w:before="200" w:line-rule="auto"/>
        <w:ind w:firstLine="540"/>
        <w:jc w:val="both"/>
      </w:pPr>
      <w:r>
        <w:rPr>
          <w:sz w:val="20"/>
        </w:rPr>
        <w:t xml:space="preserve">4.9. Получатель грантов в течение 20 рабочих дней со дня получения требования о возврате грантов, указанного в </w:t>
      </w:r>
      <w:hyperlink w:history="0" w:anchor="P329" w:tooltip="4.7. В случае установления агентством или получения им от Службы и (или) Счетной палаты Красноярского края информации о факте (ах) нарушения получателем грантов, лицами, получающими средства на основании договоров (соглашений), заключенных с получателем грантов, условий предоставления грантов агентство направляет требование о возврате средств грантов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
        <w:r>
          <w:rPr>
            <w:sz w:val="20"/>
            <w:color w:val="0000ff"/>
          </w:rPr>
          <w:t xml:space="preserve">абзаце первом пункта 4.7</w:t>
        </w:r>
      </w:hyperlink>
      <w:r>
        <w:rPr>
          <w:sz w:val="20"/>
        </w:rPr>
        <w:t xml:space="preserve"> Порядка, обязан произвести возврат в краевой бюджет суммы грантов, указанной в требовании о возврате грантов, в полном объеме.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w:t>
      </w:r>
    </w:p>
    <w:p>
      <w:pPr>
        <w:pStyle w:val="0"/>
        <w:jc w:val="right"/>
      </w:pPr>
      <w:r>
        <w:rPr>
          <w:sz w:val="20"/>
        </w:rPr>
        <w:t xml:space="preserve">организациям на обеспечение</w:t>
      </w:r>
    </w:p>
    <w:p>
      <w:pPr>
        <w:pStyle w:val="0"/>
        <w:jc w:val="right"/>
      </w:pPr>
      <w:r>
        <w:rPr>
          <w:sz w:val="20"/>
        </w:rPr>
        <w:t xml:space="preserve">деятельности ресурсных центров</w:t>
      </w:r>
    </w:p>
    <w:p>
      <w:pPr>
        <w:pStyle w:val="0"/>
        <w:jc w:val="right"/>
      </w:pPr>
      <w:r>
        <w:rPr>
          <w:sz w:val="20"/>
        </w:rPr>
        <w:t xml:space="preserve">поддержки добровольчества</w:t>
      </w:r>
    </w:p>
    <w:p>
      <w:pPr>
        <w:pStyle w:val="0"/>
        <w:jc w:val="right"/>
      </w:pPr>
      <w:r>
        <w:rPr>
          <w:sz w:val="20"/>
        </w:rPr>
        <w:t xml:space="preserve">(волонтерства),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и проведения отбора</w:t>
      </w:r>
    </w:p>
    <w:p>
      <w:pPr>
        <w:pStyle w:val="0"/>
        <w:jc w:val="right"/>
      </w:pPr>
      <w:r>
        <w:rPr>
          <w:sz w:val="20"/>
        </w:rPr>
        <w:t xml:space="preserve">получателей указанных</w:t>
      </w:r>
    </w:p>
    <w:p>
      <w:pPr>
        <w:pStyle w:val="0"/>
        <w:jc w:val="right"/>
      </w:pPr>
      <w:r>
        <w:rPr>
          <w:sz w:val="20"/>
        </w:rPr>
        <w:t xml:space="preserve">грантов в форме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1787"/>
        <w:gridCol w:w="165"/>
        <w:gridCol w:w="1563"/>
        <w:gridCol w:w="510"/>
        <w:gridCol w:w="1916"/>
        <w:gridCol w:w="340"/>
        <w:gridCol w:w="1357"/>
        <w:gridCol w:w="1417"/>
      </w:tblGrid>
      <w:tr>
        <w:tc>
          <w:tcPr>
            <w:gridSpan w:val="4"/>
            <w:tcW w:w="4025" w:type="dxa"/>
            <w:tcBorders>
              <w:top w:val="nil"/>
              <w:left w:val="nil"/>
              <w:bottom w:val="nil"/>
              <w:right w:val="nil"/>
            </w:tcBorders>
          </w:tcPr>
          <w:p>
            <w:pPr>
              <w:pStyle w:val="0"/>
            </w:pPr>
            <w:r>
              <w:rPr>
                <w:sz w:val="20"/>
              </w:rPr>
            </w:r>
          </w:p>
        </w:tc>
        <w:tc>
          <w:tcPr>
            <w:gridSpan w:val="4"/>
            <w:tcW w:w="5030" w:type="dxa"/>
            <w:tcBorders>
              <w:top w:val="nil"/>
              <w:left w:val="nil"/>
              <w:bottom w:val="nil"/>
              <w:right w:val="nil"/>
            </w:tcBorders>
          </w:tcPr>
          <w:p>
            <w:pPr>
              <w:pStyle w:val="0"/>
            </w:pPr>
            <w:r>
              <w:rPr>
                <w:sz w:val="20"/>
              </w:rPr>
              <w:t xml:space="preserve">В агентство молодежной политики</w:t>
            </w:r>
          </w:p>
          <w:p>
            <w:pPr>
              <w:pStyle w:val="0"/>
            </w:pPr>
            <w:r>
              <w:rPr>
                <w:sz w:val="20"/>
              </w:rPr>
              <w:t xml:space="preserve">и реализации программ общественного</w:t>
            </w:r>
          </w:p>
          <w:p>
            <w:pPr>
              <w:pStyle w:val="0"/>
            </w:pPr>
            <w:r>
              <w:rPr>
                <w:sz w:val="20"/>
              </w:rPr>
              <w:t xml:space="preserve">развития Красноярского края</w:t>
            </w:r>
          </w:p>
        </w:tc>
      </w:tr>
      <w:tr>
        <w:tc>
          <w:tcPr>
            <w:gridSpan w:val="4"/>
            <w:tcW w:w="4025" w:type="dxa"/>
            <w:tcBorders>
              <w:top w:val="nil"/>
              <w:left w:val="nil"/>
              <w:bottom w:val="nil"/>
              <w:right w:val="nil"/>
            </w:tcBorders>
          </w:tcPr>
          <w:p>
            <w:pPr>
              <w:pStyle w:val="0"/>
            </w:pPr>
            <w:r>
              <w:rPr>
                <w:sz w:val="20"/>
              </w:rPr>
            </w:r>
          </w:p>
        </w:tc>
        <w:tc>
          <w:tcPr>
            <w:gridSpan w:val="4"/>
            <w:tcW w:w="5030" w:type="dxa"/>
            <w:tcBorders>
              <w:top w:val="nil"/>
              <w:left w:val="nil"/>
              <w:bottom w:val="single" w:sz="4"/>
              <w:right w:val="nil"/>
            </w:tcBorders>
          </w:tcPr>
          <w:p>
            <w:pPr>
              <w:pStyle w:val="0"/>
            </w:pPr>
            <w:r>
              <w:rPr>
                <w:sz w:val="20"/>
              </w:rPr>
            </w:r>
          </w:p>
        </w:tc>
      </w:tr>
      <w:tr>
        <w:tblPrEx>
          <w:tblBorders>
            <w:right w:val="single" w:sz="4"/>
            <w:insideV w:val="single" w:sz="4"/>
            <w:insideH w:val="single" w:sz="4"/>
          </w:tblBorders>
        </w:tblPrEx>
        <w:tc>
          <w:tcPr>
            <w:gridSpan w:val="4"/>
            <w:tcW w:w="4025" w:type="dxa"/>
            <w:tcBorders>
              <w:top w:val="nil"/>
              <w:left w:val="nil"/>
              <w:bottom w:val="nil"/>
            </w:tcBorders>
          </w:tcPr>
          <w:p>
            <w:pPr>
              <w:pStyle w:val="0"/>
            </w:pPr>
            <w:r>
              <w:rPr>
                <w:sz w:val="20"/>
              </w:rPr>
            </w:r>
          </w:p>
        </w:tc>
        <w:tc>
          <w:tcPr>
            <w:gridSpan w:val="3"/>
            <w:tcW w:w="3613" w:type="dxa"/>
            <w:tcBorders>
              <w:top w:val="single" w:sz="4"/>
              <w:bottom w:val="single" w:sz="4"/>
            </w:tcBorders>
          </w:tcPr>
          <w:p>
            <w:pPr>
              <w:pStyle w:val="0"/>
            </w:pPr>
            <w:r>
              <w:rPr>
                <w:sz w:val="20"/>
              </w:rPr>
              <w:t xml:space="preserve">Регистрационный номер заявки на участие в отборе, дата, время регистрации (заполняется агентством молодежной политики и реализации программ общественного развития Красноярского края)</w:t>
            </w:r>
          </w:p>
        </w:tc>
        <w:tc>
          <w:tcPr>
            <w:tcW w:w="1417" w:type="dxa"/>
            <w:tcBorders>
              <w:top w:val="single" w:sz="4"/>
              <w:bottom w:val="single" w:sz="4"/>
            </w:tcBorders>
          </w:tcPr>
          <w:p>
            <w:pPr>
              <w:pStyle w:val="0"/>
            </w:pPr>
            <w:r>
              <w:rPr>
                <w:sz w:val="20"/>
              </w:rPr>
            </w:r>
          </w:p>
        </w:tc>
      </w:tr>
      <w:tr>
        <w:tc>
          <w:tcPr>
            <w:gridSpan w:val="8"/>
            <w:tcW w:w="9055" w:type="dxa"/>
            <w:tcBorders>
              <w:top w:val="nil"/>
              <w:left w:val="nil"/>
              <w:bottom w:val="nil"/>
              <w:right w:val="nil"/>
            </w:tcBorders>
          </w:tcPr>
          <w:p>
            <w:pPr>
              <w:pStyle w:val="0"/>
            </w:pPr>
            <w:r>
              <w:rPr>
                <w:sz w:val="20"/>
              </w:rPr>
            </w:r>
          </w:p>
        </w:tc>
      </w:tr>
      <w:tr>
        <w:tc>
          <w:tcPr>
            <w:gridSpan w:val="8"/>
            <w:tcW w:w="9055" w:type="dxa"/>
            <w:tcBorders>
              <w:top w:val="nil"/>
              <w:left w:val="nil"/>
              <w:bottom w:val="nil"/>
              <w:right w:val="nil"/>
            </w:tcBorders>
          </w:tcPr>
          <w:bookmarkStart w:id="386" w:name="P386"/>
          <w:bookmarkEnd w:id="386"/>
          <w:p>
            <w:pPr>
              <w:pStyle w:val="0"/>
              <w:jc w:val="center"/>
            </w:pPr>
            <w:r>
              <w:rPr>
                <w:sz w:val="20"/>
              </w:rPr>
              <w:t xml:space="preserve">Заявление на участие в отборе на предоставление грантов</w:t>
            </w:r>
          </w:p>
          <w:p>
            <w:pPr>
              <w:pStyle w:val="0"/>
              <w:jc w:val="center"/>
            </w:pPr>
            <w:r>
              <w:rPr>
                <w:sz w:val="20"/>
              </w:rPr>
              <w:t xml:space="preserve">в форме субсидий некоммерческим организациям на обеспечение</w:t>
            </w:r>
          </w:p>
          <w:p>
            <w:pPr>
              <w:pStyle w:val="0"/>
              <w:jc w:val="center"/>
            </w:pPr>
            <w:r>
              <w:rPr>
                <w:sz w:val="20"/>
              </w:rPr>
              <w:t xml:space="preserve">деятельности ресурсных центров поддержки добровольчества</w:t>
            </w:r>
          </w:p>
          <w:p>
            <w:pPr>
              <w:pStyle w:val="0"/>
              <w:jc w:val="center"/>
            </w:pPr>
            <w:r>
              <w:rPr>
                <w:sz w:val="20"/>
              </w:rPr>
              <w:t xml:space="preserve">(волонтерства), социально ориентированных некоммерческих</w:t>
            </w:r>
          </w:p>
          <w:p>
            <w:pPr>
              <w:pStyle w:val="0"/>
              <w:jc w:val="center"/>
            </w:pPr>
            <w:r>
              <w:rPr>
                <w:sz w:val="20"/>
              </w:rPr>
              <w:t xml:space="preserve">организаций и проведение отбора получателей указанных</w:t>
            </w:r>
          </w:p>
          <w:p>
            <w:pPr>
              <w:pStyle w:val="0"/>
              <w:jc w:val="center"/>
            </w:pPr>
            <w:r>
              <w:rPr>
                <w:sz w:val="20"/>
              </w:rPr>
              <w:t xml:space="preserve">грантов в форме субсидий (далее - отбор,</w:t>
            </w:r>
          </w:p>
          <w:p>
            <w:pPr>
              <w:pStyle w:val="0"/>
              <w:jc w:val="center"/>
            </w:pPr>
            <w:r>
              <w:rPr>
                <w:sz w:val="20"/>
              </w:rPr>
              <w:t xml:space="preserve">гранты, ресурсный центр)</w:t>
            </w:r>
          </w:p>
        </w:tc>
      </w:tr>
      <w:tr>
        <w:tc>
          <w:tcPr>
            <w:gridSpan w:val="8"/>
            <w:tcW w:w="9055" w:type="dxa"/>
            <w:tcBorders>
              <w:top w:val="nil"/>
              <w:left w:val="nil"/>
              <w:bottom w:val="nil"/>
              <w:right w:val="nil"/>
            </w:tcBorders>
          </w:tcPr>
          <w:p>
            <w:pPr>
              <w:pStyle w:val="0"/>
            </w:pPr>
            <w:r>
              <w:rPr>
                <w:sz w:val="20"/>
              </w:rPr>
            </w:r>
          </w:p>
        </w:tc>
      </w:tr>
      <w:tr>
        <w:tc>
          <w:tcPr>
            <w:gridSpan w:val="8"/>
            <w:tcW w:w="9055" w:type="dxa"/>
            <w:tcBorders>
              <w:top w:val="nil"/>
              <w:left w:val="nil"/>
              <w:bottom w:val="nil"/>
              <w:right w:val="nil"/>
            </w:tcBorders>
          </w:tcPr>
          <w:p>
            <w:pPr>
              <w:pStyle w:val="0"/>
              <w:ind w:firstLine="283"/>
              <w:jc w:val="both"/>
            </w:pPr>
            <w:r>
              <w:rPr>
                <w:sz w:val="20"/>
              </w:rPr>
              <w:t xml:space="preserve">1. Изучив Порядок предоставления грантов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и проведения отбора получателей указанных грантов в форме субсидий (далее - Порядок), ________________________________________________________,</w:t>
            </w:r>
          </w:p>
        </w:tc>
      </w:tr>
      <w:tr>
        <w:tc>
          <w:tcPr>
            <w:tcW w:w="1787" w:type="dxa"/>
            <w:tcBorders>
              <w:top w:val="nil"/>
              <w:left w:val="nil"/>
              <w:bottom w:val="nil"/>
              <w:right w:val="nil"/>
            </w:tcBorders>
          </w:tcPr>
          <w:p>
            <w:pPr>
              <w:pStyle w:val="0"/>
            </w:pPr>
            <w:r>
              <w:rPr>
                <w:sz w:val="20"/>
              </w:rPr>
            </w:r>
          </w:p>
        </w:tc>
        <w:tc>
          <w:tcPr>
            <w:gridSpan w:val="7"/>
            <w:tcW w:w="7268" w:type="dxa"/>
            <w:tcBorders>
              <w:top w:val="nil"/>
              <w:left w:val="nil"/>
              <w:bottom w:val="nil"/>
              <w:right w:val="nil"/>
            </w:tcBorders>
          </w:tcPr>
          <w:p>
            <w:pPr>
              <w:pStyle w:val="0"/>
              <w:jc w:val="center"/>
            </w:pPr>
            <w:r>
              <w:rPr>
                <w:sz w:val="20"/>
              </w:rPr>
              <w:t xml:space="preserve">(полное наименование некоммерческой организации)</w:t>
            </w:r>
          </w:p>
        </w:tc>
      </w:tr>
      <w:tr>
        <w:tc>
          <w:tcPr>
            <w:gridSpan w:val="8"/>
            <w:tcW w:w="9055" w:type="dxa"/>
            <w:tcBorders>
              <w:top w:val="nil"/>
              <w:left w:val="nil"/>
              <w:bottom w:val="nil"/>
              <w:right w:val="nil"/>
            </w:tcBorders>
          </w:tcPr>
          <w:p>
            <w:pPr>
              <w:pStyle w:val="0"/>
            </w:pPr>
            <w:r>
              <w:rPr>
                <w:sz w:val="20"/>
              </w:rPr>
              <w:t xml:space="preserve">в лице ___________________________________________________________________,</w:t>
            </w:r>
          </w:p>
          <w:p>
            <w:pPr>
              <w:pStyle w:val="0"/>
              <w:jc w:val="center"/>
            </w:pPr>
            <w:r>
              <w:rPr>
                <w:sz w:val="20"/>
              </w:rPr>
              <w:t xml:space="preserve">(наименование должности руководителя, фамилия, имя, отчество</w:t>
            </w:r>
          </w:p>
          <w:p>
            <w:pPr>
              <w:pStyle w:val="0"/>
              <w:jc w:val="center"/>
            </w:pPr>
            <w:r>
              <w:rPr>
                <w:sz w:val="20"/>
              </w:rPr>
              <w:t xml:space="preserve">(при наличии) руководителя)</w:t>
            </w:r>
          </w:p>
          <w:p>
            <w:pPr>
              <w:pStyle w:val="0"/>
              <w:jc w:val="both"/>
            </w:pPr>
            <w:r>
              <w:rPr>
                <w:sz w:val="20"/>
              </w:rPr>
              <w:t xml:space="preserve">действующего на основании ________________________________________________,</w:t>
            </w:r>
          </w:p>
          <w:p>
            <w:pPr>
              <w:pStyle w:val="0"/>
              <w:jc w:val="both"/>
            </w:pPr>
            <w:r>
              <w:rPr>
                <w:sz w:val="20"/>
              </w:rPr>
              <w:t xml:space="preserve">заявляет об участии в отборе.</w:t>
            </w:r>
          </w:p>
        </w:tc>
      </w:tr>
      <w:tr>
        <w:tc>
          <w:tcPr>
            <w:gridSpan w:val="8"/>
            <w:tcW w:w="9055" w:type="dxa"/>
            <w:tcBorders>
              <w:top w:val="nil"/>
              <w:left w:val="nil"/>
              <w:bottom w:val="nil"/>
              <w:right w:val="nil"/>
            </w:tcBorders>
          </w:tcPr>
          <w:p>
            <w:pPr>
              <w:pStyle w:val="0"/>
              <w:ind w:firstLine="283"/>
              <w:jc w:val="both"/>
            </w:pPr>
            <w:r>
              <w:rPr>
                <w:sz w:val="20"/>
              </w:rPr>
              <w:t xml:space="preserve">2. Информация о заявителе:</w:t>
            </w:r>
          </w:p>
        </w:tc>
      </w:tr>
      <w:tr>
        <w:tc>
          <w:tcPr>
            <w:gridSpan w:val="8"/>
            <w:tcW w:w="9055" w:type="dxa"/>
            <w:tcBorders>
              <w:top w:val="nil"/>
              <w:left w:val="nil"/>
              <w:bottom w:val="nil"/>
              <w:right w:val="nil"/>
            </w:tcBorders>
          </w:tcPr>
          <w:p>
            <w:pPr>
              <w:pStyle w:val="0"/>
              <w:ind w:firstLine="283"/>
              <w:jc w:val="both"/>
            </w:pPr>
            <w:r>
              <w:rPr>
                <w:sz w:val="20"/>
              </w:rPr>
              <w:t xml:space="preserve">2.1. Полное наименование заявителя в соответствии со сведениями, внесенными в единый государственный реестр юридических лиц, и его сокращенное наименование, если оно предусмотрено Уставом заявителя:</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2.2. Адрес местонахождения (государственной регистрации), почтовый адрес заявителя:</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2.3. Дата государственной регистрации заявителя: 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2.4. Реквизиты заявителя.</w:t>
            </w:r>
          </w:p>
          <w:p>
            <w:pPr>
              <w:pStyle w:val="0"/>
              <w:ind w:firstLine="283"/>
              <w:jc w:val="both"/>
            </w:pPr>
            <w:r>
              <w:rPr>
                <w:sz w:val="20"/>
              </w:rPr>
              <w:t xml:space="preserve">Основной государственный регистрационный номер (ОГРН) __________________</w:t>
            </w:r>
          </w:p>
          <w:p>
            <w:pPr>
              <w:pStyle w:val="0"/>
              <w:ind w:firstLine="283"/>
              <w:jc w:val="both"/>
            </w:pPr>
            <w:r>
              <w:rPr>
                <w:sz w:val="20"/>
              </w:rPr>
              <w:t xml:space="preserve">Код по Общероссийскому </w:t>
            </w:r>
            <w:hyperlink w:history="0" r:id="rId37" w:tooltip="&quot;ОК 034-2014 (КПЕС 2008). Общероссийский классификатор продукции по видам экономической деятельности&quot; (утв. Приказом Росстандарта от 31.01.2014 N 14-ст) (ред. от 11.10.2024) {КонсультантПлюс}">
              <w:r>
                <w:rPr>
                  <w:sz w:val="20"/>
                  <w:color w:val="0000ff"/>
                </w:rPr>
                <w:t xml:space="preserve">классификатору</w:t>
              </w:r>
            </w:hyperlink>
            <w:r>
              <w:rPr>
                <w:sz w:val="20"/>
              </w:rPr>
              <w:t xml:space="preserve"> продукции по видам экономической деятельности (ОКПД 2) ____________________________________________________</w:t>
            </w:r>
          </w:p>
          <w:p>
            <w:pPr>
              <w:pStyle w:val="0"/>
              <w:ind w:firstLine="283"/>
              <w:jc w:val="both"/>
            </w:pPr>
            <w:r>
              <w:rPr>
                <w:sz w:val="20"/>
              </w:rPr>
              <w:t xml:space="preserve">Код (ы) по Общероссийскому </w:t>
            </w:r>
            <w:hyperlink w:history="0" r:id="rId38" w:tooltip="&quot;ОК 029-2014 (КДЕС Ред. 2). Общероссийский классификатор видов экономической деятельности&quot; (утв. Приказом Росстандарта от 31.01.2014 N 14-ст) (ред. от 11.10.2024) {КонсультантПлюс}">
              <w:r>
                <w:rPr>
                  <w:sz w:val="20"/>
                  <w:color w:val="0000ff"/>
                </w:rPr>
                <w:t xml:space="preserve">классификатору</w:t>
              </w:r>
            </w:hyperlink>
            <w:r>
              <w:rPr>
                <w:sz w:val="20"/>
              </w:rPr>
              <w:t xml:space="preserve"> внешнеэкономической деятельности (ОКВЭД 2) _______________________________________________________________</w:t>
            </w:r>
          </w:p>
          <w:p>
            <w:pPr>
              <w:pStyle w:val="0"/>
              <w:ind w:firstLine="283"/>
              <w:jc w:val="both"/>
            </w:pPr>
            <w:r>
              <w:rPr>
                <w:sz w:val="20"/>
              </w:rPr>
              <w:t xml:space="preserve">Индивидуальный номер налогоплательщика (ИНН) ___________________________</w:t>
            </w:r>
          </w:p>
          <w:p>
            <w:pPr>
              <w:pStyle w:val="0"/>
              <w:ind w:firstLine="283"/>
              <w:jc w:val="both"/>
            </w:pPr>
            <w:r>
              <w:rPr>
                <w:sz w:val="20"/>
              </w:rPr>
              <w:t xml:space="preserve">Код причины постановки на учет (КПП) ____________________________________</w:t>
            </w:r>
          </w:p>
          <w:p>
            <w:pPr>
              <w:pStyle w:val="0"/>
              <w:ind w:firstLine="283"/>
              <w:jc w:val="both"/>
            </w:pPr>
            <w:r>
              <w:rPr>
                <w:sz w:val="20"/>
              </w:rPr>
              <w:t xml:space="preserve">Номер расчетного счета __________________________________________________</w:t>
            </w:r>
          </w:p>
          <w:p>
            <w:pPr>
              <w:pStyle w:val="0"/>
              <w:ind w:firstLine="283"/>
              <w:jc w:val="both"/>
            </w:pPr>
            <w:r>
              <w:rPr>
                <w:sz w:val="20"/>
              </w:rPr>
              <w:t xml:space="preserve">Наименование банка _____________________________________________________</w:t>
            </w:r>
          </w:p>
          <w:p>
            <w:pPr>
              <w:pStyle w:val="0"/>
              <w:jc w:val="both"/>
            </w:pPr>
            <w:r>
              <w:rPr>
                <w:sz w:val="20"/>
              </w:rPr>
              <w:t xml:space="preserve">_________________________________________________________________________</w:t>
            </w:r>
          </w:p>
          <w:p>
            <w:pPr>
              <w:pStyle w:val="0"/>
              <w:ind w:firstLine="283"/>
              <w:jc w:val="both"/>
            </w:pPr>
            <w:r>
              <w:rPr>
                <w:sz w:val="20"/>
              </w:rPr>
              <w:t xml:space="preserve">Банковский идентификационный код (БИК) _________________________________</w:t>
            </w:r>
          </w:p>
          <w:p>
            <w:pPr>
              <w:pStyle w:val="0"/>
              <w:jc w:val="both"/>
            </w:pPr>
            <w:r>
              <w:rPr>
                <w:sz w:val="20"/>
              </w:rPr>
              <w:t xml:space="preserve">_________________________________________________________________________</w:t>
            </w:r>
          </w:p>
          <w:p>
            <w:pPr>
              <w:pStyle w:val="0"/>
              <w:ind w:firstLine="283"/>
              <w:jc w:val="both"/>
            </w:pPr>
            <w:r>
              <w:rPr>
                <w:sz w:val="20"/>
              </w:rPr>
              <w:t xml:space="preserve">Номер корреспондентского счета 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2.5. Предмет и цель деятельности заявителя в соответствии с Уставом заявителя:</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2.6. Руководитель (заявитель) (наименование должности, фамилия, имя, отчество, рабочий телефон, мобильный телефон, адрес электронной почты):</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2.7. Руководитель ресурсного центра, действующего на базе заявителя (фамилия, имя, отчество, рабочий телефон, мобильный телефон, адрес электронной почты):</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2.8. Бухгалтер заявителя (фамилия, имя, отчество, рабочий телефон, мобильный телефон, адрес электронной почты, факс (при наличии):</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2.9. Сайт или страница в социальной сети заявителя 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3. Размер запрашиваемого гранта (не может превышать 500000 руб.) ____________</w:t>
            </w:r>
          </w:p>
        </w:tc>
      </w:tr>
      <w:tr>
        <w:tc>
          <w:tcPr>
            <w:gridSpan w:val="8"/>
            <w:tcW w:w="9055" w:type="dxa"/>
            <w:tcBorders>
              <w:top w:val="nil"/>
              <w:left w:val="nil"/>
              <w:bottom w:val="nil"/>
              <w:right w:val="nil"/>
            </w:tcBorders>
          </w:tcPr>
          <w:p>
            <w:pPr>
              <w:pStyle w:val="0"/>
              <w:ind w:firstLine="283"/>
              <w:jc w:val="both"/>
            </w:pPr>
            <w:r>
              <w:rPr>
                <w:sz w:val="20"/>
              </w:rPr>
              <w:t xml:space="preserve">4. Настоящим выражаем согласие на публикацию (размещение) в информационно-телекоммуникационной сети Интернет информации о заявителе, о подаваемой заявителем заявке, иной информации о заявителе.</w:t>
            </w:r>
          </w:p>
        </w:tc>
      </w:tr>
      <w:tr>
        <w:tc>
          <w:tcPr>
            <w:gridSpan w:val="8"/>
            <w:tcW w:w="9055" w:type="dxa"/>
            <w:tcBorders>
              <w:top w:val="nil"/>
              <w:left w:val="nil"/>
              <w:bottom w:val="nil"/>
              <w:right w:val="nil"/>
            </w:tcBorders>
          </w:tcPr>
          <w:p>
            <w:pPr>
              <w:pStyle w:val="0"/>
              <w:ind w:firstLine="283"/>
              <w:jc w:val="both"/>
            </w:pPr>
            <w:r>
              <w:rPr>
                <w:sz w:val="20"/>
              </w:rPr>
              <w:t xml:space="preserve">5. Настоящим гарантируем, что:</w:t>
            </w:r>
          </w:p>
        </w:tc>
      </w:tr>
      <w:tr>
        <w:tc>
          <w:tcPr>
            <w:gridSpan w:val="8"/>
            <w:tcW w:w="9055" w:type="dxa"/>
            <w:tcBorders>
              <w:top w:val="nil"/>
              <w:left w:val="nil"/>
              <w:bottom w:val="nil"/>
              <w:right w:val="nil"/>
            </w:tcBorders>
          </w:tcPr>
          <w:p>
            <w:pPr>
              <w:pStyle w:val="0"/>
              <w:ind w:firstLine="283"/>
              <w:jc w:val="both"/>
            </w:pPr>
            <w:r>
              <w:rPr>
                <w:sz w:val="20"/>
              </w:rPr>
              <w:t xml:space="preserve">1) заявитель не получал средства из краевого бюджета на основании иных нормативных правовых актов Красноярского края на цель, указанную в </w:t>
            </w:r>
            <w:hyperlink w:history="0" w:anchor="P60" w:tooltip="1.3. Целью предоставления грантов является обеспечение деятельности ресурсного центра в рамках мероприятия 1.2 &quot;Гранты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quot; регионального проекта &quot;Социальная активность (Красноярский край)&quot;, государственной программы Красноярского края &quot;Содействие развитию гражданского общества&quot;, утвержденной Постановлением Правительства Крас...">
              <w:r>
                <w:rPr>
                  <w:sz w:val="20"/>
                  <w:color w:val="0000ff"/>
                </w:rPr>
                <w:t xml:space="preserve">пункте 1.3</w:t>
              </w:r>
            </w:hyperlink>
            <w:r>
              <w:rPr>
                <w:sz w:val="20"/>
              </w:rPr>
              <w:t xml:space="preserve"> Порядка;</w:t>
            </w:r>
          </w:p>
        </w:tc>
      </w:tr>
      <w:tr>
        <w:tc>
          <w:tcPr>
            <w:gridSpan w:val="8"/>
            <w:tcW w:w="9055" w:type="dxa"/>
            <w:tcBorders>
              <w:top w:val="nil"/>
              <w:left w:val="nil"/>
              <w:bottom w:val="nil"/>
              <w:right w:val="nil"/>
            </w:tcBorders>
          </w:tcPr>
          <w:p>
            <w:pPr>
              <w:pStyle w:val="0"/>
              <w:ind w:firstLine="283"/>
              <w:jc w:val="both"/>
            </w:pPr>
            <w:r>
              <w:rPr>
                <w:sz w:val="20"/>
              </w:rPr>
              <w:t xml:space="preserve">2) у заявителя 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краевым бюджетом на первое число месяца подачи заявки на отбор;</w:t>
            </w:r>
          </w:p>
        </w:tc>
      </w:tr>
      <w:tr>
        <w:tc>
          <w:tcPr>
            <w:gridSpan w:val="8"/>
            <w:tcW w:w="9055" w:type="dxa"/>
            <w:tcBorders>
              <w:top w:val="nil"/>
              <w:left w:val="nil"/>
              <w:bottom w:val="nil"/>
              <w:right w:val="nil"/>
            </w:tcBorders>
          </w:tcPr>
          <w:p>
            <w:pPr>
              <w:pStyle w:val="0"/>
              <w:ind w:firstLine="283"/>
              <w:jc w:val="both"/>
            </w:pPr>
            <w:r>
              <w:rPr>
                <w:sz w:val="20"/>
              </w:rPr>
              <w:t xml:space="preserve">3) деятельность заявителя не приостановлена в порядке, предусмотренном законодательством Российской Федерации, на первое число месяца подачи заявки на отбор.</w:t>
            </w:r>
          </w:p>
        </w:tc>
      </w:tr>
      <w:tr>
        <w:tc>
          <w:tcPr>
            <w:gridSpan w:val="8"/>
            <w:tcW w:w="9055" w:type="dxa"/>
            <w:tcBorders>
              <w:top w:val="nil"/>
              <w:left w:val="nil"/>
              <w:bottom w:val="nil"/>
              <w:right w:val="nil"/>
            </w:tcBorders>
          </w:tcPr>
          <w:p>
            <w:pPr>
              <w:pStyle w:val="0"/>
              <w:ind w:firstLine="283"/>
              <w:jc w:val="both"/>
            </w:pPr>
            <w:r>
              <w:rPr>
                <w:sz w:val="20"/>
              </w:rPr>
              <w:t xml:space="preserve">6. Прошу уведомить о результатах отбора (необходимо подчеркнуть вариант уведомления):</w:t>
            </w:r>
          </w:p>
        </w:tc>
      </w:tr>
      <w:tr>
        <w:tc>
          <w:tcPr>
            <w:gridSpan w:val="8"/>
            <w:tcW w:w="9055" w:type="dxa"/>
            <w:tcBorders>
              <w:top w:val="nil"/>
              <w:left w:val="nil"/>
              <w:bottom w:val="nil"/>
              <w:right w:val="nil"/>
            </w:tcBorders>
          </w:tcPr>
          <w:p>
            <w:pPr>
              <w:pStyle w:val="0"/>
              <w:ind w:firstLine="283"/>
              <w:jc w:val="both"/>
            </w:pPr>
            <w:r>
              <w:rPr>
                <w:sz w:val="20"/>
              </w:rPr>
              <w:t xml:space="preserve">1) посредством направления информации на электронный адрес, указанный в заявке;</w:t>
            </w:r>
          </w:p>
        </w:tc>
      </w:tr>
      <w:tr>
        <w:tc>
          <w:tcPr>
            <w:gridSpan w:val="8"/>
            <w:tcW w:w="9055" w:type="dxa"/>
            <w:tcBorders>
              <w:top w:val="nil"/>
              <w:left w:val="nil"/>
              <w:bottom w:val="nil"/>
              <w:right w:val="nil"/>
            </w:tcBorders>
          </w:tcPr>
          <w:p>
            <w:pPr>
              <w:pStyle w:val="0"/>
              <w:ind w:firstLine="283"/>
              <w:jc w:val="both"/>
            </w:pPr>
            <w:r>
              <w:rPr>
                <w:sz w:val="20"/>
              </w:rPr>
              <w:t xml:space="preserve">2) посредством размещения информации на едином портале "Единый портал бюджетной системы Российской Федерации "Электронный бюджет", а также на сайте агентства в информационно-телекоммуникационной сети Интернет (</w:t>
            </w:r>
            <w:hyperlink w:history="0" r:id="rId39">
              <w:r>
                <w:rPr>
                  <w:sz w:val="20"/>
                  <w:color w:val="0000ff"/>
                </w:rPr>
                <w:t xml:space="preserve">http://futureagency.krskstate.ru</w:t>
              </w:r>
            </w:hyperlink>
            <w:r>
              <w:rPr>
                <w:sz w:val="20"/>
              </w:rPr>
              <w:t xml:space="preserve">).</w:t>
            </w:r>
          </w:p>
        </w:tc>
      </w:tr>
      <w:tr>
        <w:tc>
          <w:tcPr>
            <w:gridSpan w:val="8"/>
            <w:tcW w:w="9055" w:type="dxa"/>
            <w:tcBorders>
              <w:top w:val="nil"/>
              <w:left w:val="nil"/>
              <w:bottom w:val="nil"/>
              <w:right w:val="nil"/>
            </w:tcBorders>
          </w:tcPr>
          <w:p>
            <w:pPr>
              <w:pStyle w:val="0"/>
              <w:ind w:firstLine="283"/>
              <w:jc w:val="both"/>
            </w:pPr>
            <w:r>
              <w:rPr>
                <w:sz w:val="20"/>
              </w:rPr>
              <w:t xml:space="preserve">7. Приложение:__________________________________________________________</w:t>
            </w:r>
          </w:p>
        </w:tc>
      </w:tr>
      <w:tr>
        <w:tc>
          <w:tcPr>
            <w:gridSpan w:val="2"/>
            <w:tcW w:w="1952" w:type="dxa"/>
            <w:tcBorders>
              <w:top w:val="nil"/>
              <w:left w:val="nil"/>
              <w:bottom w:val="nil"/>
              <w:right w:val="nil"/>
            </w:tcBorders>
          </w:tcPr>
          <w:p>
            <w:pPr>
              <w:pStyle w:val="0"/>
            </w:pPr>
            <w:r>
              <w:rPr>
                <w:sz w:val="20"/>
              </w:rPr>
            </w:r>
          </w:p>
        </w:tc>
        <w:tc>
          <w:tcPr>
            <w:gridSpan w:val="6"/>
            <w:tcW w:w="7103" w:type="dxa"/>
            <w:tcBorders>
              <w:top w:val="nil"/>
              <w:left w:val="nil"/>
              <w:bottom w:val="nil"/>
              <w:right w:val="nil"/>
            </w:tcBorders>
          </w:tcPr>
          <w:p>
            <w:pPr>
              <w:pStyle w:val="0"/>
              <w:jc w:val="center"/>
            </w:pPr>
            <w:r>
              <w:rPr>
                <w:sz w:val="20"/>
              </w:rPr>
              <w:t xml:space="preserve">(указываются документы, представляемые в соответствии</w:t>
            </w:r>
          </w:p>
          <w:p>
            <w:pPr>
              <w:pStyle w:val="0"/>
              <w:jc w:val="center"/>
            </w:pPr>
            <w:r>
              <w:rPr>
                <w:sz w:val="20"/>
              </w:rPr>
              <w:t xml:space="preserve">с </w:t>
            </w:r>
            <w:hyperlink w:history="0" w:anchor="P119" w:tooltip="2.10. Заявка должна быть выполнена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пунктом 2.10</w:t>
              </w:r>
            </w:hyperlink>
            <w:r>
              <w:rPr>
                <w:sz w:val="20"/>
              </w:rPr>
              <w:t xml:space="preserve"> Порядка)</w:t>
            </w:r>
          </w:p>
        </w:tc>
      </w:tr>
      <w:tr>
        <w:tc>
          <w:tcPr>
            <w:gridSpan w:val="8"/>
            <w:tcW w:w="9055" w:type="dxa"/>
            <w:tcBorders>
              <w:top w:val="nil"/>
              <w:left w:val="nil"/>
              <w:bottom w:val="nil"/>
              <w:right w:val="nil"/>
            </w:tcBorders>
          </w:tcPr>
          <w:p>
            <w:pPr>
              <w:pStyle w:val="0"/>
            </w:pPr>
            <w:r>
              <w:rPr>
                <w:sz w:val="20"/>
              </w:rPr>
              <w:t xml:space="preserve">_________________________________________________________________________</w:t>
            </w:r>
          </w:p>
        </w:tc>
      </w:tr>
      <w:tr>
        <w:tc>
          <w:tcPr>
            <w:gridSpan w:val="8"/>
            <w:tcW w:w="9055" w:type="dxa"/>
            <w:tcBorders>
              <w:top w:val="nil"/>
              <w:left w:val="nil"/>
              <w:bottom w:val="nil"/>
              <w:right w:val="nil"/>
            </w:tcBorders>
          </w:tcPr>
          <w:p>
            <w:pPr>
              <w:pStyle w:val="0"/>
              <w:ind w:firstLine="283"/>
              <w:jc w:val="both"/>
            </w:pPr>
            <w:r>
              <w:rPr>
                <w:sz w:val="20"/>
              </w:rPr>
              <w:t xml:space="preserve">8. Достоверность информации, указанной в заявлении и документах, входящих в состав заявки, подтверждаю.</w:t>
            </w:r>
          </w:p>
        </w:tc>
      </w:tr>
      <w:tr>
        <w:tc>
          <w:tcPr>
            <w:gridSpan w:val="8"/>
            <w:tcW w:w="9055" w:type="dxa"/>
            <w:tcBorders>
              <w:top w:val="nil"/>
              <w:left w:val="nil"/>
              <w:bottom w:val="nil"/>
              <w:right w:val="nil"/>
            </w:tcBorders>
          </w:tcPr>
          <w:p>
            <w:pPr>
              <w:pStyle w:val="0"/>
            </w:pPr>
            <w:r>
              <w:rPr>
                <w:sz w:val="20"/>
              </w:rPr>
            </w:r>
          </w:p>
        </w:tc>
      </w:tr>
      <w:tr>
        <w:tc>
          <w:tcPr>
            <w:gridSpan w:val="3"/>
            <w:tcW w:w="3515" w:type="dxa"/>
            <w:tcBorders>
              <w:top w:val="nil"/>
              <w:left w:val="nil"/>
              <w:bottom w:val="single" w:sz="4"/>
              <w:right w:val="nil"/>
            </w:tcBorders>
          </w:tcPr>
          <w:p>
            <w:pPr>
              <w:pStyle w:val="0"/>
            </w:pPr>
            <w:r>
              <w:rPr>
                <w:sz w:val="20"/>
              </w:rPr>
            </w:r>
          </w:p>
        </w:tc>
        <w:tc>
          <w:tcPr>
            <w:tcW w:w="510" w:type="dxa"/>
            <w:tcBorders>
              <w:top w:val="nil"/>
              <w:left w:val="nil"/>
              <w:bottom w:val="nil"/>
              <w:right w:val="nil"/>
            </w:tcBorders>
          </w:tcPr>
          <w:p>
            <w:pPr>
              <w:pStyle w:val="0"/>
            </w:pPr>
            <w:r>
              <w:rPr>
                <w:sz w:val="20"/>
              </w:rPr>
            </w:r>
          </w:p>
        </w:tc>
        <w:tc>
          <w:tcPr>
            <w:tcW w:w="191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2774" w:type="dxa"/>
            <w:tcBorders>
              <w:top w:val="nil"/>
              <w:left w:val="nil"/>
              <w:bottom w:val="single" w:sz="4"/>
              <w:right w:val="nil"/>
            </w:tcBorders>
          </w:tcPr>
          <w:p>
            <w:pPr>
              <w:pStyle w:val="0"/>
            </w:pPr>
            <w:r>
              <w:rPr>
                <w:sz w:val="20"/>
              </w:rPr>
            </w:r>
          </w:p>
        </w:tc>
      </w:tr>
      <w:tr>
        <w:tc>
          <w:tcPr>
            <w:gridSpan w:val="3"/>
            <w:tcW w:w="3515" w:type="dxa"/>
            <w:tcBorders>
              <w:top w:val="single" w:sz="4"/>
              <w:left w:val="nil"/>
              <w:bottom w:val="nil"/>
              <w:right w:val="nil"/>
            </w:tcBorders>
          </w:tcPr>
          <w:p>
            <w:pPr>
              <w:pStyle w:val="0"/>
              <w:jc w:val="center"/>
            </w:pPr>
            <w:r>
              <w:rPr>
                <w:sz w:val="20"/>
              </w:rPr>
              <w:t xml:space="preserve">(должность руководителя заявителя)</w:t>
            </w:r>
          </w:p>
        </w:tc>
        <w:tc>
          <w:tcPr>
            <w:tcW w:w="510" w:type="dxa"/>
            <w:tcBorders>
              <w:top w:val="nil"/>
              <w:left w:val="nil"/>
              <w:bottom w:val="nil"/>
              <w:right w:val="nil"/>
            </w:tcBorders>
          </w:tcPr>
          <w:p>
            <w:pPr>
              <w:pStyle w:val="0"/>
            </w:pPr>
            <w:r>
              <w:rPr>
                <w:sz w:val="20"/>
              </w:rPr>
            </w:r>
          </w:p>
        </w:tc>
        <w:tc>
          <w:tcPr>
            <w:tcW w:w="191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2774" w:type="dxa"/>
            <w:tcBorders>
              <w:top w:val="single" w:sz="4"/>
              <w:left w:val="nil"/>
              <w:bottom w:val="nil"/>
              <w:right w:val="nil"/>
            </w:tcBorders>
          </w:tcPr>
          <w:p>
            <w:pPr>
              <w:pStyle w:val="0"/>
              <w:jc w:val="center"/>
            </w:pPr>
            <w:r>
              <w:rPr>
                <w:sz w:val="20"/>
              </w:rPr>
              <w:t xml:space="preserve">(ФИО руководителя)</w:t>
            </w:r>
          </w:p>
        </w:tc>
      </w:tr>
      <w:tr>
        <w:tc>
          <w:tcPr>
            <w:gridSpan w:val="8"/>
            <w:tcW w:w="9055" w:type="dxa"/>
            <w:tcBorders>
              <w:top w:val="nil"/>
              <w:left w:val="nil"/>
              <w:bottom w:val="nil"/>
              <w:right w:val="nil"/>
            </w:tcBorders>
          </w:tcPr>
          <w:p>
            <w:pPr>
              <w:pStyle w:val="0"/>
            </w:pPr>
            <w:r>
              <w:rPr>
                <w:sz w:val="20"/>
              </w:rPr>
            </w:r>
          </w:p>
        </w:tc>
      </w:tr>
      <w:tr>
        <w:tc>
          <w:tcPr>
            <w:gridSpan w:val="8"/>
            <w:tcW w:w="9055"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заявлению</w:t>
      </w:r>
    </w:p>
    <w:p>
      <w:pPr>
        <w:pStyle w:val="0"/>
        <w:jc w:val="right"/>
      </w:pPr>
      <w:r>
        <w:rPr>
          <w:sz w:val="20"/>
        </w:rPr>
        <w:t xml:space="preserve">на участие в отборе</w:t>
      </w:r>
    </w:p>
    <w:p>
      <w:pPr>
        <w:pStyle w:val="0"/>
        <w:jc w:val="right"/>
      </w:pPr>
      <w:r>
        <w:rPr>
          <w:sz w:val="20"/>
        </w:rPr>
        <w:t xml:space="preserve">на предоставление грантов</w:t>
      </w:r>
    </w:p>
    <w:p>
      <w:pPr>
        <w:pStyle w:val="0"/>
        <w:jc w:val="right"/>
      </w:pPr>
      <w:r>
        <w:rPr>
          <w:sz w:val="20"/>
        </w:rPr>
        <w:t xml:space="preserve">в форме субсидий</w:t>
      </w:r>
    </w:p>
    <w:p>
      <w:pPr>
        <w:pStyle w:val="0"/>
        <w:jc w:val="right"/>
      </w:pPr>
      <w:r>
        <w:rPr>
          <w:sz w:val="20"/>
        </w:rPr>
        <w:t xml:space="preserve">некоммерческим организациям</w:t>
      </w:r>
    </w:p>
    <w:p>
      <w:pPr>
        <w:pStyle w:val="0"/>
        <w:jc w:val="right"/>
      </w:pPr>
      <w:r>
        <w:rPr>
          <w:sz w:val="20"/>
        </w:rPr>
        <w:t xml:space="preserve">на обеспечение деятельности</w:t>
      </w:r>
    </w:p>
    <w:p>
      <w:pPr>
        <w:pStyle w:val="0"/>
        <w:jc w:val="right"/>
      </w:pPr>
      <w:r>
        <w:rPr>
          <w:sz w:val="20"/>
        </w:rPr>
        <w:t xml:space="preserve">ресурсных центров поддержки</w:t>
      </w:r>
    </w:p>
    <w:p>
      <w:pPr>
        <w:pStyle w:val="0"/>
        <w:jc w:val="right"/>
      </w:pPr>
      <w:r>
        <w:rPr>
          <w:sz w:val="20"/>
        </w:rPr>
        <w:t xml:space="preserve">добровольчества (волонтерства),</w:t>
      </w:r>
    </w:p>
    <w:p>
      <w:pPr>
        <w:pStyle w:val="0"/>
        <w:jc w:val="right"/>
      </w:pPr>
      <w:r>
        <w:rPr>
          <w:sz w:val="20"/>
        </w:rPr>
        <w:t xml:space="preserve">социально ориентированных</w:t>
      </w:r>
    </w:p>
    <w:p>
      <w:pPr>
        <w:pStyle w:val="0"/>
        <w:jc w:val="right"/>
      </w:pPr>
      <w:r>
        <w:rPr>
          <w:sz w:val="20"/>
        </w:rPr>
        <w:t xml:space="preserve">некоммерческих организаций</w:t>
      </w:r>
    </w:p>
    <w:p>
      <w:pPr>
        <w:pStyle w:val="0"/>
        <w:jc w:val="right"/>
      </w:pPr>
      <w:r>
        <w:rPr>
          <w:sz w:val="20"/>
        </w:rPr>
        <w:t xml:space="preserve">и проведение отбора</w:t>
      </w:r>
    </w:p>
    <w:p>
      <w:pPr>
        <w:pStyle w:val="0"/>
        <w:jc w:val="right"/>
      </w:pPr>
      <w:r>
        <w:rPr>
          <w:sz w:val="20"/>
        </w:rPr>
        <w:t xml:space="preserve">получателей указанных</w:t>
      </w:r>
    </w:p>
    <w:p>
      <w:pPr>
        <w:pStyle w:val="0"/>
        <w:jc w:val="right"/>
      </w:pPr>
      <w:r>
        <w:rPr>
          <w:sz w:val="20"/>
        </w:rPr>
        <w:t xml:space="preserve">грантов в форме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79" w:name="P479"/>
          <w:bookmarkEnd w:id="479"/>
          <w:p>
            <w:pPr>
              <w:pStyle w:val="0"/>
              <w:jc w:val="center"/>
            </w:pPr>
            <w:r>
              <w:rPr>
                <w:sz w:val="20"/>
              </w:rPr>
              <w:t xml:space="preserve">Программа</w:t>
            </w:r>
          </w:p>
          <w:p>
            <w:pPr>
              <w:pStyle w:val="0"/>
              <w:jc w:val="center"/>
            </w:pPr>
            <w:r>
              <w:rPr>
                <w:sz w:val="20"/>
              </w:rPr>
              <w:t xml:space="preserve">деятельности ресурсного центра поддержки добровольчества</w:t>
            </w:r>
          </w:p>
          <w:p>
            <w:pPr>
              <w:pStyle w:val="0"/>
              <w:jc w:val="center"/>
            </w:pPr>
            <w:r>
              <w:rPr>
                <w:sz w:val="20"/>
              </w:rPr>
              <w:t xml:space="preserve">(волонтерства), социально ориентированных некоммерческих</w:t>
            </w:r>
          </w:p>
          <w:p>
            <w:pPr>
              <w:pStyle w:val="0"/>
              <w:jc w:val="center"/>
            </w:pPr>
            <w:r>
              <w:rPr>
                <w:sz w:val="20"/>
              </w:rPr>
              <w:t xml:space="preserve">организаций (далее соответственно - программа, ресурсный</w:t>
            </w:r>
          </w:p>
          <w:p>
            <w:pPr>
              <w:pStyle w:val="0"/>
              <w:jc w:val="center"/>
            </w:pPr>
            <w:r>
              <w:rPr>
                <w:sz w:val="20"/>
              </w:rPr>
              <w:t xml:space="preserve">центр, СОНКО, доброволец)</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rPr>
              <w:t xml:space="preserve">1. Название ресурсного центра: 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2. Цель программы (при наличии): 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3. Задачи программы (при наличии):</w:t>
            </w:r>
          </w:p>
        </w:tc>
      </w:tr>
      <w:tr>
        <w:tc>
          <w:tcPr>
            <w:tcW w:w="9071" w:type="dxa"/>
            <w:tcBorders>
              <w:top w:val="nil"/>
              <w:left w:val="nil"/>
              <w:bottom w:val="nil"/>
              <w:right w:val="nil"/>
            </w:tcBorders>
          </w:tcPr>
          <w:p>
            <w:pPr>
              <w:pStyle w:val="0"/>
              <w:ind w:firstLine="283"/>
              <w:jc w:val="both"/>
            </w:pPr>
            <w:r>
              <w:rPr>
                <w:sz w:val="20"/>
              </w:rPr>
              <w:t xml:space="preserve">1. 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 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n. 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4. Адрес помещения, в котором находится ресурсный центр:</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5. Контакты (телефон, электронная почта) ресурсного центра:</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6. График работы ресурсного центра:</w:t>
            </w:r>
          </w:p>
        </w:tc>
      </w:tr>
      <w:tr>
        <w:tc>
          <w:tcPr>
            <w:tcW w:w="9071" w:type="dxa"/>
            <w:tcBorders>
              <w:top w:val="nil"/>
              <w:left w:val="nil"/>
              <w:bottom w:val="nil"/>
              <w:right w:val="nil"/>
            </w:tcBorders>
          </w:tcPr>
          <w:p>
            <w:pPr>
              <w:pStyle w:val="0"/>
              <w:ind w:firstLine="283"/>
              <w:jc w:val="both"/>
            </w:pPr>
            <w:r>
              <w:rPr>
                <w:sz w:val="20"/>
              </w:rPr>
              <w:t xml:space="preserve">1) рабочие дни: 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2) время работы: 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7. Услуги и функции, которые планирует предоставлять и осуществлять ресурсный центр (заполняется в соответствии с утвержденным положением о ресурсном центре):</w:t>
            </w:r>
          </w:p>
        </w:tc>
      </w:tr>
      <w:tr>
        <w:tc>
          <w:tcPr>
            <w:tcW w:w="9071" w:type="dxa"/>
            <w:tcBorders>
              <w:top w:val="nil"/>
              <w:left w:val="nil"/>
              <w:bottom w:val="nil"/>
              <w:right w:val="nil"/>
            </w:tcBorders>
          </w:tcPr>
          <w:p>
            <w:pPr>
              <w:pStyle w:val="0"/>
              <w:ind w:firstLine="283"/>
              <w:jc w:val="both"/>
            </w:pPr>
            <w:r>
              <w:rPr>
                <w:sz w:val="20"/>
              </w:rPr>
              <w:t xml:space="preserve">1) помощь в регистрации граждан на портале https://dobro.ru (данная услуга обязательна и не может быть удалена);</w:t>
            </w:r>
          </w:p>
        </w:tc>
      </w:tr>
      <w:tr>
        <w:tc>
          <w:tcPr>
            <w:tcW w:w="9071" w:type="dxa"/>
            <w:tcBorders>
              <w:top w:val="nil"/>
              <w:left w:val="nil"/>
              <w:bottom w:val="nil"/>
              <w:right w:val="nil"/>
            </w:tcBorders>
          </w:tcPr>
          <w:p>
            <w:pPr>
              <w:pStyle w:val="0"/>
              <w:ind w:firstLine="283"/>
              <w:jc w:val="both"/>
            </w:pPr>
            <w:r>
              <w:rPr>
                <w:sz w:val="20"/>
              </w:rPr>
              <w:t xml:space="preserve">2) 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 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n. 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8. Сайт и (или) группа в социальной сети ресурсного центра:</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1" w:type="dxa"/>
            <w:tcBorders>
              <w:top w:val="nil"/>
              <w:left w:val="nil"/>
              <w:bottom w:val="nil"/>
              <w:right w:val="nil"/>
            </w:tcBorders>
          </w:tcPr>
          <w:p>
            <w:pPr>
              <w:pStyle w:val="0"/>
              <w:ind w:firstLine="283"/>
              <w:jc w:val="both"/>
            </w:pPr>
            <w:r>
              <w:rPr>
                <w:sz w:val="20"/>
              </w:rPr>
              <w:t xml:space="preserve">9. Ресурсный центр обязуется в случае получения гранта в форме субсидии на обеспечение деятельности ресурсного центра (далее - гранты) до 31 декабря года, в котором будет получен грант:</w:t>
            </w:r>
          </w:p>
        </w:tc>
      </w:tr>
      <w:tr>
        <w:tc>
          <w:tcPr>
            <w:tcW w:w="9071" w:type="dxa"/>
            <w:tcBorders>
              <w:top w:val="nil"/>
              <w:left w:val="nil"/>
              <w:bottom w:val="nil"/>
              <w:right w:val="nil"/>
            </w:tcBorders>
          </w:tcPr>
          <w:p>
            <w:pPr>
              <w:pStyle w:val="0"/>
              <w:ind w:firstLine="283"/>
              <w:jc w:val="both"/>
            </w:pPr>
            <w:r>
              <w:rPr>
                <w:sz w:val="20"/>
              </w:rPr>
              <w:t xml:space="preserve">1) вовлечь в добровольческую (волонтерскую) и общественно активную деятельность в рамках программы деятельности ресурсного центра за период использования грантов: не менее ___________________ жителей (указывается количество жителей, но не менее 390 человек);</w:t>
            </w:r>
          </w:p>
        </w:tc>
      </w:tr>
      <w:tr>
        <w:tc>
          <w:tcPr>
            <w:tcW w:w="9071" w:type="dxa"/>
            <w:tcBorders>
              <w:top w:val="nil"/>
              <w:left w:val="nil"/>
              <w:bottom w:val="nil"/>
              <w:right w:val="nil"/>
            </w:tcBorders>
          </w:tcPr>
          <w:p>
            <w:pPr>
              <w:pStyle w:val="0"/>
              <w:ind w:firstLine="283"/>
              <w:jc w:val="both"/>
            </w:pPr>
            <w:r>
              <w:rPr>
                <w:sz w:val="20"/>
              </w:rPr>
              <w:t xml:space="preserve">2) провести консультации представителям СОНКО и (или) добровольцам (волонтерам) за период использования грантов, но не менее ________ (указывается количество консультаций, но не менее 75 консультаций);</w:t>
            </w:r>
          </w:p>
        </w:tc>
      </w:tr>
      <w:tr>
        <w:tc>
          <w:tcPr>
            <w:tcW w:w="9071" w:type="dxa"/>
            <w:tcBorders>
              <w:top w:val="nil"/>
              <w:left w:val="nil"/>
              <w:bottom w:val="nil"/>
              <w:right w:val="nil"/>
            </w:tcBorders>
          </w:tcPr>
          <w:p>
            <w:pPr>
              <w:pStyle w:val="0"/>
              <w:ind w:firstLine="283"/>
              <w:jc w:val="both"/>
            </w:pPr>
            <w:r>
              <w:rPr>
                <w:sz w:val="20"/>
              </w:rPr>
              <w:t xml:space="preserve">3) организовать и провести мероприятия, в том числе образовательного и (или) просветительского характера, культурно-массовые мероприятия, для представителей СОНКО и добровольцев (волонтеров) за период использования грантов: не менее _____________ (указывается количество мероприятий, но не менее 4 мероприятий);</w:t>
            </w:r>
          </w:p>
        </w:tc>
      </w:tr>
      <w:tr>
        <w:tc>
          <w:tcPr>
            <w:tcW w:w="9071" w:type="dxa"/>
            <w:tcBorders>
              <w:top w:val="nil"/>
              <w:left w:val="nil"/>
              <w:bottom w:val="nil"/>
              <w:right w:val="nil"/>
            </w:tcBorders>
          </w:tcPr>
          <w:p>
            <w:pPr>
              <w:pStyle w:val="0"/>
              <w:ind w:firstLine="283"/>
              <w:jc w:val="both"/>
            </w:pPr>
            <w:r>
              <w:rPr>
                <w:sz w:val="20"/>
              </w:rPr>
              <w:t xml:space="preserve">4) привлечь представителей СОНКО и добровольцев (волонтеров) в качестве участников в мероприятия ресурсного центра за период использования грантов: не менее ____________________ (указывается количество представителей СОНКО и добровольцев (волонтеров), но не менее 195 представителей СОНКО и добровольцев (волонтеров);</w:t>
            </w:r>
          </w:p>
        </w:tc>
      </w:tr>
      <w:tr>
        <w:tc>
          <w:tcPr>
            <w:tcW w:w="9071" w:type="dxa"/>
            <w:tcBorders>
              <w:top w:val="nil"/>
              <w:left w:val="nil"/>
              <w:bottom w:val="nil"/>
              <w:right w:val="nil"/>
            </w:tcBorders>
          </w:tcPr>
          <w:p>
            <w:pPr>
              <w:pStyle w:val="0"/>
              <w:ind w:firstLine="283"/>
              <w:jc w:val="both"/>
            </w:pPr>
            <w:r>
              <w:rPr>
                <w:sz w:val="20"/>
              </w:rPr>
              <w:t xml:space="preserve">5) разместить информационные материалы о СОНКО и добровольцах (волонтерах) и для СОНКО и добровольцев (волонтеров) на сайте и (или) в группе ресурсного центра за период использования грантов: не менее ____ (но не менее 20 информационных материалов);</w:t>
            </w:r>
          </w:p>
        </w:tc>
      </w:tr>
      <w:tr>
        <w:tc>
          <w:tcPr>
            <w:tcW w:w="9071" w:type="dxa"/>
            <w:tcBorders>
              <w:top w:val="nil"/>
              <w:left w:val="nil"/>
              <w:bottom w:val="nil"/>
              <w:right w:val="nil"/>
            </w:tcBorders>
          </w:tcPr>
          <w:p>
            <w:pPr>
              <w:pStyle w:val="0"/>
              <w:ind w:firstLine="283"/>
              <w:jc w:val="both"/>
            </w:pPr>
            <w:r>
              <w:rPr>
                <w:sz w:val="20"/>
              </w:rPr>
              <w:t xml:space="preserve">6) оказать услуги (за исключением консультаций) СОНКО и добровольцам (волонтерам) за период использования грантов: не менее ___________ (но не менее 20 услуг).</w:t>
            </w:r>
          </w:p>
        </w:tc>
      </w:tr>
      <w:tr>
        <w:tc>
          <w:tcPr>
            <w:tcW w:w="9071" w:type="dxa"/>
            <w:tcBorders>
              <w:top w:val="nil"/>
              <w:left w:val="nil"/>
              <w:bottom w:val="nil"/>
              <w:right w:val="nil"/>
            </w:tcBorders>
          </w:tcPr>
          <w:p>
            <w:pPr>
              <w:pStyle w:val="0"/>
              <w:ind w:firstLine="283"/>
              <w:jc w:val="both"/>
            </w:pPr>
            <w:r>
              <w:rPr>
                <w:sz w:val="20"/>
              </w:rPr>
              <w:t xml:space="preserve">10. План проведения мероприятий, которые организуются и проводятся ресурсным центром:</w:t>
            </w:r>
          </w:p>
        </w:tc>
      </w:tr>
    </w:tbl>
    <w:p>
      <w:pPr>
        <w:pStyle w:val="0"/>
        <w:jc w:val="both"/>
      </w:pPr>
      <w:r>
        <w:rPr>
          <w:sz w:val="20"/>
        </w:rPr>
      </w:r>
    </w:p>
    <w:p>
      <w:pPr>
        <w:pStyle w:val="0"/>
        <w:jc w:val="right"/>
      </w:pPr>
      <w:r>
        <w:rPr>
          <w:sz w:val="20"/>
        </w:rPr>
        <w:t xml:space="preserve">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721"/>
        <w:gridCol w:w="2098"/>
        <w:gridCol w:w="1984"/>
        <w:gridCol w:w="1814"/>
      </w:tblGrid>
      <w:tr>
        <w:tc>
          <w:tcPr>
            <w:tcW w:w="454" w:type="dxa"/>
          </w:tcPr>
          <w:p>
            <w:pPr>
              <w:pStyle w:val="0"/>
              <w:jc w:val="center"/>
            </w:pPr>
            <w:r>
              <w:rPr>
                <w:sz w:val="20"/>
              </w:rPr>
              <w:t xml:space="preserve">N</w:t>
            </w:r>
          </w:p>
          <w:p>
            <w:pPr>
              <w:pStyle w:val="0"/>
              <w:jc w:val="center"/>
            </w:pPr>
            <w:r>
              <w:rPr>
                <w:sz w:val="20"/>
              </w:rPr>
              <w:t xml:space="preserve">п/п</w:t>
            </w:r>
          </w:p>
        </w:tc>
        <w:tc>
          <w:tcPr>
            <w:tcW w:w="2721" w:type="dxa"/>
          </w:tcPr>
          <w:p>
            <w:pPr>
              <w:pStyle w:val="0"/>
              <w:jc w:val="center"/>
            </w:pPr>
            <w:r>
              <w:rPr>
                <w:sz w:val="20"/>
              </w:rPr>
              <w:t xml:space="preserve">Наименование мероприятия</w:t>
            </w:r>
          </w:p>
        </w:tc>
        <w:tc>
          <w:tcPr>
            <w:tcW w:w="2098" w:type="dxa"/>
          </w:tcPr>
          <w:p>
            <w:pPr>
              <w:pStyle w:val="0"/>
              <w:jc w:val="center"/>
            </w:pPr>
            <w:r>
              <w:rPr>
                <w:sz w:val="20"/>
              </w:rPr>
              <w:t xml:space="preserve">Дата или период проведения мероприятия</w:t>
            </w:r>
          </w:p>
        </w:tc>
        <w:tc>
          <w:tcPr>
            <w:tcW w:w="1984" w:type="dxa"/>
          </w:tcPr>
          <w:p>
            <w:pPr>
              <w:pStyle w:val="0"/>
              <w:jc w:val="center"/>
            </w:pPr>
            <w:r>
              <w:rPr>
                <w:sz w:val="20"/>
              </w:rPr>
              <w:t xml:space="preserve">Цель проведения мероприятия</w:t>
            </w:r>
          </w:p>
        </w:tc>
        <w:tc>
          <w:tcPr>
            <w:tcW w:w="1814" w:type="dxa"/>
          </w:tcPr>
          <w:p>
            <w:pPr>
              <w:pStyle w:val="0"/>
              <w:jc w:val="center"/>
            </w:pPr>
            <w:r>
              <w:rPr>
                <w:sz w:val="20"/>
              </w:rPr>
              <w:t xml:space="preserve">Категория участников</w:t>
            </w:r>
          </w:p>
        </w:tc>
      </w:tr>
      <w:tr>
        <w:tc>
          <w:tcPr>
            <w:tcW w:w="454" w:type="dxa"/>
          </w:tcPr>
          <w:p>
            <w:pPr>
              <w:pStyle w:val="0"/>
              <w:jc w:val="center"/>
            </w:pPr>
            <w:r>
              <w:rPr>
                <w:sz w:val="20"/>
              </w:rPr>
              <w:t xml:space="preserve">1</w:t>
            </w:r>
          </w:p>
        </w:tc>
        <w:tc>
          <w:tcPr>
            <w:tcW w:w="2721" w:type="dxa"/>
          </w:tcPr>
          <w:p>
            <w:pPr>
              <w:pStyle w:val="0"/>
              <w:jc w:val="center"/>
            </w:pPr>
            <w:r>
              <w:rPr>
                <w:sz w:val="20"/>
              </w:rPr>
              <w:t xml:space="preserve">2</w:t>
            </w:r>
          </w:p>
        </w:tc>
        <w:tc>
          <w:tcPr>
            <w:tcW w:w="2098" w:type="dxa"/>
          </w:tcPr>
          <w:p>
            <w:pPr>
              <w:pStyle w:val="0"/>
              <w:jc w:val="center"/>
            </w:pPr>
            <w:r>
              <w:rPr>
                <w:sz w:val="20"/>
              </w:rPr>
              <w:t xml:space="preserve">3</w:t>
            </w:r>
          </w:p>
        </w:tc>
        <w:tc>
          <w:tcPr>
            <w:tcW w:w="1984" w:type="dxa"/>
          </w:tcPr>
          <w:p>
            <w:pPr>
              <w:pStyle w:val="0"/>
              <w:jc w:val="center"/>
            </w:pPr>
            <w:r>
              <w:rPr>
                <w:sz w:val="20"/>
              </w:rPr>
              <w:t xml:space="preserve">4</w:t>
            </w:r>
          </w:p>
        </w:tc>
        <w:tc>
          <w:tcPr>
            <w:tcW w:w="1814" w:type="dxa"/>
          </w:tcPr>
          <w:p>
            <w:pPr>
              <w:pStyle w:val="0"/>
              <w:jc w:val="center"/>
            </w:pPr>
            <w:r>
              <w:rPr>
                <w:sz w:val="20"/>
              </w:rPr>
              <w:t xml:space="preserve">5</w:t>
            </w:r>
          </w:p>
        </w:tc>
      </w:tr>
      <w:tr>
        <w:tc>
          <w:tcPr>
            <w:tcW w:w="454" w:type="dxa"/>
          </w:tcPr>
          <w:p>
            <w:pPr>
              <w:pStyle w:val="0"/>
            </w:pPr>
            <w:r>
              <w:rPr>
                <w:sz w:val="20"/>
              </w:rPr>
              <w:t xml:space="preserve">1</w:t>
            </w:r>
          </w:p>
        </w:tc>
        <w:tc>
          <w:tcPr>
            <w:tcW w:w="2721"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14" w:type="dxa"/>
          </w:tcPr>
          <w:p>
            <w:pPr>
              <w:pStyle w:val="0"/>
            </w:pPr>
            <w:r>
              <w:rPr>
                <w:sz w:val="20"/>
              </w:rPr>
            </w:r>
          </w:p>
        </w:tc>
      </w:tr>
      <w:tr>
        <w:tc>
          <w:tcPr>
            <w:tcW w:w="454" w:type="dxa"/>
          </w:tcPr>
          <w:p>
            <w:pPr>
              <w:pStyle w:val="0"/>
            </w:pPr>
            <w:r>
              <w:rPr>
                <w:sz w:val="20"/>
              </w:rPr>
              <w:t xml:space="preserve">...</w:t>
            </w:r>
          </w:p>
        </w:tc>
        <w:tc>
          <w:tcPr>
            <w:tcW w:w="2721"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14" w:type="dxa"/>
          </w:tcPr>
          <w:p>
            <w:pPr>
              <w:pStyle w:val="0"/>
            </w:pPr>
            <w:r>
              <w:rPr>
                <w:sz w:val="20"/>
              </w:rPr>
            </w:r>
          </w:p>
        </w:tc>
      </w:tr>
      <w:tr>
        <w:tc>
          <w:tcPr>
            <w:tcW w:w="454" w:type="dxa"/>
          </w:tcPr>
          <w:p>
            <w:pPr>
              <w:pStyle w:val="0"/>
            </w:pPr>
            <w:r>
              <w:rPr>
                <w:sz w:val="20"/>
              </w:rPr>
              <w:t xml:space="preserve">n</w:t>
            </w:r>
          </w:p>
        </w:tc>
        <w:tc>
          <w:tcPr>
            <w:tcW w:w="2721"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14" w:type="dxa"/>
          </w:tcPr>
          <w:p>
            <w:pPr>
              <w:pStyle w:val="0"/>
            </w:pPr>
            <w:r>
              <w:rPr>
                <w:sz w:val="20"/>
              </w:rPr>
            </w:r>
          </w:p>
        </w:tc>
      </w:tr>
    </w:tbl>
    <w:p>
      <w:pPr>
        <w:pStyle w:val="0"/>
        <w:jc w:val="both"/>
      </w:pPr>
      <w:r>
        <w:rPr>
          <w:sz w:val="20"/>
        </w:rPr>
      </w:r>
    </w:p>
    <w:p>
      <w:pPr>
        <w:pStyle w:val="0"/>
        <w:ind w:firstLine="540"/>
        <w:jc w:val="both"/>
      </w:pPr>
      <w:r>
        <w:rPr>
          <w:sz w:val="20"/>
        </w:rPr>
        <w:t xml:space="preserve">11. Направления расходов, источником финансового обеспечения которых являются гранты (необходимо описать, на какие из представленных направлений планируется потратить гранты):</w:t>
      </w:r>
    </w:p>
    <w:p>
      <w:pPr>
        <w:pStyle w:val="0"/>
        <w:jc w:val="both"/>
      </w:pPr>
      <w:r>
        <w:rPr>
          <w:sz w:val="20"/>
        </w:rPr>
      </w:r>
    </w:p>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762"/>
        <w:gridCol w:w="3685"/>
      </w:tblGrid>
      <w:tr>
        <w:tc>
          <w:tcPr>
            <w:tcW w:w="567" w:type="dxa"/>
          </w:tcPr>
          <w:p>
            <w:pPr>
              <w:pStyle w:val="0"/>
              <w:jc w:val="center"/>
            </w:pPr>
            <w:r>
              <w:rPr>
                <w:sz w:val="20"/>
              </w:rPr>
              <w:t xml:space="preserve">N п/п</w:t>
            </w:r>
          </w:p>
        </w:tc>
        <w:tc>
          <w:tcPr>
            <w:tcW w:w="4762" w:type="dxa"/>
          </w:tcPr>
          <w:p>
            <w:pPr>
              <w:pStyle w:val="0"/>
              <w:jc w:val="center"/>
            </w:pPr>
            <w:r>
              <w:rPr>
                <w:sz w:val="20"/>
              </w:rPr>
              <w:t xml:space="preserve">Направление расходов</w:t>
            </w:r>
          </w:p>
        </w:tc>
        <w:tc>
          <w:tcPr>
            <w:tcW w:w="3685" w:type="dxa"/>
          </w:tcPr>
          <w:p>
            <w:pPr>
              <w:pStyle w:val="0"/>
              <w:jc w:val="center"/>
            </w:pPr>
            <w:r>
              <w:rPr>
                <w:sz w:val="20"/>
              </w:rPr>
              <w:t xml:space="preserve">Сумма средств грантов, в руб.</w:t>
            </w:r>
          </w:p>
        </w:tc>
      </w:tr>
      <w:tr>
        <w:tc>
          <w:tcPr>
            <w:tcW w:w="567" w:type="dxa"/>
          </w:tcPr>
          <w:p>
            <w:pPr>
              <w:pStyle w:val="0"/>
              <w:jc w:val="center"/>
            </w:pPr>
            <w:r>
              <w:rPr>
                <w:sz w:val="20"/>
              </w:rPr>
              <w:t xml:space="preserve">1</w:t>
            </w:r>
          </w:p>
        </w:tc>
        <w:tc>
          <w:tcPr>
            <w:tcW w:w="4762" w:type="dxa"/>
          </w:tcPr>
          <w:p>
            <w:pPr>
              <w:pStyle w:val="0"/>
              <w:jc w:val="center"/>
            </w:pPr>
            <w:r>
              <w:rPr>
                <w:sz w:val="20"/>
              </w:rPr>
              <w:t xml:space="preserve">2</w:t>
            </w:r>
          </w:p>
        </w:tc>
        <w:tc>
          <w:tcPr>
            <w:tcW w:w="3685" w:type="dxa"/>
          </w:tcPr>
          <w:p>
            <w:pPr>
              <w:pStyle w:val="0"/>
              <w:jc w:val="center"/>
            </w:pPr>
            <w:r>
              <w:rPr>
                <w:sz w:val="20"/>
              </w:rPr>
              <w:t xml:space="preserve">3</w:t>
            </w:r>
          </w:p>
        </w:tc>
      </w:tr>
      <w:tr>
        <w:tc>
          <w:tcPr>
            <w:tcW w:w="567" w:type="dxa"/>
          </w:tcPr>
          <w:p>
            <w:pPr>
              <w:pStyle w:val="0"/>
            </w:pPr>
            <w:r>
              <w:rPr>
                <w:sz w:val="20"/>
              </w:rPr>
              <w:t xml:space="preserve">1</w:t>
            </w:r>
          </w:p>
        </w:tc>
        <w:tc>
          <w:tcPr>
            <w:tcW w:w="4762" w:type="dxa"/>
          </w:tcPr>
          <w:p>
            <w:pPr>
              <w:pStyle w:val="0"/>
            </w:pPr>
            <w:r>
              <w:rPr>
                <w:sz w:val="20"/>
              </w:rPr>
              <w:t xml:space="preserve">Затраты на приобретение и (или) аренду оборудования, инвентаря, программного обеспечения, расходных материалов, материально-технических запасов, результатов интеллектуальной деятельности (методических разработок)</w:t>
            </w:r>
          </w:p>
        </w:tc>
        <w:tc>
          <w:tcPr>
            <w:tcW w:w="3685" w:type="dxa"/>
          </w:tcPr>
          <w:p>
            <w:pPr>
              <w:pStyle w:val="0"/>
            </w:pPr>
            <w:r>
              <w:rPr>
                <w:sz w:val="20"/>
              </w:rPr>
            </w:r>
          </w:p>
        </w:tc>
      </w:tr>
      <w:tr>
        <w:tc>
          <w:tcPr>
            <w:tcW w:w="567" w:type="dxa"/>
          </w:tcPr>
          <w:p>
            <w:pPr>
              <w:pStyle w:val="0"/>
            </w:pPr>
            <w:r>
              <w:rPr>
                <w:sz w:val="20"/>
              </w:rPr>
              <w:t xml:space="preserve">2</w:t>
            </w:r>
          </w:p>
        </w:tc>
        <w:tc>
          <w:tcPr>
            <w:tcW w:w="4762" w:type="dxa"/>
          </w:tcPr>
          <w:p>
            <w:pPr>
              <w:pStyle w:val="0"/>
            </w:pPr>
            <w:r>
              <w:rPr>
                <w:sz w:val="20"/>
              </w:rPr>
              <w:t xml:space="preserve">Затраты на закупку работ и услуг, которые необходимы в рамках реализации программы деятельности ресурсного центра</w:t>
            </w:r>
          </w:p>
        </w:tc>
        <w:tc>
          <w:tcPr>
            <w:tcW w:w="3685" w:type="dxa"/>
          </w:tcPr>
          <w:p>
            <w:pPr>
              <w:pStyle w:val="0"/>
            </w:pPr>
            <w:r>
              <w:rPr>
                <w:sz w:val="20"/>
              </w:rPr>
            </w:r>
          </w:p>
        </w:tc>
      </w:tr>
      <w:tr>
        <w:tc>
          <w:tcPr>
            <w:tcW w:w="567" w:type="dxa"/>
          </w:tcPr>
          <w:p>
            <w:pPr>
              <w:pStyle w:val="0"/>
            </w:pPr>
            <w:r>
              <w:rPr>
                <w:sz w:val="20"/>
              </w:rPr>
              <w:t xml:space="preserve">3</w:t>
            </w:r>
          </w:p>
        </w:tc>
        <w:tc>
          <w:tcPr>
            <w:tcW w:w="4762" w:type="dxa"/>
          </w:tcPr>
          <w:p>
            <w:pPr>
              <w:pStyle w:val="0"/>
            </w:pPr>
            <w:r>
              <w:rPr>
                <w:sz w:val="20"/>
              </w:rPr>
              <w:t xml:space="preserve">Затраты на обучение специалистов, участвующих в работе ресурсного центра</w:t>
            </w:r>
          </w:p>
        </w:tc>
        <w:tc>
          <w:tcPr>
            <w:tcW w:w="3685" w:type="dxa"/>
          </w:tcPr>
          <w:p>
            <w:pPr>
              <w:pStyle w:val="0"/>
            </w:pPr>
            <w:r>
              <w:rPr>
                <w:sz w:val="20"/>
              </w:rPr>
            </w:r>
          </w:p>
        </w:tc>
      </w:tr>
      <w:tr>
        <w:tc>
          <w:tcPr>
            <w:tcW w:w="567" w:type="dxa"/>
          </w:tcPr>
          <w:p>
            <w:pPr>
              <w:pStyle w:val="0"/>
            </w:pPr>
            <w:r>
              <w:rPr>
                <w:sz w:val="20"/>
              </w:rPr>
              <w:t xml:space="preserve">4</w:t>
            </w:r>
          </w:p>
        </w:tc>
        <w:tc>
          <w:tcPr>
            <w:tcW w:w="4762" w:type="dxa"/>
          </w:tcPr>
          <w:p>
            <w:pPr>
              <w:pStyle w:val="0"/>
            </w:pPr>
            <w:r>
              <w:rPr>
                <w:sz w:val="20"/>
              </w:rPr>
              <w:t xml:space="preserve">Оплата труда специалистов, участвующих в работе ресурсного центра, с учетом налогов и сборов, связанных с деятельностью ресурсного центра</w:t>
            </w:r>
          </w:p>
        </w:tc>
        <w:tc>
          <w:tcPr>
            <w:tcW w:w="3685" w:type="dxa"/>
          </w:tcPr>
          <w:p>
            <w:pPr>
              <w:pStyle w:val="0"/>
            </w:pPr>
            <w:r>
              <w:rPr>
                <w:sz w:val="20"/>
              </w:rPr>
            </w:r>
          </w:p>
        </w:tc>
      </w:tr>
      <w:tr>
        <w:tc>
          <w:tcPr>
            <w:tcW w:w="567" w:type="dxa"/>
          </w:tcPr>
          <w:p>
            <w:pPr>
              <w:pStyle w:val="0"/>
            </w:pPr>
            <w:r>
              <w:rPr>
                <w:sz w:val="20"/>
              </w:rPr>
              <w:t xml:space="preserve">5</w:t>
            </w:r>
          </w:p>
        </w:tc>
        <w:tc>
          <w:tcPr>
            <w:tcW w:w="4762" w:type="dxa"/>
          </w:tcPr>
          <w:p>
            <w:pPr>
              <w:pStyle w:val="0"/>
            </w:pPr>
            <w:r>
              <w:rPr>
                <w:sz w:val="20"/>
              </w:rPr>
              <w:t xml:space="preserve">Затраты на мероприятия, реализуемые в рамках программы деятельности ресурсного центра</w:t>
            </w:r>
          </w:p>
        </w:tc>
        <w:tc>
          <w:tcPr>
            <w:tcW w:w="3685" w:type="dxa"/>
          </w:tcPr>
          <w:p>
            <w:pPr>
              <w:pStyle w:val="0"/>
            </w:pPr>
            <w:r>
              <w:rPr>
                <w:sz w:val="20"/>
              </w:rPr>
            </w:r>
          </w:p>
        </w:tc>
      </w:tr>
      <w:tr>
        <w:tc>
          <w:tcPr>
            <w:tcW w:w="567" w:type="dxa"/>
          </w:tcPr>
          <w:p>
            <w:pPr>
              <w:pStyle w:val="0"/>
            </w:pPr>
            <w:r>
              <w:rPr>
                <w:sz w:val="20"/>
              </w:rPr>
            </w:r>
          </w:p>
        </w:tc>
        <w:tc>
          <w:tcPr>
            <w:tcW w:w="4762" w:type="dxa"/>
          </w:tcPr>
          <w:p>
            <w:pPr>
              <w:pStyle w:val="0"/>
            </w:pPr>
            <w:r>
              <w:rPr>
                <w:sz w:val="20"/>
              </w:rPr>
              <w:t xml:space="preserve">Итого</w:t>
            </w:r>
          </w:p>
        </w:tc>
        <w:tc>
          <w:tcPr>
            <w:tcW w:w="368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52"/>
        <w:gridCol w:w="340"/>
        <w:gridCol w:w="2086"/>
        <w:gridCol w:w="340"/>
        <w:gridCol w:w="2608"/>
      </w:tblGrid>
      <w:tr>
        <w:tblPrEx>
          <w:tblBorders>
            <w:insideH w:val="single" w:sz="4"/>
          </w:tblBorders>
        </w:tblPrEx>
        <w:tc>
          <w:tcPr>
            <w:tcW w:w="365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8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8" w:type="dxa"/>
            <w:tcBorders>
              <w:top w:val="nil"/>
              <w:left w:val="nil"/>
              <w:bottom w:val="single" w:sz="4"/>
              <w:right w:val="nil"/>
            </w:tcBorders>
          </w:tcPr>
          <w:p>
            <w:pPr>
              <w:pStyle w:val="0"/>
            </w:pPr>
            <w:r>
              <w:rPr>
                <w:sz w:val="20"/>
              </w:rPr>
            </w:r>
          </w:p>
        </w:tc>
      </w:tr>
      <w:tr>
        <w:tc>
          <w:tcPr>
            <w:tcW w:w="3652" w:type="dxa"/>
            <w:tcBorders>
              <w:top w:val="single" w:sz="4"/>
              <w:left w:val="nil"/>
              <w:bottom w:val="nil"/>
              <w:right w:val="nil"/>
            </w:tcBorders>
          </w:tcPr>
          <w:p>
            <w:pPr>
              <w:pStyle w:val="0"/>
              <w:jc w:val="center"/>
            </w:pPr>
            <w:r>
              <w:rPr>
                <w:sz w:val="20"/>
              </w:rPr>
              <w:t xml:space="preserve">(должность руководителя заявителя)</w:t>
            </w:r>
          </w:p>
        </w:tc>
        <w:tc>
          <w:tcPr>
            <w:tcW w:w="340" w:type="dxa"/>
            <w:tcBorders>
              <w:top w:val="nil"/>
              <w:left w:val="nil"/>
              <w:bottom w:val="nil"/>
              <w:right w:val="nil"/>
            </w:tcBorders>
          </w:tcPr>
          <w:p>
            <w:pPr>
              <w:pStyle w:val="0"/>
            </w:pPr>
            <w:r>
              <w:rPr>
                <w:sz w:val="20"/>
              </w:rPr>
            </w:r>
          </w:p>
        </w:tc>
        <w:tc>
          <w:tcPr>
            <w:tcW w:w="208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8" w:type="dxa"/>
            <w:tcBorders>
              <w:top w:val="single" w:sz="4"/>
              <w:left w:val="nil"/>
              <w:bottom w:val="nil"/>
              <w:right w:val="nil"/>
            </w:tcBorders>
          </w:tcPr>
          <w:p>
            <w:pPr>
              <w:pStyle w:val="0"/>
              <w:jc w:val="center"/>
            </w:pPr>
            <w:r>
              <w:rPr>
                <w:sz w:val="20"/>
              </w:rPr>
              <w:t xml:space="preserve">(ФИО руководителя)</w:t>
            </w:r>
          </w:p>
        </w:tc>
      </w:tr>
      <w:tr>
        <w:tc>
          <w:tcPr>
            <w:gridSpan w:val="5"/>
            <w:tcW w:w="9026" w:type="dxa"/>
            <w:tcBorders>
              <w:top w:val="nil"/>
              <w:left w:val="nil"/>
              <w:bottom w:val="nil"/>
              <w:right w:val="nil"/>
            </w:tcBorders>
          </w:tcPr>
          <w:p>
            <w:pPr>
              <w:pStyle w:val="0"/>
            </w:pPr>
            <w:r>
              <w:rPr>
                <w:sz w:val="20"/>
              </w:rPr>
            </w:r>
          </w:p>
        </w:tc>
      </w:tr>
      <w:tr>
        <w:tc>
          <w:tcPr>
            <w:gridSpan w:val="5"/>
            <w:tcW w:w="9026"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w:t>
      </w:r>
    </w:p>
    <w:p>
      <w:pPr>
        <w:pStyle w:val="0"/>
        <w:jc w:val="right"/>
      </w:pPr>
      <w:r>
        <w:rPr>
          <w:sz w:val="20"/>
        </w:rPr>
        <w:t xml:space="preserve">организациям на обеспечение</w:t>
      </w:r>
    </w:p>
    <w:p>
      <w:pPr>
        <w:pStyle w:val="0"/>
        <w:jc w:val="right"/>
      </w:pPr>
      <w:r>
        <w:rPr>
          <w:sz w:val="20"/>
        </w:rPr>
        <w:t xml:space="preserve">деятельности ресурсных центров</w:t>
      </w:r>
    </w:p>
    <w:p>
      <w:pPr>
        <w:pStyle w:val="0"/>
        <w:jc w:val="right"/>
      </w:pPr>
      <w:r>
        <w:rPr>
          <w:sz w:val="20"/>
        </w:rPr>
        <w:t xml:space="preserve">поддержки добровольчества</w:t>
      </w:r>
    </w:p>
    <w:p>
      <w:pPr>
        <w:pStyle w:val="0"/>
        <w:jc w:val="right"/>
      </w:pPr>
      <w:r>
        <w:rPr>
          <w:sz w:val="20"/>
        </w:rPr>
        <w:t xml:space="preserve">(волонтерства),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и проведения отбора</w:t>
      </w:r>
    </w:p>
    <w:p>
      <w:pPr>
        <w:pStyle w:val="0"/>
        <w:jc w:val="right"/>
      </w:pPr>
      <w:r>
        <w:rPr>
          <w:sz w:val="20"/>
        </w:rPr>
        <w:t xml:space="preserve">получателей указанных</w:t>
      </w:r>
    </w:p>
    <w:p>
      <w:pPr>
        <w:pStyle w:val="0"/>
        <w:jc w:val="right"/>
      </w:pPr>
      <w:r>
        <w:rPr>
          <w:sz w:val="20"/>
        </w:rPr>
        <w:t xml:space="preserve">грантов в форме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3748"/>
        <w:gridCol w:w="1499"/>
        <w:gridCol w:w="374"/>
        <w:gridCol w:w="3450"/>
      </w:tblGrid>
      <w:tr>
        <w:tc>
          <w:tcPr>
            <w:gridSpan w:val="4"/>
            <w:tcW w:w="9071" w:type="dxa"/>
            <w:tcBorders>
              <w:top w:val="nil"/>
              <w:left w:val="nil"/>
              <w:bottom w:val="nil"/>
              <w:right w:val="nil"/>
            </w:tcBorders>
          </w:tcPr>
          <w:bookmarkStart w:id="610" w:name="P610"/>
          <w:bookmarkEnd w:id="610"/>
          <w:p>
            <w:pPr>
              <w:pStyle w:val="0"/>
              <w:jc w:val="center"/>
            </w:pPr>
            <w:r>
              <w:rPr>
                <w:sz w:val="20"/>
              </w:rPr>
              <w:t xml:space="preserve">Согласие на обработку персональных данных</w:t>
            </w:r>
          </w:p>
        </w:tc>
      </w:tr>
      <w:tr>
        <w:tc>
          <w:tcPr>
            <w:gridSpan w:val="4"/>
            <w:tcW w:w="9071" w:type="dxa"/>
            <w:tcBorders>
              <w:top w:val="nil"/>
              <w:left w:val="nil"/>
              <w:bottom w:val="nil"/>
              <w:right w:val="nil"/>
            </w:tcBorders>
          </w:tcPr>
          <w:p>
            <w:pPr>
              <w:pStyle w:val="0"/>
            </w:pPr>
            <w:r>
              <w:rPr>
                <w:sz w:val="20"/>
              </w:rPr>
            </w:r>
          </w:p>
        </w:tc>
      </w:tr>
      <w:tr>
        <w:tc>
          <w:tcPr>
            <w:gridSpan w:val="4"/>
            <w:tcW w:w="9071"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зарегистрированный (ая) по адресу: __________________________________________;</w:t>
            </w:r>
          </w:p>
        </w:tc>
      </w:tr>
      <w:tr>
        <w:tc>
          <w:tcPr>
            <w:tcW w:w="3748" w:type="dxa"/>
            <w:tcBorders>
              <w:top w:val="nil"/>
              <w:left w:val="nil"/>
              <w:bottom w:val="nil"/>
              <w:right w:val="nil"/>
            </w:tcBorders>
          </w:tcPr>
          <w:p>
            <w:pPr>
              <w:pStyle w:val="0"/>
            </w:pPr>
            <w:r>
              <w:rPr>
                <w:sz w:val="20"/>
              </w:rPr>
            </w:r>
          </w:p>
        </w:tc>
        <w:tc>
          <w:tcPr>
            <w:gridSpan w:val="3"/>
            <w:tcW w:w="5323" w:type="dxa"/>
            <w:tcBorders>
              <w:top w:val="nil"/>
              <w:left w:val="nil"/>
              <w:bottom w:val="nil"/>
              <w:right w:val="nil"/>
            </w:tcBorders>
          </w:tcPr>
          <w:p>
            <w:pPr>
              <w:pStyle w:val="0"/>
              <w:jc w:val="center"/>
            </w:pPr>
            <w:r>
              <w:rPr>
                <w:sz w:val="20"/>
              </w:rPr>
              <w:t xml:space="preserve">(адрес регистрации)</w:t>
            </w:r>
          </w:p>
        </w:tc>
      </w:tr>
      <w:tr>
        <w:tc>
          <w:tcPr>
            <w:gridSpan w:val="4"/>
            <w:tcW w:w="9071" w:type="dxa"/>
            <w:tcBorders>
              <w:top w:val="nil"/>
              <w:left w:val="nil"/>
              <w:bottom w:val="nil"/>
              <w:right w:val="nil"/>
            </w:tcBorders>
          </w:tcPr>
          <w:p>
            <w:pPr>
              <w:pStyle w:val="0"/>
            </w:pPr>
            <w:r>
              <w:rPr>
                <w:sz w:val="20"/>
              </w:rPr>
              <w:t xml:space="preserve">документ, удостоверяющий личность: ________________________________________,</w:t>
            </w:r>
          </w:p>
        </w:tc>
      </w:tr>
      <w:tr>
        <w:tc>
          <w:tcPr>
            <w:tcW w:w="3748" w:type="dxa"/>
            <w:tcBorders>
              <w:top w:val="nil"/>
              <w:left w:val="nil"/>
              <w:bottom w:val="nil"/>
              <w:right w:val="nil"/>
            </w:tcBorders>
          </w:tcPr>
          <w:p>
            <w:pPr>
              <w:pStyle w:val="0"/>
            </w:pPr>
            <w:r>
              <w:rPr>
                <w:sz w:val="20"/>
              </w:rPr>
            </w:r>
          </w:p>
        </w:tc>
        <w:tc>
          <w:tcPr>
            <w:gridSpan w:val="3"/>
            <w:tcW w:w="5323" w:type="dxa"/>
            <w:tcBorders>
              <w:top w:val="nil"/>
              <w:left w:val="nil"/>
              <w:bottom w:val="nil"/>
              <w:right w:val="nil"/>
            </w:tcBorders>
          </w:tcPr>
          <w:p>
            <w:pPr>
              <w:pStyle w:val="0"/>
              <w:jc w:val="center"/>
            </w:pPr>
            <w:r>
              <w:rPr>
                <w:sz w:val="20"/>
              </w:rPr>
              <w:t xml:space="preserve">(вид документа)</w:t>
            </w:r>
          </w:p>
        </w:tc>
      </w:tr>
      <w:tr>
        <w:tc>
          <w:tcPr>
            <w:gridSpan w:val="4"/>
            <w:tcW w:w="9071" w:type="dxa"/>
            <w:tcBorders>
              <w:top w:val="nil"/>
              <w:left w:val="nil"/>
              <w:bottom w:val="nil"/>
              <w:right w:val="nil"/>
            </w:tcBorders>
          </w:tcPr>
          <w:p>
            <w:pPr>
              <w:pStyle w:val="0"/>
            </w:pPr>
            <w:r>
              <w:rPr>
                <w:sz w:val="20"/>
              </w:rPr>
              <w:t xml:space="preserve">серия _______ номер __________________________ выдан "__" ____________ 20__ г.</w:t>
            </w:r>
          </w:p>
          <w:p>
            <w:pPr>
              <w:pStyle w:val="0"/>
            </w:pPr>
            <w:r>
              <w:rPr>
                <w:sz w:val="20"/>
              </w:rPr>
              <w:t xml:space="preserve">_________________________________________________________________________,</w:t>
            </w:r>
          </w:p>
          <w:p>
            <w:pPr>
              <w:pStyle w:val="0"/>
              <w:jc w:val="center"/>
            </w:pPr>
            <w:r>
              <w:rPr>
                <w:sz w:val="20"/>
              </w:rPr>
              <w:t xml:space="preserve">(кем и когда выдан)</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40"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персональных данных, в том числе: фамилии, имени, отчества (при наличии); прежних фамилии, имени, отчества (при наличии); даты и места рождения; пола; гражданства; образования; паспортных данных; адреса места регистрации и проживания; номера контактного телефона; сведений о постановке на учет в налоговом органе.</w:t>
            </w:r>
          </w:p>
          <w:p>
            <w:pPr>
              <w:pStyle w:val="0"/>
              <w:ind w:firstLine="283"/>
              <w:jc w:val="both"/>
            </w:pPr>
            <w:r>
              <w:rPr>
                <w:sz w:val="20"/>
              </w:rPr>
              <w:t xml:space="preserve">Я подтверждаю, что, давая такое согласие, я действую без принуждения, по собственной воле и в своих интересах.</w:t>
            </w:r>
          </w:p>
          <w:p>
            <w:pPr>
              <w:pStyle w:val="0"/>
              <w:ind w:firstLine="283"/>
              <w:jc w:val="both"/>
            </w:pPr>
            <w:r>
              <w:rPr>
                <w:sz w:val="20"/>
              </w:rPr>
              <w:t xml:space="preserve">Я проинформирован (а), что агентство молодежной политики и реализации программ общественного развития Красноярского края гарантирует обработку моих персональных данных в соответствии с действующим законодательством Российской Федерации.</w:t>
            </w:r>
          </w:p>
          <w:p>
            <w:pPr>
              <w:pStyle w:val="0"/>
              <w:ind w:firstLine="283"/>
              <w:jc w:val="both"/>
            </w:pPr>
            <w:r>
              <w:rPr>
                <w:sz w:val="20"/>
              </w:rPr>
              <w:t xml:space="preserve">Я ознакомлен (а), что:</w:t>
            </w:r>
          </w:p>
        </w:tc>
      </w:tr>
      <w:tr>
        <w:tc>
          <w:tcPr>
            <w:gridSpan w:val="4"/>
            <w:tcW w:w="9071" w:type="dxa"/>
            <w:tcBorders>
              <w:top w:val="nil"/>
              <w:left w:val="nil"/>
              <w:bottom w:val="nil"/>
              <w:right w:val="nil"/>
            </w:tcBorders>
          </w:tcPr>
          <w:p>
            <w:pPr>
              <w:pStyle w:val="0"/>
              <w:ind w:firstLine="283"/>
              <w:jc w:val="both"/>
            </w:pPr>
            <w:r>
              <w:rPr>
                <w:sz w:val="20"/>
              </w:rPr>
              <w:t xml:space="preserve">1) согласие на обработку персональных данных действует с даты подписания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tc>
          <w:tcPr>
            <w:gridSpan w:val="4"/>
            <w:tcW w:w="9071" w:type="dxa"/>
            <w:tcBorders>
              <w:top w:val="nil"/>
              <w:left w:val="nil"/>
              <w:bottom w:val="nil"/>
              <w:right w:val="nil"/>
            </w:tcBorders>
          </w:tcPr>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tc>
      </w:tr>
      <w:tr>
        <w:tc>
          <w:tcPr>
            <w:gridSpan w:val="4"/>
            <w:tcW w:w="9071" w:type="dxa"/>
            <w:tcBorders>
              <w:top w:val="nil"/>
              <w:left w:val="nil"/>
              <w:bottom w:val="nil"/>
              <w:right w:val="nil"/>
            </w:tcBorders>
          </w:tcPr>
          <w:p>
            <w:pPr>
              <w:pStyle w:val="0"/>
            </w:pPr>
            <w:r>
              <w:rPr>
                <w:sz w:val="20"/>
              </w:rPr>
            </w:r>
          </w:p>
        </w:tc>
      </w:tr>
      <w:tr>
        <w:tc>
          <w:tcPr>
            <w:gridSpan w:val="2"/>
            <w:tcW w:w="5247" w:type="dxa"/>
            <w:tcBorders>
              <w:top w:val="nil"/>
              <w:left w:val="nil"/>
              <w:bottom w:val="single" w:sz="4"/>
              <w:right w:val="nil"/>
            </w:tcBorders>
          </w:tcPr>
          <w:p>
            <w:pPr>
              <w:pStyle w:val="0"/>
            </w:pPr>
            <w:r>
              <w:rPr>
                <w:sz w:val="20"/>
              </w:rPr>
            </w:r>
          </w:p>
        </w:tc>
        <w:tc>
          <w:tcPr>
            <w:tcW w:w="374" w:type="dxa"/>
            <w:tcBorders>
              <w:top w:val="nil"/>
              <w:left w:val="nil"/>
              <w:bottom w:val="nil"/>
              <w:right w:val="nil"/>
            </w:tcBorders>
          </w:tcPr>
          <w:p>
            <w:pPr>
              <w:pStyle w:val="0"/>
            </w:pPr>
            <w:r>
              <w:rPr>
                <w:sz w:val="20"/>
              </w:rPr>
            </w:r>
          </w:p>
        </w:tc>
        <w:tc>
          <w:tcPr>
            <w:tcW w:w="3450" w:type="dxa"/>
            <w:tcBorders>
              <w:top w:val="nil"/>
              <w:left w:val="nil"/>
              <w:bottom w:val="single" w:sz="4"/>
              <w:right w:val="nil"/>
            </w:tcBorders>
          </w:tcPr>
          <w:p>
            <w:pPr>
              <w:pStyle w:val="0"/>
            </w:pPr>
            <w:r>
              <w:rPr>
                <w:sz w:val="20"/>
              </w:rPr>
            </w:r>
          </w:p>
        </w:tc>
      </w:tr>
      <w:tr>
        <w:tblPrEx>
          <w:tblBorders>
            <w:insideH w:val="single" w:sz="4"/>
          </w:tblBorders>
        </w:tblPrEx>
        <w:tc>
          <w:tcPr>
            <w:gridSpan w:val="2"/>
            <w:tcW w:w="5247" w:type="dxa"/>
            <w:tcBorders>
              <w:top w:val="single" w:sz="4"/>
              <w:left w:val="nil"/>
              <w:bottom w:val="nil"/>
              <w:right w:val="nil"/>
            </w:tcBorders>
          </w:tcPr>
          <w:p>
            <w:pPr>
              <w:pStyle w:val="0"/>
              <w:jc w:val="center"/>
            </w:pPr>
            <w:r>
              <w:rPr>
                <w:sz w:val="20"/>
              </w:rPr>
              <w:t xml:space="preserve">(фамилия, имя и отчество (при наличии)</w:t>
            </w:r>
          </w:p>
        </w:tc>
        <w:tc>
          <w:tcPr>
            <w:tcW w:w="374" w:type="dxa"/>
            <w:tcBorders>
              <w:top w:val="nil"/>
              <w:left w:val="nil"/>
              <w:bottom w:val="nil"/>
              <w:right w:val="nil"/>
            </w:tcBorders>
          </w:tcPr>
          <w:p>
            <w:pPr>
              <w:pStyle w:val="0"/>
            </w:pPr>
            <w:r>
              <w:rPr>
                <w:sz w:val="20"/>
              </w:rPr>
            </w:r>
          </w:p>
        </w:tc>
        <w:tc>
          <w:tcPr>
            <w:tcW w:w="3450"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28.06.2024 N 464-п</w:t>
            <w:br/>
            <w:t>"Об утверждении Порядка предоставления грантов в фо...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9774&amp;dst=7188" TargetMode = "External"/>
	<Relationship Id="rId8" Type="http://schemas.openxmlformats.org/officeDocument/2006/relationships/hyperlink" Target="https://login.consultant.ru/link/?req=doc&amp;base=LAW&amp;n=469774&amp;dst=7282" TargetMode = "External"/>
	<Relationship Id="rId9" Type="http://schemas.openxmlformats.org/officeDocument/2006/relationships/hyperlink" Target="https://login.consultant.ru/link/?req=doc&amp;base=LAW&amp;n=490805&amp;dst=100019" TargetMode = "External"/>
	<Relationship Id="rId10" Type="http://schemas.openxmlformats.org/officeDocument/2006/relationships/hyperlink" Target="https://login.consultant.ru/link/?req=doc&amp;base=RLAW123&amp;n=306945&amp;dst=100553" TargetMode = "External"/>
	<Relationship Id="rId11" Type="http://schemas.openxmlformats.org/officeDocument/2006/relationships/hyperlink" Target="https://login.consultant.ru/link/?req=doc&amp;base=RLAW123&amp;n=344811&amp;dst=153593" TargetMode = "External"/>
	<Relationship Id="rId12" Type="http://schemas.openxmlformats.org/officeDocument/2006/relationships/hyperlink" Target="https://login.consultant.ru/link/?req=doc&amp;base=RLAW123&amp;n=338249&amp;dst=100005" TargetMode = "External"/>
	<Relationship Id="rId13" Type="http://schemas.openxmlformats.org/officeDocument/2006/relationships/hyperlink" Target="www.zakon.krskstate.ru" TargetMode = "External"/>
	<Relationship Id="rId14" Type="http://schemas.openxmlformats.org/officeDocument/2006/relationships/hyperlink" Target="https://login.consultant.ru/link/?req=doc&amp;base=LAW&amp;n=482672&amp;dst=172" TargetMode = "External"/>
	<Relationship Id="rId15" Type="http://schemas.openxmlformats.org/officeDocument/2006/relationships/hyperlink" Target="https://login.consultant.ru/link/?req=doc&amp;base=RLAW123&amp;n=334769&amp;dst=100210" TargetMode = "External"/>
	<Relationship Id="rId16" Type="http://schemas.openxmlformats.org/officeDocument/2006/relationships/hyperlink" Target="https://login.consultant.ru/link/?req=doc&amp;base=RLAW123&amp;n=344811&amp;dst=151964" TargetMode = "External"/>
	<Relationship Id="rId17" Type="http://schemas.openxmlformats.org/officeDocument/2006/relationships/hyperlink" Target="www.budget.gov.ru" TargetMode = "External"/>
	<Relationship Id="rId18" Type="http://schemas.openxmlformats.org/officeDocument/2006/relationships/hyperlink" Target="https://login.consultant.ru/link/?req=doc&amp;base=LAW&amp;n=448881" TargetMode = "External"/>
	<Relationship Id="rId19" Type="http://schemas.openxmlformats.org/officeDocument/2006/relationships/hyperlink" Target="http://futureagency.krskstate.ru" TargetMode = "External"/>
	<Relationship Id="rId20" Type="http://schemas.openxmlformats.org/officeDocument/2006/relationships/hyperlink" Target="https://login.consultant.ru/link/?req=doc&amp;base=RLAW123&amp;n=326961&amp;dst=100024" TargetMode = "External"/>
	<Relationship Id="rId21" Type="http://schemas.openxmlformats.org/officeDocument/2006/relationships/hyperlink" Target="https://login.consultant.ru/link/?req=doc&amp;base=LAW&amp;n=121087&amp;dst=100142" TargetMode = "External"/>
	<Relationship Id="rId22" Type="http://schemas.openxmlformats.org/officeDocument/2006/relationships/hyperlink" Target="https://login.consultant.ru/link/?req=doc&amp;base=LAW&amp;n=493204" TargetMode = "External"/>
	<Relationship Id="rId23" Type="http://schemas.openxmlformats.org/officeDocument/2006/relationships/hyperlink" Target="https://login.consultant.ru/link/?req=doc&amp;base=LAW&amp;n=491424&amp;dst=5769" TargetMode = "External"/>
	<Relationship Id="rId24" Type="http://schemas.openxmlformats.org/officeDocument/2006/relationships/hyperlink" Target="https://login.consultant.ru/link/?req=doc&amp;base=LAW&amp;n=482686&amp;dst=100278" TargetMode = "External"/>
	<Relationship Id="rId25" Type="http://schemas.openxmlformats.org/officeDocument/2006/relationships/hyperlink" Target="https://login.consultant.ru/link/?req=doc&amp;base=LAW&amp;n=468472" TargetMode = "External"/>
	<Relationship Id="rId26" Type="http://schemas.openxmlformats.org/officeDocument/2006/relationships/hyperlink" Target="https://login.consultant.ru/link/?req=doc&amp;base=LAW&amp;n=468472" TargetMode = "External"/>
	<Relationship Id="rId27" Type="http://schemas.openxmlformats.org/officeDocument/2006/relationships/hyperlink" Target="https://login.consultant.ru/link/?req=doc&amp;base=LAW&amp;n=468472" TargetMode = "External"/>
	<Relationship Id="rId28" Type="http://schemas.openxmlformats.org/officeDocument/2006/relationships/hyperlink" Target="https://login.consultant.ru/link/?req=doc&amp;base=LAW&amp;n=468472&amp;dst=100088" TargetMode = "External"/>
	<Relationship Id="rId29" Type="http://schemas.openxmlformats.org/officeDocument/2006/relationships/hyperlink" Target="https://login.consultant.ru/link/?req=doc&amp;base=LAW&amp;n=468472&amp;dst=100088" TargetMode = "External"/>
	<Relationship Id="rId30" Type="http://schemas.openxmlformats.org/officeDocument/2006/relationships/hyperlink" Target="https://login.consultant.ru/link/?req=doc&amp;base=LAW&amp;n=469774&amp;dst=3704" TargetMode = "External"/>
	<Relationship Id="rId31" Type="http://schemas.openxmlformats.org/officeDocument/2006/relationships/hyperlink" Target="https://login.consultant.ru/link/?req=doc&amp;base=LAW&amp;n=469774&amp;dst=3722" TargetMode = "External"/>
	<Relationship Id="rId32" Type="http://schemas.openxmlformats.org/officeDocument/2006/relationships/hyperlink" Target="https://login.consultant.ru/link/?req=doc&amp;base=LAW&amp;n=469774&amp;dst=3704" TargetMode = "External"/>
	<Relationship Id="rId33" Type="http://schemas.openxmlformats.org/officeDocument/2006/relationships/hyperlink" Target="https://login.consultant.ru/link/?req=doc&amp;base=LAW&amp;n=469774&amp;dst=3722" TargetMode = "External"/>
	<Relationship Id="rId34" Type="http://schemas.openxmlformats.org/officeDocument/2006/relationships/hyperlink" Target="https://login.consultant.ru/link/?req=doc&amp;base=LAW&amp;n=400478" TargetMode = "External"/>
	<Relationship Id="rId35" Type="http://schemas.openxmlformats.org/officeDocument/2006/relationships/hyperlink" Target="https://login.consultant.ru/link/?req=doc&amp;base=LAW&amp;n=469774&amp;dst=3704" TargetMode = "External"/>
	<Relationship Id="rId36" Type="http://schemas.openxmlformats.org/officeDocument/2006/relationships/hyperlink" Target="https://login.consultant.ru/link/?req=doc&amp;base=LAW&amp;n=469774&amp;dst=3722" TargetMode = "External"/>
	<Relationship Id="rId37" Type="http://schemas.openxmlformats.org/officeDocument/2006/relationships/hyperlink" Target="https://login.consultant.ru/link/?req=doc&amp;base=LAW&amp;n=489890" TargetMode = "External"/>
	<Relationship Id="rId38" Type="http://schemas.openxmlformats.org/officeDocument/2006/relationships/hyperlink" Target="https://login.consultant.ru/link/?req=doc&amp;base=LAW&amp;n=491114" TargetMode = "External"/>
	<Relationship Id="rId39" Type="http://schemas.openxmlformats.org/officeDocument/2006/relationships/hyperlink" Target="http://futureagency.krskstate.ru" TargetMode = "External"/>
	<Relationship Id="rId40" Type="http://schemas.openxmlformats.org/officeDocument/2006/relationships/hyperlink" Target="https://login.consultant.ru/link/?req=doc&amp;base=LAW&amp;n=482686&amp;dst=10027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Красноярского края от 28.06.2024 N 464-п
"Об утверждении Порядка предоставления грантов в форме субсидий некоммерческим организациям на обеспечение деятельности ресурсных центров поддержки добровольчества (волонтерства), социально ориентированных некоммерческих организаций и проведения отбора получателей указанных грантов в форме субсидий"</dc:title>
  <dcterms:created xsi:type="dcterms:W3CDTF">2024-12-29T07:07:18Z</dcterms:created>
</cp:coreProperties>
</file>