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Курской области от 11.01.2021 N 1-пг</w:t>
              <w:br/>
              <w:t xml:space="preserve">(ред. от 01.11.2022)</w:t>
              <w:br/>
              <w:t xml:space="preserve">"Об утверждении Положения о согласовании и утверждении Губернатором Курской области уставов казачьих обществ, создаваемых (действующих) на территории Курской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января 2021 г. N 1-пг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ГУБЕРНАТОРОМ КУРСКОЙ ОБЛАСТИ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КУРСКОЙ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Курской области от 01.11.2022 N 322-пг &quot;О внесении изменения в постановление Губернатора Курской области от 11.01.2021 N 1-пг &quot;Об утверждении Положения о согласовании и утверждении Губернатором Курской области уставов казачьих обществ, создаваемых (действующих) на территории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01.11.2022 N 322-пг)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казачества", </w:t>
      </w:r>
      <w:hyperlink w:history="0" r:id="rId9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10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06.04.2020 N 45 "Об утверждении Типового положения о согласовании и утверждении уставов казачьих обществ"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Губернатором Курской области уставов казачьих обществ, создаваемых (действующих)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Курской области разработать и утвердить положения о согласовании и утверждении уставов казачьих обществ в соответствии с </w:t>
      </w:r>
      <w:hyperlink w:history="0" r:id="rId11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казачества", </w:t>
      </w:r>
      <w:hyperlink w:history="0" r:id="rId12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13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06.04.2020 N 45 "Об утверждении Типового положения о согласовании и утверждении уставов казачьих обществ".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14" w:tooltip="Постановление Губернатора Курской области от 01.11.2022 N 322-пг &quot;О внесении изменения в постановление Губернатора Курской области от 11.01.2021 N 1-пг &quot;Об утверждении Положения о согласовании и утверждении Губернатором Курской области уставов казачьих обществ, создаваемых (действующих) на территории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Курской области от 01.11.2022 N 322-пг.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11 января 2021 г. N 1-пг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ГУБЕРНАТОРОМ КУРСКОЙ ОБЛАСТИ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СОЗДАВАЕМЫХ (ДЕЙСТВУЮЩИХ)</w:t>
      </w:r>
    </w:p>
    <w:p>
      <w:pPr>
        <w:pStyle w:val="2"/>
        <w:jc w:val="center"/>
      </w:pPr>
      <w:r>
        <w:rPr>
          <w:sz w:val="20"/>
        </w:rPr>
        <w:t xml:space="preserve">НА ТЕРРИТОРИИ КУРСКОЙ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согласования Губернатором Курской области уставов казачьих обществ, указанных в </w:t>
      </w:r>
      <w:hyperlink w:history="0" r:id="rId15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r:id="rId16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 июня 1992 года N 632), сроки и порядок их представления и рассмотрения, порядок принятия решений о согласовании уставов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утверждения Губернатором Курской области уставов казачьих обществ, указанных в </w:t>
      </w:r>
      <w:hyperlink w:history="0" r:id="rId17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, </w:t>
      </w:r>
      <w:hyperlink w:history="0" r:id="rId18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Президента Российской Федерации от 15 июня 1992 года N 632, сроки и порядок их представления и рассмотрения, порядок принятия решений об утверждении уставов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Курской области согласовывает: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территориях двух и более субъектов Российской Федерации, одним из которых является Курская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войсковых казачьих обществ, осуществляющих деятельность на территориях двух и более субъектов Российской Федерации, одним из которых является Курская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Распоряжением Губернатора Курской области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городских округов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Согласование уставов казачьих обществ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 в новой редакции.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2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Курской области. В последующем к представлению о согласовании устава казачьего общества Губернатором Курской области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региональной безопасности Курской области обеспечивает рассмотрение документов, предусмотренных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принятие Губернатором Курской области по ним решения в течение 14 календарных дней со дня поступления в Администрацию Курской области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Принятие решения о согласовании либо об отказе в согласовании устава казачьего общества осуществляется Губернатором Курской области в течение срока, указанного в </w:t>
      </w:r>
      <w:hyperlink w:history="0" w:anchor="P58" w:tooltip="8. Комитет региональной безопасности Курской области обеспечивает рассмотрение документов, предусмотренных пунктами 5 и 6 настоящего Положения, и принятие Губернатором Курской области по ним решения в течение 14 календарных дней со дня поступления в Администрацию Курской области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Положения. О принятом решении Губернатор Курской области информирует атамана казачьего общества либо уполномоченное лицо в письменной форме в течение 5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согласовании устава казачьего общества либо об отказе в согласовании устава казачьего общества в установленном порядке оформляется служебным письмом, подписанным Губернатором Курской области. В случае принятия решения об отказе в согласовании устава казачьего общества в письме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непредоставление или предоставление неполного комплекта документов, предусмотренных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предоставленных документах недостоверных или неполных сведений.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непредоставление или предоставление неполного комплекта документов, предусмотренных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предоставленных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Отказ в согласовании устава казачьего общества не является препятствием для повторного направления Губернатору Курской области представления о согласовании устава казачьего общества и документов, предусмотренных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 согласовании устава казачьего общества и документов, предусмотренных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56" w:tooltip="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Курской области. В последующем к представлению о согласовании устава казачьего общества Губернатором Курской област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65" w:tooltip="12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48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2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Кур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не ограничено.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Утверждение уставов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городских округов Курской области, осуществляется после их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Курской области).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Утверждение уставов окружных (отдельских) казачьих обществ, создаваемых (действующих) на территории Курской области, осуществляется после его согласования с атаманом войскового казачьего общества (если войсковое казачье общество осуществляет деятельность на территории Курской области).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72" w:tooltip="14. Утверждение уставов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городских округов Курской области, осуществляется после их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Курской области).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 и </w:t>
      </w:r>
      <w:hyperlink w:history="0" w:anchor="P73" w:tooltip="15. Утверждение уставов окружных (отдельских) казачьих обществ, создаваемых (действующих) на территории Курской области, осуществляется после его согласования с атаманом войскового казачьего общества (если войсковое казачье общество осуществляет деятельность на территории Курской област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72" w:tooltip="14. Утверждение уставов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городских округов Курской области, осуществляется после их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Курской области).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 и </w:t>
      </w:r>
      <w:hyperlink w:history="0" w:anchor="P73" w:tooltip="15. Утверждение уставов окружных (отдельских) казачьих обществ, создаваемых (действующих) на территории Курской области, осуществляется после его согласования с атаманом войскового казачьего общества (если войсковое казачье общество осуществляет деятельность на территории Курской област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Указанные в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региональной безопасности Курской области обеспечивает рассмотрение документов, предусмотренных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и принятие Губернатором Курской области решения по ним в течение 30 календарных дней со дня поступления в Администрацию Курской области указанных документов.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Принятие решения об утверждении либо об отказе в утверждении устава казачьего общества осуществляется Губернатором Курской области в течение срока, указанного в </w:t>
      </w:r>
      <w:hyperlink w:history="0" w:anchor="P85" w:tooltip="19. Комитет региональной безопасности Курской области обеспечивает рассмотрение документов, предусмотренных пунктами 16 и 17 настоящего Положения, и принятие Губернатором Курской области решения по ним в течение 30 календарных дней со дня поступления в Администрацию Курской области указанных документов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Положения. О принятом решении Губернатор Курской области уведомляет атамана казачьего общества либо уполномоченное лицо в письменной форме в течение срока, указанного в </w:t>
      </w:r>
      <w:hyperlink w:history="0" w:anchor="P85" w:tooltip="19. Комитет региональной безопасности Курской области обеспечивает рассмотрение документов, предусмотренных пунктами 16 и 17 настоящего Положения, и принятие Губернатором Курской области решения по ним в течение 30 календарных дней со дня поступления в Администрацию Курской области указанных документов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об утверждении устава казачьего общества в установленном порядке оформляется распоряжением Губернатора Курской области. Копия данного распоряжения направляется атаману казачьего общества либо уполномоченному лицу одновременно с уведомлением, указанным в </w:t>
      </w:r>
      <w:hyperlink w:history="0" w:anchor="P86" w:tooltip="20. Принятие решения об утверждении либо об отказе в утверждении устава казачьего общества осуществляется Губернатором Курской области в течение срока, указанного в пункте 19 настоящего Положения. О принятом решении Губернатор Курской области уведомляет атамана казачьего общества либо уполномоченное лицо в письменной форме в течение срока, указанного в пункте 19 настоящего Положения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непредоставление или предоставление неполного комплекта документов, предусмотренных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предоставленных документах недостоверных или неполных сведений.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3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непредоставление или предоставление неполного комплекта документов, предусмотренных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Отказ в утверждении устава казачьего общества не является препятствием для повторного направления Губернатору Курской области представления об утверждении устава казачьего общества и документов, предусмотренных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об утверждении устава казачьего общества и документов, предусмотренных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84" w:tooltip="18. Указанные в пунктах 16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93" w:tooltip="24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74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79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Кур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Курской области от 11.01.2021 N 1-пг</w:t>
            <w:br/>
            <w:t>(ред. от 01.11.2022)</w:t>
            <w:br/>
            <w:t>"Об утверждении Положения о согласов...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54911FEE345DDF9F4C1701377D4D50AFE54F33C3AB88DE56F9EF6254FE55A380F706DC95AB305EB5170333E7CE41A5C2BCAF3C78586E85CA52A709L9b8J" TargetMode = "External"/>
	<Relationship Id="rId8" Type="http://schemas.openxmlformats.org/officeDocument/2006/relationships/hyperlink" Target="consultantplus://offline/ref=2754911FEE345DDF9F4C090C2111175CACED1037C4A3878E0BA8E9350BAE53F6C0B7008BDFE4690EF1420E32E2DB14F698EBA23FL7bBJ" TargetMode = "External"/>
	<Relationship Id="rId9" Type="http://schemas.openxmlformats.org/officeDocument/2006/relationships/hyperlink" Target="consultantplus://offline/ref=2754911FEE345DDF9F4C090C2111175CABE9173ECAAC878E0BA8E9350BAE53F6D2B75885D7EE235EB7090133E1LCb7J" TargetMode = "External"/>
	<Relationship Id="rId10" Type="http://schemas.openxmlformats.org/officeDocument/2006/relationships/hyperlink" Target="consultantplus://offline/ref=2754911FEE345DDF9F4C090C2111175CABEB193FC6AC878E0BA8E9350BAE53F6D2B75885D7EE235EB7090133E1LCb7J" TargetMode = "External"/>
	<Relationship Id="rId11" Type="http://schemas.openxmlformats.org/officeDocument/2006/relationships/hyperlink" Target="consultantplus://offline/ref=2754911FEE345DDF9F4C090C2111175CACED1037C4A3878E0BA8E9350BAE53F6C0B7008BDFE4690EF1420E32E2DB14F698EBA23FL7bBJ" TargetMode = "External"/>
	<Relationship Id="rId12" Type="http://schemas.openxmlformats.org/officeDocument/2006/relationships/hyperlink" Target="consultantplus://offline/ref=2754911FEE345DDF9F4C090C2111175CABE9173ECAAC878E0BA8E9350BAE53F6D2B75885D7EE235EB7090133E1LCb7J" TargetMode = "External"/>
	<Relationship Id="rId13" Type="http://schemas.openxmlformats.org/officeDocument/2006/relationships/hyperlink" Target="consultantplus://offline/ref=2754911FEE345DDF9F4C090C2111175CABEB193FC6AC878E0BA8E9350BAE53F6D2B75885D7EE235EB7090133E1LCb7J" TargetMode = "External"/>
	<Relationship Id="rId14" Type="http://schemas.openxmlformats.org/officeDocument/2006/relationships/hyperlink" Target="consultantplus://offline/ref=2754911FEE345DDF9F4C1701377D4D50AFE54F33C3AB88DE56F9EF6254FE55A380F706DC95AB305EB5170333E6CE41A5C2BCAF3C78586E85CA52A709L9b8J" TargetMode = "External"/>
	<Relationship Id="rId15" Type="http://schemas.openxmlformats.org/officeDocument/2006/relationships/hyperlink" Target="consultantplus://offline/ref=2754911FEE345DDF9F4C090C2111175CABE9173ECAAC878E0BA8E9350BAE53F6C0B70089D6EF3D5AB01C5762A79018F587F7A33F67446F85LDb6J" TargetMode = "External"/>
	<Relationship Id="rId16" Type="http://schemas.openxmlformats.org/officeDocument/2006/relationships/hyperlink" Target="consultantplus://offline/ref=2754911FEE345DDF9F4C090C2111175CABE9173ECAAC878E0BA8E9350BAE53F6C0B70089D6EF3D5AB31C5762A79018F587F7A33F67446F85LDb6J" TargetMode = "External"/>
	<Relationship Id="rId17" Type="http://schemas.openxmlformats.org/officeDocument/2006/relationships/hyperlink" Target="consultantplus://offline/ref=2754911FEE345DDF9F4C090C2111175CABE9173ECAAC878E0BA8E9350BAE53F6C0B70089D6EF3D5AB61C5762A79018F587F7A33F67446F85LDb6J" TargetMode = "External"/>
	<Relationship Id="rId18" Type="http://schemas.openxmlformats.org/officeDocument/2006/relationships/hyperlink" Target="consultantplus://offline/ref=2754911FEE345DDF9F4C090C2111175CABE9173ECAAC878E0BA8E9350BAE53F6C0B70089D6EF3D5AB11C5762A79018F587F7A33F67446F85LDb6J" TargetMode = "External"/>
	<Relationship Id="rId19" Type="http://schemas.openxmlformats.org/officeDocument/2006/relationships/hyperlink" Target="consultantplus://offline/ref=2754911FEE345DDF9F4C090C2111175CACEF1139C2AD878E0BA8E9350BAE53F6C0B70089D6EF3F59B11C5762A79018F587F7A33F67446F85LDb6J" TargetMode = "External"/>
	<Relationship Id="rId20" Type="http://schemas.openxmlformats.org/officeDocument/2006/relationships/hyperlink" Target="consultantplus://offline/ref=2754911FEE345DDF9F4C090C2111175CACEF1139C2AD878E0BA8E9350BAE53F6C0B7008CD7EE360BE453563EE2C40BF584F7A03D7BL4b4J" TargetMode = "External"/>
	<Relationship Id="rId21" Type="http://schemas.openxmlformats.org/officeDocument/2006/relationships/hyperlink" Target="consultantplus://offline/ref=2754911FEE345DDF9F4C090C2111175CACEF1139C2AD878E0BA8E9350BAE53F6C0B70089D6EF3F59B11C5762A79018F587F7A33F67446F85LDb6J" TargetMode = "External"/>
	<Relationship Id="rId22" Type="http://schemas.openxmlformats.org/officeDocument/2006/relationships/hyperlink" Target="consultantplus://offline/ref=2754911FEE345DDF9F4C090C2111175CACEF1139C2AD878E0BA8E9350BAE53F6C0B7008CD7EE360BE453563EE2C40BF584F7A03D7BL4b4J" TargetMode = "External"/>
	<Relationship Id="rId23" Type="http://schemas.openxmlformats.org/officeDocument/2006/relationships/hyperlink" Target="consultantplus://offline/ref=2754911FEE345DDF9F4C090C2111175CACEF1139C2AD878E0BA8E9350BAE53F6C0B70089D6EF3F59B11C5762A79018F587F7A33F67446F85LDb6J" TargetMode = "External"/>
	<Relationship Id="rId24" Type="http://schemas.openxmlformats.org/officeDocument/2006/relationships/hyperlink" Target="consultantplus://offline/ref=2754911FEE345DDF9F4C090C2111175CACEF1139C2AD878E0BA8E9350BAE53F6C0B7008CD7EE360BE453563EE2C40BF584F7A03D7BL4b4J" TargetMode = "External"/>
	<Relationship Id="rId25" Type="http://schemas.openxmlformats.org/officeDocument/2006/relationships/hyperlink" Target="consultantplus://offline/ref=2754911FEE345DDF9F4C090C2111175CACEF1139C2AD878E0BA8E9350BAE53F6C0B70089D6EF3F59B11C5762A79018F587F7A33F67446F85LDb6J" TargetMode = "External"/>
	<Relationship Id="rId26" Type="http://schemas.openxmlformats.org/officeDocument/2006/relationships/hyperlink" Target="consultantplus://offline/ref=2754911FEE345DDF9F4C090C2111175CACEF1139C2AD878E0BA8E9350BAE53F6C0B7008CD7EE360BE453563EE2C40BF584F7A03D7BL4b4J" TargetMode = "External"/>
	<Relationship Id="rId27" Type="http://schemas.openxmlformats.org/officeDocument/2006/relationships/hyperlink" Target="consultantplus://offline/ref=2754911FEE345DDF9F4C090C2111175CACEF1139C2AD878E0BA8E9350BAE53F6C0B70089D6EF3F59B11C5762A79018F587F7A33F67446F85LDb6J" TargetMode = "External"/>
	<Relationship Id="rId28" Type="http://schemas.openxmlformats.org/officeDocument/2006/relationships/hyperlink" Target="consultantplus://offline/ref=2754911FEE345DDF9F4C090C2111175CACEF1139C2AD878E0BA8E9350BAE53F6C0B7008CD7EE360BE453563EE2C40BF584F7A03D7BL4b4J" TargetMode = "External"/>
	<Relationship Id="rId29" Type="http://schemas.openxmlformats.org/officeDocument/2006/relationships/hyperlink" Target="consultantplus://offline/ref=2754911FEE345DDF9F4C090C2111175CACEF1139C2AD878E0BA8E9350BAE53F6D2B75885D7EE235EB7090133E1LCb7J" TargetMode = "External"/>
	<Relationship Id="rId30" Type="http://schemas.openxmlformats.org/officeDocument/2006/relationships/hyperlink" Target="consultantplus://offline/ref=2754911FEE345DDF9F4C090C2111175CACEF1139C2AD878E0BA8E9350BAE53F6D2B75885D7EE235EB7090133E1LCb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Курской области от 11.01.2021 N 1-пг
(ред. от 01.11.2022)
"Об утверждении Положения о согласовании и утверждении Губернатором Курской области уставов казачьих обществ, создаваемых (действующих) на территории Курской области"</dc:title>
  <dcterms:created xsi:type="dcterms:W3CDTF">2022-12-11T09:27:11Z</dcterms:created>
</cp:coreProperties>
</file>