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экономического развития Липецкой обл. от 30.09.2025 N 127</w:t>
              <w:br/>
              <w:t xml:space="preserve">"Об утверждении Порядка предоставления субсидий социально ориентированным некоммерческим организациям на реализацию проектов, направленных на развитие детского (подросткового) туризма"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ЭКОНОМИЧЕСКОГО РАЗВИТИЯ</w:t>
      </w:r>
    </w:p>
    <w:p>
      <w:pPr>
        <w:pStyle w:val="2"/>
        <w:jc w:val="center"/>
      </w:pPr>
      <w:r>
        <w:rPr>
          <w:sz w:val="20"/>
        </w:rPr>
        <w:t xml:space="preserve">ЛИПЕЦКОЙ ОБЛАСТИ</w:t>
      </w:r>
    </w:p>
    <w:p>
      <w:pPr>
        <w:pStyle w:val="2"/>
        <w:ind w:firstLine="540"/>
        <w:jc w:val="both"/>
      </w:pPr>
      <w:r>
        <w:rPr>
          <w:sz w:val="20"/>
        </w:rPr>
      </w:r>
    </w:p>
    <w:p>
      <w:pPr>
        <w:pStyle w:val="2"/>
        <w:jc w:val="center"/>
      </w:pPr>
      <w:r>
        <w:rPr>
          <w:sz w:val="20"/>
        </w:rPr>
        <w:t xml:space="preserve">ПРИКАЗ</w:t>
      </w:r>
    </w:p>
    <w:p>
      <w:pPr>
        <w:pStyle w:val="2"/>
        <w:jc w:val="center"/>
      </w:pPr>
      <w:r>
        <w:rPr>
          <w:sz w:val="20"/>
        </w:rPr>
        <w:t xml:space="preserve">от 30 сентября 2025 г. N 127</w:t>
      </w:r>
    </w:p>
    <w:p>
      <w:pPr>
        <w:pStyle w:val="2"/>
        <w:jc w:val="center"/>
      </w:pPr>
      <w:r>
        <w:rPr>
          <w:sz w:val="20"/>
        </w:rPr>
      </w:r>
    </w:p>
    <w:p>
      <w:pPr>
        <w:pStyle w:val="2"/>
        <w:jc w:val="center"/>
      </w:pPr>
      <w:r>
        <w:rPr>
          <w:sz w:val="20"/>
        </w:rPr>
        <w:t xml:space="preserve">ОБ УТВЕРЖДЕНИИ ПОРЯДКА ПРЕДОСТАВЛЕНИЯ СУБСИДИЙ СОЦИАЛЬНО</w:t>
      </w:r>
    </w:p>
    <w:p>
      <w:pPr>
        <w:pStyle w:val="2"/>
        <w:jc w:val="center"/>
      </w:pPr>
      <w:r>
        <w:rPr>
          <w:sz w:val="20"/>
        </w:rPr>
        <w:t xml:space="preserve">ОРИЕНТИРОВАННЫМ НЕКОММЕРЧЕСКИМ ОРГАНИЗАЦИЯМ НА РЕАЛИЗАЦИЮ</w:t>
      </w:r>
    </w:p>
    <w:p>
      <w:pPr>
        <w:pStyle w:val="2"/>
        <w:jc w:val="center"/>
      </w:pPr>
      <w:r>
        <w:rPr>
          <w:sz w:val="20"/>
        </w:rPr>
        <w:t xml:space="preserve">ПРОЕКТОВ, НАПРАВЛЕННЫХ НА РАЗВИТИЕ ДЕТСКОГО</w:t>
      </w:r>
    </w:p>
    <w:p>
      <w:pPr>
        <w:pStyle w:val="2"/>
        <w:jc w:val="center"/>
      </w:pPr>
      <w:r>
        <w:rPr>
          <w:sz w:val="20"/>
        </w:rPr>
        <w:t xml:space="preserve">(ПОДРОСТКОВОГО) ТУРИЗМА</w:t>
      </w:r>
    </w:p>
    <w:p>
      <w:pPr>
        <w:pStyle w:val="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Липецкой обл. от 25.04.2023 N 207 (ред. от 18.04.2025) &quot;Об исполнительных органах Липецкой области и структурных подразделениях Правительства Липецкой области, имеющих статус юридического лица, уполномоченных на утверждение нормативных правовых актов о предоставлении субсидий&quot; {КонсультантПлюс}">
        <w:r>
          <w:rPr>
            <w:sz w:val="20"/>
            <w:color w:val="0000ff"/>
          </w:rPr>
          <w:t xml:space="preserve">постановлением</w:t>
        </w:r>
      </w:hyperlink>
      <w:r>
        <w:rPr>
          <w:sz w:val="20"/>
        </w:rPr>
        <w:t xml:space="preserve"> Правительства Липецкой области от 25 апреля 2023 года N 207 "Об исполнительных органах Липецкой области и структурных подразделениях Правительства Липецкой области, имеющих статус юридического лица, уполномоченных на утверждение нормативных правовых актов о предоставлении субсидий" и в целях реализации мероприятий государственной </w:t>
      </w:r>
      <w:hyperlink w:history="0" r:id="rId10" w:tooltip="Постановление Правительства Липецкой обл. от 27.12.2023 N 794 (ред. от 27.11.2025) &quot;Об утверждении государственной программы Липецкой области &quot;Развитие культуры и туризма в Липецкой области&quot; {КонсультантПлюс}">
        <w:r>
          <w:rPr>
            <w:sz w:val="20"/>
            <w:color w:val="0000ff"/>
          </w:rPr>
          <w:t xml:space="preserve">программы</w:t>
        </w:r>
      </w:hyperlink>
      <w:r>
        <w:rPr>
          <w:sz w:val="20"/>
        </w:rPr>
        <w:t xml:space="preserve"> Липецкой области "Развитие культуры и туризма в Липецкой области", утвержденной постановлением Правительства Липецкой области от 27 декабря 2023 года N 794 "Об утверждении государственной программы Липецкой области "Развитие культуры и туризма в Липецкой области", приказываю:</w:t>
      </w:r>
    </w:p>
    <w:p>
      <w:pPr>
        <w:pStyle w:val="0"/>
        <w:spacing w:before="200" w:lineRule="auto"/>
        <w:ind w:firstLine="540"/>
        <w:jc w:val="both"/>
      </w:pPr>
      <w:r>
        <w:rPr>
          <w:sz w:val="20"/>
        </w:rPr>
        <w:t xml:space="preserve">1. Утвердить </w:t>
      </w:r>
      <w:hyperlink w:history="0" w:anchor="P37" w:tooltip="ПОРЯДОК">
        <w:r>
          <w:rPr>
            <w:sz w:val="20"/>
            <w:color w:val="0000ff"/>
          </w:rPr>
          <w:t xml:space="preserve">Порядок</w:t>
        </w:r>
      </w:hyperlink>
      <w:r>
        <w:rPr>
          <w:sz w:val="20"/>
        </w:rPr>
        <w:t xml:space="preserve"> предоставления субсидий социально ориентированным некоммерческим организациям на реализацию проектов, направленных на развитие детского (подросткового) туризма, согласно приложению.</w:t>
      </w:r>
    </w:p>
    <w:p>
      <w:pPr>
        <w:pStyle w:val="0"/>
        <w:spacing w:before="200" w:lineRule="auto"/>
        <w:ind w:firstLine="540"/>
        <w:jc w:val="both"/>
      </w:pPr>
      <w:r>
        <w:rPr>
          <w:sz w:val="20"/>
        </w:rPr>
        <w:t xml:space="preserve">2. Контроль за выполнением данного приказа возложить на первого заместителя министра экономического развития А.Н. Герасимова.</w:t>
      </w:r>
    </w:p>
    <w:p>
      <w:pPr>
        <w:pStyle w:val="0"/>
        <w:spacing w:before="200" w:lineRule="auto"/>
        <w:ind w:firstLine="540"/>
        <w:jc w:val="both"/>
      </w:pPr>
      <w:r>
        <w:rPr>
          <w:sz w:val="20"/>
        </w:rPr>
        <w:t xml:space="preserve">3. Отделу развития туризма обеспечить опубликование настоящего приказа в газете "Липецкая газета", на официальном интернет-портале правовой информации (</w:t>
      </w:r>
      <w:hyperlink w:history="0" r:id="rId11">
        <w:r>
          <w:rPr>
            <w:sz w:val="20"/>
            <w:color w:val="0000ff"/>
          </w:rPr>
          <w:t xml:space="preserve">www.pravo.gov.ru</w:t>
        </w:r>
      </w:hyperlink>
      <w:r>
        <w:rPr>
          <w:sz w:val="20"/>
        </w:rPr>
        <w:t xml:space="preserve">) и размещение на официальном сайте министерства экономического развития Липецкой области </w:t>
      </w:r>
      <w:hyperlink w:history="0" r:id="rId12">
        <w:r>
          <w:rPr>
            <w:sz w:val="20"/>
            <w:color w:val="0000ff"/>
          </w:rPr>
          <w:t xml:space="preserve">http://экономика.липецкаяобласть.рф</w:t>
        </w:r>
      </w:hyperlink>
      <w:r>
        <w:rPr>
          <w:sz w:val="20"/>
        </w:rPr>
        <w:t xml:space="preserve"> в информационно-телекоммуникационной сети "Интернет".</w:t>
      </w:r>
    </w:p>
    <w:p>
      <w:pPr>
        <w:pStyle w:val="0"/>
        <w:jc w:val="both"/>
      </w:pPr>
      <w:r>
        <w:rPr>
          <w:sz w:val="20"/>
        </w:rPr>
      </w:r>
    </w:p>
    <w:p>
      <w:pPr>
        <w:pStyle w:val="0"/>
        <w:jc w:val="right"/>
      </w:pPr>
      <w:r>
        <w:rPr>
          <w:sz w:val="20"/>
        </w:rPr>
        <w:t xml:space="preserve">Министр</w:t>
      </w:r>
    </w:p>
    <w:p>
      <w:pPr>
        <w:pStyle w:val="0"/>
        <w:jc w:val="right"/>
      </w:pPr>
      <w:r>
        <w:rPr>
          <w:sz w:val="20"/>
        </w:rPr>
        <w:t xml:space="preserve">Л.В.ШИБИНА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министерства экономического</w:t>
      </w:r>
    </w:p>
    <w:p>
      <w:pPr>
        <w:pStyle w:val="0"/>
        <w:jc w:val="right"/>
      </w:pPr>
      <w:r>
        <w:rPr>
          <w:sz w:val="20"/>
        </w:rPr>
        <w:t xml:space="preserve">развития Липецкой области</w:t>
      </w:r>
    </w:p>
    <w:p>
      <w:pPr>
        <w:pStyle w:val="0"/>
        <w:jc w:val="right"/>
      </w:pPr>
      <w:r>
        <w:rPr>
          <w:sz w:val="20"/>
        </w:rPr>
        <w:t xml:space="preserve">"Об утверждении Порядка</w:t>
      </w:r>
    </w:p>
    <w:p>
      <w:pPr>
        <w:pStyle w:val="0"/>
        <w:jc w:val="right"/>
      </w:pPr>
      <w:r>
        <w:rPr>
          <w:sz w:val="20"/>
        </w:rPr>
        <w:t xml:space="preserve">предоставления субсидий</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реализацию проектов,</w:t>
      </w:r>
    </w:p>
    <w:p>
      <w:pPr>
        <w:pStyle w:val="0"/>
        <w:jc w:val="right"/>
      </w:pPr>
      <w:r>
        <w:rPr>
          <w:sz w:val="20"/>
        </w:rPr>
        <w:t xml:space="preserve">направленных на развитие</w:t>
      </w:r>
    </w:p>
    <w:p>
      <w:pPr>
        <w:pStyle w:val="0"/>
        <w:jc w:val="right"/>
      </w:pPr>
      <w:r>
        <w:rPr>
          <w:sz w:val="20"/>
        </w:rPr>
        <w:t xml:space="preserve">детского (подросткового)</w:t>
      </w:r>
    </w:p>
    <w:p>
      <w:pPr>
        <w:pStyle w:val="0"/>
        <w:jc w:val="right"/>
      </w:pPr>
      <w:r>
        <w:rPr>
          <w:sz w:val="20"/>
        </w:rPr>
        <w:t xml:space="preserve">туризма"</w:t>
      </w:r>
    </w:p>
    <w:p>
      <w:pPr>
        <w:pStyle w:val="0"/>
        <w:jc w:val="both"/>
      </w:pPr>
      <w:r>
        <w:rPr>
          <w:sz w:val="20"/>
        </w:rPr>
      </w:r>
    </w:p>
    <w:bookmarkStart w:id="37" w:name="P37"/>
    <w:bookmarkEnd w:id="37"/>
    <w:p>
      <w:pPr>
        <w:pStyle w:val="2"/>
        <w:jc w:val="center"/>
      </w:pPr>
      <w:r>
        <w:rPr>
          <w:sz w:val="20"/>
        </w:rPr>
        <w:t xml:space="preserve">ПОРЯДОК</w:t>
      </w:r>
    </w:p>
    <w:p>
      <w:pPr>
        <w:pStyle w:val="2"/>
        <w:jc w:val="center"/>
      </w:pPr>
      <w:r>
        <w:rPr>
          <w:sz w:val="20"/>
        </w:rPr>
        <w:t xml:space="preserve">ПРЕДОСТАВЛЕНИЯ СУБСИДИЙ СОЦИАЛЬНО ОРИЕНТИРОВАННЫМ</w:t>
      </w:r>
    </w:p>
    <w:p>
      <w:pPr>
        <w:pStyle w:val="2"/>
        <w:jc w:val="center"/>
      </w:pPr>
      <w:r>
        <w:rPr>
          <w:sz w:val="20"/>
        </w:rPr>
        <w:t xml:space="preserve">НЕКОММЕРЧЕСКИМ ОРГАНИЗАЦИЯМ НА РЕАЛИЗАЦИЮ ПРОЕКТОВ,</w:t>
      </w:r>
    </w:p>
    <w:p>
      <w:pPr>
        <w:pStyle w:val="2"/>
        <w:jc w:val="center"/>
      </w:pPr>
      <w:r>
        <w:rPr>
          <w:sz w:val="20"/>
        </w:rPr>
        <w:t xml:space="preserve">НАПРАВЛЕННЫХ НА РАЗВИТИЕ ДЕТСКОГО (ПОДРОСТКОВОГО) ТУРИЗМА</w:t>
      </w:r>
    </w:p>
    <w:p>
      <w:pPr>
        <w:pStyle w:val="0"/>
        <w:jc w:val="both"/>
      </w:pPr>
      <w:r>
        <w:rPr>
          <w:sz w:val="20"/>
        </w:rPr>
      </w:r>
    </w:p>
    <w:p>
      <w:pPr>
        <w:pStyle w:val="0"/>
        <w:ind w:firstLine="540"/>
        <w:jc w:val="both"/>
      </w:pPr>
      <w:r>
        <w:rPr>
          <w:sz w:val="20"/>
        </w:rPr>
        <w:t xml:space="preserve">1. Настоящий Порядок устанавливает механизм предоставления из областного бюджета субсидий социально ориентированным некоммерческим организациям на реализацию проектов, направленных на развитие детского (подросткового) туризма (далее - субсидия), в пределах средств, предусмотренных на эти цели в Законе Липецкой области об областном бюджете на соответствующий финансовый год и плановый период (далее - Закон об областном бюджете), и проведения отбора получателей указанной субсидии (далее - отбор).</w:t>
      </w:r>
    </w:p>
    <w:bookmarkStart w:id="43" w:name="P43"/>
    <w:bookmarkEnd w:id="43"/>
    <w:p>
      <w:pPr>
        <w:pStyle w:val="0"/>
        <w:spacing w:before="200" w:lineRule="auto"/>
        <w:ind w:firstLine="540"/>
        <w:jc w:val="both"/>
      </w:pPr>
      <w:r>
        <w:rPr>
          <w:sz w:val="20"/>
        </w:rPr>
        <w:t xml:space="preserve">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"Развитие туризма в Липецкой области" государственной </w:t>
      </w:r>
      <w:hyperlink w:history="0" r:id="rId13" w:tooltip="Постановление Правительства Липецкой обл. от 27.12.2023 N 794 (ред. от 27.11.2025) &quot;Об утверждении государственной программы Липецкой области &quot;Развитие культуры и туризма в Липецкой области&quot; {КонсультантПлюс}">
        <w:r>
          <w:rPr>
            <w:sz w:val="20"/>
            <w:color w:val="0000ff"/>
          </w:rPr>
          <w:t xml:space="preserve">программы</w:t>
        </w:r>
      </w:hyperlink>
      <w:r>
        <w:rPr>
          <w:sz w:val="20"/>
        </w:rPr>
        <w:t xml:space="preserve"> "Развитие культуры и туризма в Липецкой области", утвержденной постановлением Правительства Липецкой области от 27 декабря 2023 года N 794 "Об утверждении государственной программы Липецкой области "Развитие культуры и туризма в Липецкой области".</w:t>
      </w:r>
    </w:p>
    <w:p>
      <w:pPr>
        <w:pStyle w:val="0"/>
        <w:spacing w:before="200" w:lineRule="auto"/>
        <w:ind w:firstLine="540"/>
        <w:jc w:val="both"/>
      </w:pPr>
      <w:r>
        <w:rPr>
          <w:sz w:val="20"/>
        </w:rPr>
        <w:t xml:space="preserve">3. Субсидия предоставляется министерством экономического развития Липецкой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(далее - Министерство), в соответствии с Законом об областном бюджете.</w:t>
      </w:r>
    </w:p>
    <w:p>
      <w:pPr>
        <w:pStyle w:val="0"/>
        <w:spacing w:before="200" w:lineRule="auto"/>
        <w:ind w:firstLine="540"/>
        <w:jc w:val="both"/>
      </w:pPr>
      <w:r>
        <w:rPr>
          <w:sz w:val="20"/>
        </w:rPr>
        <w:t xml:space="preserve">Субсидия предоставляется в порядке финансового обеспечения затрат.</w:t>
      </w:r>
    </w:p>
    <w:p>
      <w:pPr>
        <w:pStyle w:val="0"/>
        <w:spacing w:before="200" w:lineRule="auto"/>
        <w:ind w:firstLine="540"/>
        <w:jc w:val="both"/>
      </w:pPr>
      <w:r>
        <w:rPr>
          <w:sz w:val="20"/>
        </w:rPr>
        <w:t xml:space="preserve">4. Информация о субсидии размещается на едином портале бюджетной системы Российской Федерации (</w:t>
      </w:r>
      <w:hyperlink w:history="0" r:id="rId14">
        <w:r>
          <w:rPr>
            <w:sz w:val="20"/>
            <w:color w:val="0000ff"/>
          </w:rPr>
          <w:t xml:space="preserve">http://budget.gov.ru</w:t>
        </w:r>
      </w:hyperlink>
      <w:r>
        <w:rPr>
          <w:sz w:val="20"/>
        </w:rPr>
        <w:t xml:space="preserve">) в информационно-телекоммуникационной сети "Интернет" (в разделе единого портала) (далее - единый портал), а также на официальном сайте Министерства (</w:t>
      </w:r>
      <w:hyperlink w:history="0" r:id="rId15">
        <w:r>
          <w:rPr>
            <w:sz w:val="20"/>
            <w:color w:val="0000ff"/>
          </w:rPr>
          <w:t xml:space="preserve">http://экономика.липецкаяобласть.рф/</w:t>
        </w:r>
      </w:hyperlink>
      <w:r>
        <w:rPr>
          <w:sz w:val="20"/>
        </w:rPr>
        <w:t xml:space="preserve">) в информационно-телекоммуникационной сети "Интернет" (далее - сайт Министерства).</w:t>
      </w:r>
    </w:p>
    <w:p>
      <w:pPr>
        <w:pStyle w:val="0"/>
        <w:spacing w:before="200" w:lineRule="auto"/>
        <w:ind w:firstLine="540"/>
        <w:jc w:val="both"/>
      </w:pPr>
      <w:r>
        <w:rPr>
          <w:sz w:val="20"/>
        </w:rPr>
        <w:t xml:space="preserve">5. Субсидия предоставляется социально ориентированным некоммерческим организациям, соответствующим категории, критерию, условиям и требованиям, установленным настоящим Порядком (далее - участник отбора), и прошедшим отбор.</w:t>
      </w:r>
    </w:p>
    <w:p>
      <w:pPr>
        <w:pStyle w:val="0"/>
        <w:spacing w:before="200" w:lineRule="auto"/>
        <w:ind w:firstLine="540"/>
        <w:jc w:val="both"/>
      </w:pPr>
      <w:r>
        <w:rPr>
          <w:sz w:val="20"/>
        </w:rPr>
        <w:t xml:space="preserve">6. Отбор осуществляется Министерством на конкурентной основе способом запроса предложений на основании заявок, направленных участниками отбора для участия в отборе получателей субсидий (далее - заявка), исходя из соответствия участников отбора категории, критерию, требованиям, условиям и очередности поступления заявок.</w:t>
      </w:r>
    </w:p>
    <w:p>
      <w:pPr>
        <w:pStyle w:val="0"/>
        <w:spacing w:before="200" w:lineRule="auto"/>
        <w:ind w:firstLine="540"/>
        <w:jc w:val="both"/>
      </w:pPr>
      <w:r>
        <w:rPr>
          <w:sz w:val="20"/>
        </w:rPr>
        <w:t xml:space="preserve">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w:history="0" r:id="rId16" w:tooltip="Постановление Правительства РФ от 25.10.2023 N 1781 (ред. от 01.11.2025)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 Недействующая редакция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года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p>
    <w:p>
      <w:pPr>
        <w:pStyle w:val="0"/>
        <w:spacing w:before="200" w:lineRule="auto"/>
        <w:ind w:firstLine="540"/>
        <w:jc w:val="both"/>
      </w:pPr>
      <w:r>
        <w:rPr>
          <w:sz w:val="20"/>
        </w:rPr>
        <w:t xml:space="preserve">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Министерство и комиссия по отбору получателей субсидии (далее - комиссия) взаимодействует с участниками отбора в системе "Электронный бюджет" с использованием документов в электронной форме.</w:t>
      </w:r>
    </w:p>
    <w:bookmarkStart w:id="52" w:name="P52"/>
    <w:bookmarkEnd w:id="52"/>
    <w:p>
      <w:pPr>
        <w:pStyle w:val="0"/>
        <w:spacing w:before="200" w:lineRule="auto"/>
        <w:ind w:firstLine="540"/>
        <w:jc w:val="both"/>
      </w:pPr>
      <w:r>
        <w:rPr>
          <w:sz w:val="20"/>
        </w:rPr>
        <w:t xml:space="preserve">7. Участник отбора должен соответствовать следующим требованиям на даты рассмотрения заявки и заключения соглашения о предоставлении субсидии (далее - соглашение):</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w:t>
      </w:r>
      <w:hyperlink w:history="0" r:id="rId1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средства из областного бюджета на основании иных нормативных правовых актов Липецкой области на цели, установленные настоящим Порядком;</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1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отсутствуют просроченная задолженность по возврату в бюджет Липецкой области иных субсидий, бюджетных инвестиций, а также иная просроченная (неурегулированная) задолженность по денежным обязательствам перед Липецкой областью (за исключением случаев, установленных Правительством Липецкой области);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 определенный </w:t>
      </w:r>
      <w:hyperlink w:history="0" r:id="rId1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8. Участники отбора на даты рассмотрения заявки и заключения соглашения должны соответствовать следующим условиям предоставления субсидии:</w:t>
      </w:r>
    </w:p>
    <w:p>
      <w:pPr>
        <w:pStyle w:val="0"/>
        <w:spacing w:before="200" w:lineRule="auto"/>
        <w:ind w:firstLine="540"/>
        <w:jc w:val="both"/>
      </w:pPr>
      <w:r>
        <w:rPr>
          <w:sz w:val="20"/>
        </w:rPr>
        <w:t xml:space="preserve">у участника отбора должна отсутствовать задолженность по заработной плате;</w:t>
      </w:r>
    </w:p>
    <w:p>
      <w:pPr>
        <w:pStyle w:val="0"/>
        <w:spacing w:before="200" w:lineRule="auto"/>
        <w:ind w:firstLine="540"/>
        <w:jc w:val="both"/>
      </w:pPr>
      <w:r>
        <w:rPr>
          <w:sz w:val="20"/>
        </w:rPr>
        <w:t xml:space="preserve">участник отбора осуществляет деятельность на территории Липецкой области не менее одного года;</w:t>
      </w:r>
    </w:p>
    <w:p>
      <w:pPr>
        <w:pStyle w:val="0"/>
        <w:spacing w:before="200" w:lineRule="auto"/>
        <w:ind w:firstLine="540"/>
        <w:jc w:val="both"/>
      </w:pPr>
      <w:r>
        <w:rPr>
          <w:sz w:val="20"/>
        </w:rPr>
        <w:t xml:space="preserve">участнику отбора необходимо наличие опыта в привлечении средств и ресурсов из других источников для реализации социально значимых проектов;</w:t>
      </w:r>
    </w:p>
    <w:p>
      <w:pPr>
        <w:pStyle w:val="0"/>
        <w:spacing w:before="200" w:lineRule="auto"/>
        <w:ind w:firstLine="540"/>
        <w:jc w:val="both"/>
      </w:pPr>
      <w:r>
        <w:rPr>
          <w:sz w:val="20"/>
        </w:rPr>
        <w:t xml:space="preserve">отсутствие в составе учредителей участника отбора на получение субсидии на цели, установленные </w:t>
      </w:r>
      <w:hyperlink w:history="0" w:anchor="P43" w:tooltip="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quot;Развитие туризма в Липецкой области&quot; государственной программы &quot;Развитие культуры и туризма в Липецкой области&quot;, утвержденной постановлением Правительства Липецкой области от 27 декабря 2023 года N 794 &quot;Об утверждении государственной программы Липецкой области &quot;Развитие культуры и туризма в Липецкой области&quot;.">
        <w:r>
          <w:rPr>
            <w:sz w:val="20"/>
            <w:color w:val="0000ff"/>
          </w:rPr>
          <w:t xml:space="preserve">пунктом 2</w:t>
        </w:r>
      </w:hyperlink>
      <w:r>
        <w:rPr>
          <w:sz w:val="20"/>
        </w:rPr>
        <w:t xml:space="preserve"> настоящего Порядка, политической партии, отсутствие в уставе упоминания наименования политической партии, отсутствие фактов передачи участником отбора на получение субсидии на цели, установленные </w:t>
      </w:r>
      <w:hyperlink w:history="0" w:anchor="P43" w:tooltip="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quot;Развитие туризма в Липецкой области&quot; государственной программы &quot;Развитие культуры и туризма в Липецкой области&quot;, утвержденной постановлением Правительства Липецкой области от 27 декабря 2023 года N 794 &quot;Об утверждении государственной программы Липецкой области &quot;Развитие культуры и туризма в Липецкой области&quot;.">
        <w:r>
          <w:rPr>
            <w:sz w:val="20"/>
            <w:color w:val="0000ff"/>
          </w:rPr>
          <w:t xml:space="preserve">пунктом 2</w:t>
        </w:r>
      </w:hyperlink>
      <w:r>
        <w:rPr>
          <w:sz w:val="20"/>
        </w:rPr>
        <w:t xml:space="preserve"> настоящего Порядка, пожертвований политической партии или ее региональному отделению в течение последних трех лет;</w:t>
      </w:r>
    </w:p>
    <w:p>
      <w:pPr>
        <w:pStyle w:val="0"/>
        <w:spacing w:before="200" w:lineRule="auto"/>
        <w:ind w:firstLine="540"/>
        <w:jc w:val="both"/>
      </w:pPr>
      <w:r>
        <w:rPr>
          <w:sz w:val="20"/>
        </w:rPr>
        <w:t xml:space="preserve">участник отбора имеет в штате не менее одного специалиста по работе с детьми (имеющего образование и опыт в соответствующей сфере деятельности);</w:t>
      </w:r>
    </w:p>
    <w:p>
      <w:pPr>
        <w:pStyle w:val="0"/>
        <w:spacing w:before="200" w:lineRule="auto"/>
        <w:ind w:firstLine="540"/>
        <w:jc w:val="both"/>
      </w:pPr>
      <w:r>
        <w:rPr>
          <w:sz w:val="20"/>
        </w:rPr>
        <w:t xml:space="preserve">участник отбора обеспечивает количество участников проекта, предлагаемого к реализации на территории Липецкой области в соответствующем финансовом году, не менее четырехсот человек (без участия сопровождающих лиц).</w:t>
      </w:r>
    </w:p>
    <w:p>
      <w:pPr>
        <w:pStyle w:val="0"/>
        <w:spacing w:before="200" w:lineRule="auto"/>
        <w:ind w:firstLine="540"/>
        <w:jc w:val="both"/>
      </w:pPr>
      <w:r>
        <w:rPr>
          <w:sz w:val="20"/>
        </w:rPr>
        <w:t xml:space="preserve">9. Участник отбора должен соответствовать следующим критериям:</w:t>
      </w:r>
    </w:p>
    <w:p>
      <w:pPr>
        <w:pStyle w:val="0"/>
        <w:spacing w:before="200" w:lineRule="auto"/>
        <w:ind w:firstLine="540"/>
        <w:jc w:val="both"/>
      </w:pPr>
      <w:r>
        <w:rPr>
          <w:sz w:val="20"/>
        </w:rPr>
        <w:t xml:space="preserve">количество реализованных проектов, направленных на развитие детского (подросткового) туризма, в году, предшествующем году предоставления субсидии, - не менее 2.</w:t>
      </w:r>
    </w:p>
    <w:p>
      <w:pPr>
        <w:pStyle w:val="0"/>
        <w:spacing w:before="200" w:lineRule="auto"/>
        <w:ind w:firstLine="540"/>
        <w:jc w:val="both"/>
      </w:pPr>
      <w:r>
        <w:rPr>
          <w:sz w:val="20"/>
        </w:rPr>
        <w:t xml:space="preserve">10. Субсидия подлежит использованию строго в соответствии со следующими направлениями расходов на:</w:t>
      </w:r>
    </w:p>
    <w:p>
      <w:pPr>
        <w:pStyle w:val="0"/>
        <w:spacing w:before="200" w:lineRule="auto"/>
        <w:ind w:firstLine="540"/>
        <w:jc w:val="both"/>
      </w:pPr>
      <w:r>
        <w:rPr>
          <w:sz w:val="20"/>
        </w:rPr>
        <w:t xml:space="preserve">оплату труда работников;</w:t>
      </w:r>
    </w:p>
    <w:p>
      <w:pPr>
        <w:pStyle w:val="0"/>
        <w:spacing w:before="200" w:lineRule="auto"/>
        <w:ind w:firstLine="540"/>
        <w:jc w:val="both"/>
      </w:pPr>
      <w:r>
        <w:rPr>
          <w:sz w:val="20"/>
        </w:rPr>
        <w:t xml:space="preserve">оплату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экскурсионные услуги;</w:t>
      </w:r>
    </w:p>
    <w:p>
      <w:pPr>
        <w:pStyle w:val="0"/>
        <w:spacing w:before="200" w:lineRule="auto"/>
        <w:ind w:firstLine="540"/>
        <w:jc w:val="both"/>
      </w:pPr>
      <w:r>
        <w:rPr>
          <w:sz w:val="20"/>
        </w:rPr>
        <w:t xml:space="preserve">услуги питания и проживания;</w:t>
      </w:r>
    </w:p>
    <w:p>
      <w:pPr>
        <w:pStyle w:val="0"/>
        <w:spacing w:before="200" w:lineRule="auto"/>
        <w:ind w:firstLine="540"/>
        <w:jc w:val="both"/>
      </w:pPr>
      <w:r>
        <w:rPr>
          <w:sz w:val="20"/>
        </w:rPr>
        <w:t xml:space="preserve">приобретение сувенирной продукции;</w:t>
      </w:r>
    </w:p>
    <w:p>
      <w:pPr>
        <w:pStyle w:val="0"/>
        <w:spacing w:before="200" w:lineRule="auto"/>
        <w:ind w:firstLine="540"/>
        <w:jc w:val="both"/>
      </w:pPr>
      <w:r>
        <w:rPr>
          <w:sz w:val="20"/>
        </w:rPr>
        <w:t xml:space="preserve">проведение мастер-классов;</w:t>
      </w:r>
    </w:p>
    <w:p>
      <w:pPr>
        <w:pStyle w:val="0"/>
        <w:spacing w:before="200" w:lineRule="auto"/>
        <w:ind w:firstLine="540"/>
        <w:jc w:val="both"/>
      </w:pPr>
      <w:r>
        <w:rPr>
          <w:sz w:val="20"/>
        </w:rPr>
        <w:t xml:space="preserve">культурную программу;</w:t>
      </w:r>
    </w:p>
    <w:p>
      <w:pPr>
        <w:pStyle w:val="0"/>
        <w:spacing w:before="200" w:lineRule="auto"/>
        <w:ind w:firstLine="540"/>
        <w:jc w:val="both"/>
      </w:pPr>
      <w:r>
        <w:rPr>
          <w:sz w:val="20"/>
        </w:rPr>
        <w:t xml:space="preserve">транспортные расходы.</w:t>
      </w:r>
    </w:p>
    <w:p>
      <w:pPr>
        <w:pStyle w:val="0"/>
        <w:spacing w:before="200" w:lineRule="auto"/>
        <w:ind w:firstLine="540"/>
        <w:jc w:val="both"/>
      </w:pPr>
      <w:r>
        <w:rPr>
          <w:sz w:val="20"/>
        </w:rPr>
        <w:t xml:space="preserve">11. Объявление о проведении отбора формируется в системе "Электронный бюджет" и публикуется на едином портале и сайте Министерства не позднее 10 октября текущего года.</w:t>
      </w:r>
    </w:p>
    <w:p>
      <w:pPr>
        <w:pStyle w:val="0"/>
        <w:spacing w:before="200" w:lineRule="auto"/>
        <w:ind w:firstLine="540"/>
        <w:jc w:val="both"/>
      </w:pPr>
      <w:r>
        <w:rPr>
          <w:sz w:val="20"/>
        </w:rPr>
        <w:t xml:space="preserve">12. Для рассмотрения заявок участников отбора приказом Министерства создается комиссия, персональный состав и положение о которой утверждается приказом Министерства.</w:t>
      </w:r>
    </w:p>
    <w:p>
      <w:pPr>
        <w:pStyle w:val="0"/>
        <w:spacing w:before="200" w:lineRule="auto"/>
        <w:ind w:firstLine="540"/>
        <w:jc w:val="both"/>
      </w:pPr>
      <w:r>
        <w:rPr>
          <w:sz w:val="20"/>
        </w:rPr>
        <w:t xml:space="preserve">В состав комиссии входят не менее 5 членов, в их числе - председатель комиссии, заместитель председателя комиссии, секретарь комиссии с правом голоса, члены комиссии.</w:t>
      </w:r>
    </w:p>
    <w:p>
      <w:pPr>
        <w:pStyle w:val="0"/>
        <w:spacing w:before="200" w:lineRule="auto"/>
        <w:ind w:firstLine="540"/>
        <w:jc w:val="both"/>
      </w:pPr>
      <w:r>
        <w:rPr>
          <w:sz w:val="20"/>
        </w:rPr>
        <w:t xml:space="preserve">Министерству, комиссии открывается доступ в системе "Электронный бюджет" к поданным участниками отбора заявкам для их рассмотрения и последующей оценки не позднее одного рабочего дня, следующего за днем окончания срока подачи заявок, установленного в объявлении о проведении отбора.</w:t>
      </w:r>
    </w:p>
    <w:p>
      <w:pPr>
        <w:pStyle w:val="0"/>
        <w:spacing w:before="200" w:lineRule="auto"/>
        <w:ind w:firstLine="540"/>
        <w:jc w:val="both"/>
      </w:pPr>
      <w:r>
        <w:rPr>
          <w:sz w:val="20"/>
        </w:rPr>
        <w:t xml:space="preserve">13.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w:t>
      </w:r>
    </w:p>
    <w:p>
      <w:pPr>
        <w:pStyle w:val="0"/>
        <w:spacing w:before="200" w:lineRule="auto"/>
        <w:ind w:firstLine="540"/>
        <w:jc w:val="both"/>
      </w:pPr>
      <w:r>
        <w:rPr>
          <w:sz w:val="20"/>
        </w:rPr>
        <w:t xml:space="preserve">учредительных документов участника отбора;</w:t>
      </w:r>
    </w:p>
    <w:p>
      <w:pPr>
        <w:pStyle w:val="0"/>
        <w:spacing w:before="200" w:lineRule="auto"/>
        <w:ind w:firstLine="540"/>
        <w:jc w:val="both"/>
      </w:pPr>
      <w:hyperlink w:history="0" w:anchor="P165" w:tooltip="        Проекты, направленные на развитие детского (подросткового)">
        <w:r>
          <w:rPr>
            <w:sz w:val="20"/>
            <w:color w:val="0000ff"/>
          </w:rPr>
          <w:t xml:space="preserve">проектов</w:t>
        </w:r>
      </w:hyperlink>
      <w:r>
        <w:rPr>
          <w:sz w:val="20"/>
        </w:rPr>
        <w:t xml:space="preserve">, направленных на развитие детского (подросткового) туризма, по форме согласно приложению 1 к настоящему Порядку;</w:t>
      </w:r>
    </w:p>
    <w:p>
      <w:pPr>
        <w:pStyle w:val="0"/>
        <w:spacing w:before="200" w:lineRule="auto"/>
        <w:ind w:firstLine="540"/>
        <w:jc w:val="both"/>
      </w:pPr>
      <w:hyperlink w:history="0" w:anchor="P221" w:tooltip="Расчет необходимого объема субсидии на реализацию проектов, направленных на">
        <w:r>
          <w:rPr>
            <w:sz w:val="20"/>
            <w:color w:val="0000ff"/>
          </w:rPr>
          <w:t xml:space="preserve">расчета</w:t>
        </w:r>
      </w:hyperlink>
      <w:r>
        <w:rPr>
          <w:sz w:val="20"/>
        </w:rPr>
        <w:t xml:space="preserve"> необходимого объема субсидии на реализацию проектов, направленных на развитие детского (подросткового) туризма, по форме согласно приложению 2 к настоящему Порядку;</w:t>
      </w:r>
    </w:p>
    <w:p>
      <w:pPr>
        <w:pStyle w:val="0"/>
        <w:spacing w:before="200" w:lineRule="auto"/>
        <w:ind w:firstLine="540"/>
        <w:jc w:val="both"/>
      </w:pPr>
      <w:r>
        <w:rPr>
          <w:sz w:val="20"/>
        </w:rPr>
        <w:t xml:space="preserve">копий документов, подтверждающих опыт в привлечении средств и ресурсов из других источников для реализации социально значимых проектов (банковских документов, соглашений, договоров);</w:t>
      </w:r>
    </w:p>
    <w:p>
      <w:pPr>
        <w:pStyle w:val="0"/>
        <w:spacing w:before="200" w:lineRule="auto"/>
        <w:ind w:firstLine="540"/>
        <w:jc w:val="both"/>
      </w:pPr>
      <w:r>
        <w:rPr>
          <w:sz w:val="20"/>
        </w:rPr>
        <w:t xml:space="preserve">копий документов, подтверждающих наличие в штате специалиста по работе с детьми, имеющего образование и опыт в соответствующей сфере деятельности;</w:t>
      </w:r>
    </w:p>
    <w:p>
      <w:pPr>
        <w:pStyle w:val="0"/>
        <w:spacing w:before="200" w:lineRule="auto"/>
        <w:ind w:firstLine="540"/>
        <w:jc w:val="both"/>
      </w:pPr>
      <w:r>
        <w:rPr>
          <w:sz w:val="20"/>
        </w:rPr>
        <w:t xml:space="preserve">документа, подтверждающего полномочия лица на подачу заявки от имени участника отбора, оформленного в соответствии с действующим законодательством, в случае если заявку подает лицо, сведения о котором как о лице, имеющем право без доверенности действовать от имени участника отбора, не содержатся в едином государственном реестре юридических лиц;</w:t>
      </w:r>
    </w:p>
    <w:p>
      <w:pPr>
        <w:pStyle w:val="0"/>
        <w:spacing w:before="200" w:lineRule="auto"/>
        <w:ind w:firstLine="540"/>
        <w:jc w:val="both"/>
      </w:pPr>
      <w:r>
        <w:rPr>
          <w:sz w:val="20"/>
        </w:rPr>
        <w:t xml:space="preserve">справки об отсутствии задолженности по заработной плате на дату подачи заявки.</w:t>
      </w:r>
    </w:p>
    <w:p>
      <w:pPr>
        <w:pStyle w:val="0"/>
        <w:spacing w:before="200" w:lineRule="auto"/>
        <w:ind w:firstLine="540"/>
        <w:jc w:val="both"/>
      </w:pPr>
      <w:r>
        <w:rPr>
          <w:sz w:val="20"/>
        </w:rPr>
        <w:t xml:space="preserve">Каждый из указанных документов представляется в виде одного файла в формате pdf.</w:t>
      </w:r>
    </w:p>
    <w:p>
      <w:pPr>
        <w:pStyle w:val="0"/>
        <w:spacing w:before="200" w:lineRule="auto"/>
        <w:ind w:firstLine="540"/>
        <w:jc w:val="both"/>
      </w:pPr>
      <w:r>
        <w:rPr>
          <w:sz w:val="20"/>
        </w:rPr>
        <w:t xml:space="preserve">Участник отбора может подать только одну заявку на участие в отборе. В случае подачи участником отбора более одной заявки принимается заявка, поданная первая по дате и времени.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14.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15. Должностное лицо, уполномоченное приказом Министерства (далее - уполномоченное лицо), в рамках межведомственного взаимодействия запрашивает на дату рассмотрения заявки в течение 5 рабочих дней со дня, следующего за днем подписания в системе "Электронный бюджет" протокола вскрытия заявок, и на дату заключения соглашения в течение 5 рабочих дней со дня, следующего за днем подписания соглашения получателем субсидии, следующие документы:</w:t>
      </w:r>
    </w:p>
    <w:p>
      <w:pPr>
        <w:pStyle w:val="0"/>
        <w:spacing w:before="200" w:lineRule="auto"/>
        <w:ind w:firstLine="540"/>
        <w:jc w:val="both"/>
      </w:pPr>
      <w:r>
        <w:rPr>
          <w:sz w:val="20"/>
        </w:rPr>
        <w:t xml:space="preserve">информацию министерства финансов Липецкой области об отсутствии просроченной задолженности по возврату в областной бюджет субсидий, грантов в форме субсидий, бюджетных инвестиций, предоставленных в том числе в соответствии с иными правовыми актами;</w:t>
      </w:r>
    </w:p>
    <w:p>
      <w:pPr>
        <w:pStyle w:val="0"/>
        <w:spacing w:before="200" w:lineRule="auto"/>
        <w:ind w:firstLine="540"/>
        <w:jc w:val="both"/>
      </w:pPr>
      <w:r>
        <w:rPr>
          <w:sz w:val="20"/>
        </w:rPr>
        <w:t xml:space="preserve">информацию министерства имущественных и земельных отношений Липецкой области об отсутствии просроченной (неурегулированной) задолженности в областной бюджет по арендной плате;</w:t>
      </w:r>
    </w:p>
    <w:p>
      <w:pPr>
        <w:pStyle w:val="0"/>
        <w:spacing w:before="200" w:lineRule="auto"/>
        <w:ind w:firstLine="540"/>
        <w:jc w:val="both"/>
      </w:pPr>
      <w:r>
        <w:rPr>
          <w:sz w:val="20"/>
        </w:rPr>
        <w:t xml:space="preserve">информацию налогового органа об отсутствии у участника отбора на едином налоговом счете или о не превышающим размере, определенном </w:t>
      </w:r>
      <w:hyperlink w:history="0" r:id="rId20"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вправе предоставить оригиналы документов, указанных в настоящем пункте, по собственной инициативе.</w:t>
      </w:r>
    </w:p>
    <w:p>
      <w:pPr>
        <w:pStyle w:val="0"/>
        <w:spacing w:before="200" w:lineRule="auto"/>
        <w:ind w:firstLine="540"/>
        <w:jc w:val="both"/>
      </w:pPr>
      <w:r>
        <w:rPr>
          <w:sz w:val="20"/>
        </w:rPr>
        <w:t xml:space="preserve">16. В течение 10 рабочих дней со дня, следующего за днем окончания срока приема заявок, указанного в объявлении о проведении отбора, комиссия осуществляет проверку участников отбора на соответствие категории, критерию, требованиям и условиям, установленным настоящим Порядком, а также документов на предмет их соответствия предъявляемым настоящим Порядком требованиям, исходя из представленных участником отбора и запрошенных уполномоченным лицом с использованием единой системы межведомственного электронного взаимодействия документов, а также автоматически в системе "Электронный бюджет" на основании данных государственных информационных систем, в рамках реализации бюджетного полномочия Министерства по обеспечению соблюдения участником отбора условий, целей и порядка предоставления субсидии.</w:t>
      </w:r>
    </w:p>
    <w:p>
      <w:pPr>
        <w:pStyle w:val="0"/>
        <w:spacing w:before="200" w:lineRule="auto"/>
        <w:ind w:firstLine="540"/>
        <w:jc w:val="both"/>
      </w:pPr>
      <w:r>
        <w:rPr>
          <w:sz w:val="20"/>
        </w:rPr>
        <w:t xml:space="preserve">Проверка участника отбора на соответствие требованиям, установленным </w:t>
      </w:r>
      <w:hyperlink w:history="0" w:anchor="P52" w:tooltip="7. Участник отбора должен соответствовать следующим требованиям на даты рассмотрения заявки и заключения соглашения о предоставлении субсидии (далее - соглашение):">
        <w:r>
          <w:rPr>
            <w:sz w:val="20"/>
            <w:color w:val="0000ff"/>
          </w:rPr>
          <w:t xml:space="preserve">пунктом 7</w:t>
        </w:r>
      </w:hyperlink>
      <w:r>
        <w:rPr>
          <w:sz w:val="20"/>
        </w:rP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В случае отсутствия технической возможности автоматической проверки в системе "Электронный бюджет" подтверждение соответствия участника отбора требованиям, указанным в </w:t>
      </w:r>
      <w:hyperlink w:history="0" w:anchor="P52" w:tooltip="7. Участник отбора должен соответствовать следующим требованиям на даты рассмотрения заявки и заключения соглашения о предоставлении субсидии (далее - соглашение):">
        <w:r>
          <w:rPr>
            <w:sz w:val="20"/>
            <w:color w:val="0000ff"/>
          </w:rPr>
          <w:t xml:space="preserve">пункте 7</w:t>
        </w:r>
      </w:hyperlink>
      <w:r>
        <w:rPr>
          <w:sz w:val="20"/>
        </w:rPr>
        <w:t xml:space="preserve">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17. Победителями отбора признаются участники отбора, соответствующие установленным настоящим Порядком категории, критерию, требованиям и условиям (далее - получатель субсидии).</w:t>
      </w:r>
    </w:p>
    <w:p>
      <w:pPr>
        <w:pStyle w:val="0"/>
        <w:spacing w:before="200" w:lineRule="auto"/>
        <w:ind w:firstLine="540"/>
        <w:jc w:val="both"/>
      </w:pPr>
      <w:r>
        <w:rPr>
          <w:sz w:val="20"/>
        </w:rPr>
        <w:t xml:space="preserve">18. По результатам отбора уполномоченное лицо подготавливает и размещает в системе "Электронный бюджет" проект соглашения и в течение 5 рабочих дней со дня подписания протокола подведения итогов отбора направляет его для подписания получателю субсидии в системе "Электронный бюджет".</w:t>
      </w:r>
    </w:p>
    <w:p>
      <w:pPr>
        <w:pStyle w:val="0"/>
        <w:spacing w:before="200" w:lineRule="auto"/>
        <w:ind w:firstLine="540"/>
        <w:jc w:val="both"/>
      </w:pPr>
      <w:r>
        <w:rPr>
          <w:sz w:val="20"/>
        </w:rPr>
        <w:t xml:space="preserve">В течение 5 рабочих дней со дня поступления проекта соглашения на подписание в систему "Электронный бюджет" получатель субсидии подписывает соглашение усиленной квалифицированной электронной подписью руководителя получателя субсидии в системе "Электронный бюджет". Получатели субсидии, не подписавшие соглашение в указанный срок и не направившие возражения по проекту соглашения, признаются уклонившимися от заключения соглашения и утрачивают право на получение субсидии по результатам отбора.</w:t>
      </w:r>
    </w:p>
    <w:p>
      <w:pPr>
        <w:pStyle w:val="0"/>
        <w:spacing w:before="200" w:lineRule="auto"/>
        <w:ind w:firstLine="540"/>
        <w:jc w:val="both"/>
      </w:pPr>
      <w:r>
        <w:rPr>
          <w:sz w:val="20"/>
        </w:rPr>
        <w:t xml:space="preserve">Министр экономического развития Липецкой области (далее - Министр) в течение 5 рабочих дней со дня, следующего за днем подписания соглашения получателем субсидии, подписывает соглашение усиленной квалифицированной электронной подписью в системе "Электронный бюджет".</w:t>
      </w:r>
    </w:p>
    <w:p>
      <w:pPr>
        <w:pStyle w:val="0"/>
        <w:spacing w:before="200" w:lineRule="auto"/>
        <w:ind w:firstLine="540"/>
        <w:jc w:val="both"/>
      </w:pPr>
      <w:r>
        <w:rPr>
          <w:sz w:val="20"/>
        </w:rPr>
        <w:t xml:space="preserve">19. Соглашения заключаются в соответствии с типовой формой, установленной министерством финансов Липецкой области, в системе "Электронный бюджет", 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 а также соглашений, содержащих сведения ограниченного доступа.</w:t>
      </w:r>
    </w:p>
    <w:p>
      <w:pPr>
        <w:pStyle w:val="0"/>
        <w:spacing w:before="200" w:lineRule="auto"/>
        <w:ind w:firstLine="540"/>
        <w:jc w:val="both"/>
      </w:pPr>
      <w:r>
        <w:rPr>
          <w:sz w:val="20"/>
        </w:rPr>
        <w:t xml:space="preserve">Обязательными условиями предоставления субсидии, включаемыми в соглашение, являются:</w:t>
      </w:r>
    </w:p>
    <w:p>
      <w:pPr>
        <w:pStyle w:val="0"/>
        <w:spacing w:before="200" w:lineRule="auto"/>
        <w:ind w:firstLine="540"/>
        <w:jc w:val="both"/>
      </w:pPr>
      <w:r>
        <w:rPr>
          <w:sz w:val="20"/>
        </w:rPr>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(соглашений), заключенных с получателями субсидий,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pPr>
        <w:pStyle w:val="0"/>
        <w:spacing w:before="200" w:lineRule="auto"/>
        <w:ind w:firstLine="540"/>
        <w:jc w:val="both"/>
      </w:pPr>
      <w:r>
        <w:rPr>
          <w:sz w:val="20"/>
        </w:rPr>
        <w:t xml:space="preserve">согласие получателя субсидии,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20. Соглашение считается заключенным после его подписания обеими сторонами и регистрации в системе "Электронный бюджет". Датой соглашения считается дата регистрации в системе "Электронный бюджет".</w:t>
      </w:r>
    </w:p>
    <w:p>
      <w:pPr>
        <w:pStyle w:val="0"/>
        <w:spacing w:before="200" w:lineRule="auto"/>
        <w:ind w:firstLine="540"/>
        <w:jc w:val="both"/>
      </w:pPr>
      <w:r>
        <w:rPr>
          <w:sz w:val="20"/>
        </w:rPr>
        <w:t xml:space="preserve">В случае незаключения соглашения субсидии не перечисляются.</w:t>
      </w:r>
    </w:p>
    <w:p>
      <w:pPr>
        <w:pStyle w:val="0"/>
        <w:spacing w:before="200" w:lineRule="auto"/>
        <w:ind w:firstLine="540"/>
        <w:jc w:val="both"/>
      </w:pPr>
      <w:r>
        <w:rPr>
          <w:sz w:val="20"/>
        </w:rPr>
        <w:t xml:space="preserve">21.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 включаются в Соглашение.</w:t>
      </w:r>
    </w:p>
    <w:p>
      <w:pPr>
        <w:pStyle w:val="0"/>
        <w:spacing w:before="200" w:lineRule="auto"/>
        <w:ind w:firstLine="540"/>
        <w:jc w:val="both"/>
      </w:pPr>
      <w:r>
        <w:rPr>
          <w:sz w:val="20"/>
        </w:rPr>
        <w:t xml:space="preserve">22.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23. Внесение изменений в Соглашение (расторжение Соглашения) осуществляется на основании дополнительного соглашения в соответствии с типовой формой, утвержденной министерством финансов Липецкой области, в системе "Электронный бюджет", за исключением соглашений, заключаемых с соблюдением требований законодательства РФ о защите государственной тайны и иной охраняемой законом тайны, а также соглашений, содержащих сведения ограниченного доступа.</w:t>
      </w:r>
    </w:p>
    <w:p>
      <w:pPr>
        <w:pStyle w:val="0"/>
        <w:spacing w:before="200" w:lineRule="auto"/>
        <w:ind w:firstLine="540"/>
        <w:jc w:val="both"/>
      </w:pPr>
      <w:r>
        <w:rPr>
          <w:sz w:val="20"/>
        </w:rPr>
        <w:t xml:space="preserve">24. Уполномоченное лицо Министерства в течение 4 рабочих дней со дня, следующего за днем заключения с получателями субсидии Соглашений, подготавливает проект приказа о выплате субсидии в разрезе получателей субсидии.</w:t>
      </w:r>
    </w:p>
    <w:p>
      <w:pPr>
        <w:pStyle w:val="0"/>
        <w:spacing w:before="200" w:lineRule="auto"/>
        <w:ind w:firstLine="540"/>
        <w:jc w:val="both"/>
      </w:pPr>
      <w:r>
        <w:rPr>
          <w:sz w:val="20"/>
        </w:rPr>
        <w:t xml:space="preserve">Министр подписывает приказ о выплате субсидии.</w:t>
      </w:r>
    </w:p>
    <w:p>
      <w:pPr>
        <w:pStyle w:val="0"/>
        <w:spacing w:before="200" w:lineRule="auto"/>
        <w:ind w:firstLine="540"/>
        <w:jc w:val="both"/>
      </w:pPr>
      <w:r>
        <w:rPr>
          <w:sz w:val="20"/>
        </w:rPr>
        <w:t xml:space="preserve">Перечисление субсидии с лицевого счета Министерства на расчетные счета, открытые получателями субсидии в учреждениях Центрального банка Российской Федерации или кредитных организациях, указанные в Соглашениях, осуществляется не позднее 8 рабочих дней, следующих за днем издания приказа о выплате субсидии.</w:t>
      </w:r>
    </w:p>
    <w:p>
      <w:pPr>
        <w:pStyle w:val="0"/>
        <w:spacing w:before="200" w:lineRule="auto"/>
        <w:ind w:firstLine="540"/>
        <w:jc w:val="both"/>
      </w:pPr>
      <w:r>
        <w:rPr>
          <w:sz w:val="20"/>
        </w:rPr>
        <w:t xml:space="preserve">25. Каждому получателю субсидии распределяется размер субсидии, пропорциональный размеру, указанному им в заявке, к общему размеру субсидии, запрашиваемому всеми получателями субсидии, но не выше размера, указанного им в заявке, и максимального размера субсидии, определенного объявлением о проведении отбора (при установлении максимального размера субсидии).</w:t>
      </w:r>
    </w:p>
    <w:p>
      <w:pPr>
        <w:pStyle w:val="0"/>
        <w:spacing w:before="200" w:lineRule="auto"/>
        <w:ind w:firstLine="540"/>
        <w:jc w:val="both"/>
      </w:pPr>
      <w:r>
        <w:rPr>
          <w:sz w:val="20"/>
        </w:rPr>
        <w:t xml:space="preserve">26. Субсидия перечисляется получателям субсидии единовременно в полном объеме средств, предусмотренном Соглашением.</w:t>
      </w:r>
    </w:p>
    <w:p>
      <w:pPr>
        <w:pStyle w:val="0"/>
        <w:spacing w:before="200" w:lineRule="auto"/>
        <w:ind w:firstLine="540"/>
        <w:jc w:val="both"/>
      </w:pPr>
      <w:r>
        <w:rPr>
          <w:sz w:val="20"/>
        </w:rPr>
        <w:t xml:space="preserve">Основаниями для отказа получателю субсидии в предоставлении субсидии являются:</w:t>
      </w:r>
    </w:p>
    <w:p>
      <w:pPr>
        <w:pStyle w:val="0"/>
        <w:spacing w:before="200" w:lineRule="auto"/>
        <w:ind w:firstLine="540"/>
        <w:jc w:val="both"/>
      </w:pPr>
      <w:r>
        <w:rPr>
          <w:sz w:val="20"/>
        </w:rPr>
        <w:t xml:space="preserve">несоответствие представленных получателем субсидии документов требованиям, определенным настоящим Порядком, или непредставление (предоставление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27. В случае превышения фактической потребности в субсидии над суммой бюджетных ассигнований, предусмотренных Законом об областном бюджете на цели, указанные в </w:t>
      </w:r>
      <w:hyperlink w:history="0" w:anchor="P43" w:tooltip="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quot;Развитие туризма в Липецкой области&quot; государственной программы &quot;Развитие культуры и туризма в Липецкой области&quot;, утвержденной постановлением Правительства Липецкой области от 27 декабря 2023 года N 794 &quot;Об утверждении государственной программы Липецкой области &quot;Развитие культуры и туризма в Липецкой области&quot;.">
        <w:r>
          <w:rPr>
            <w:sz w:val="20"/>
            <w:color w:val="0000ff"/>
          </w:rPr>
          <w:t xml:space="preserve">пункте 2</w:t>
        </w:r>
      </w:hyperlink>
      <w:r>
        <w:rPr>
          <w:sz w:val="20"/>
        </w:rPr>
        <w:t xml:space="preserve"> настоящего Порядка, размер субсидии каждому из получателей субсидии пропорционально уменьшается и определяется по формуле:</w:t>
      </w:r>
    </w:p>
    <w:p>
      <w:pPr>
        <w:pStyle w:val="0"/>
        <w:jc w:val="both"/>
      </w:pPr>
      <w:r>
        <w:rPr>
          <w:sz w:val="20"/>
        </w:rPr>
      </w:r>
    </w:p>
    <w:p>
      <w:pPr>
        <w:pStyle w:val="0"/>
        <w:jc w:val="center"/>
      </w:pPr>
      <w:r>
        <w:rPr>
          <w:position w:val="-26"/>
        </w:rPr>
        <w:drawing>
          <wp:inline distT="0" distB="0" distL="0" distR="0">
            <wp:extent cx="147637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476375" cy="4667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Ci - размер субсидии, предоставляемой i-му получателю субсидии;</w:t>
      </w:r>
    </w:p>
    <w:p>
      <w:pPr>
        <w:pStyle w:val="0"/>
        <w:spacing w:before="200" w:lineRule="auto"/>
        <w:ind w:firstLine="540"/>
        <w:jc w:val="both"/>
      </w:pPr>
      <w:r>
        <w:rPr>
          <w:sz w:val="20"/>
        </w:rPr>
        <w:t xml:space="preserve">Si - размер субсидии, указанный в заявке i-го получателя субсидии;</w:t>
      </w:r>
    </w:p>
    <w:p>
      <w:pPr>
        <w:pStyle w:val="0"/>
        <w:spacing w:before="200" w:lineRule="auto"/>
        <w:ind w:firstLine="540"/>
        <w:jc w:val="both"/>
      </w:pPr>
      <w:r>
        <w:rPr>
          <w:sz w:val="20"/>
        </w:rPr>
        <w:t xml:space="preserve">Sсум. - общий размер бюджетных ассигнований, предусмотренный Законом об областном бюджете на текущий год на цели, установленные </w:t>
      </w:r>
      <w:hyperlink w:history="0" w:anchor="P43" w:tooltip="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quot;Развитие туризма в Липецкой области&quot; государственной программы &quot;Развитие культуры и туризма в Липецкой области&quot;, утвержденной постановлением Правительства Липецкой области от 27 декабря 2023 года N 794 &quot;Об утверждении государственной программы Липецкой области &quot;Развитие культуры и туризма в Липецкой области&quot;.">
        <w:r>
          <w:rPr>
            <w:sz w:val="20"/>
            <w:color w:val="0000ff"/>
          </w:rPr>
          <w:t xml:space="preserve">пунктом 2</w:t>
        </w:r>
      </w:hyperlink>
      <w:r>
        <w:rPr>
          <w:sz w:val="20"/>
        </w:rPr>
        <w:t xml:space="preserve"> настоящего Порядка;</w:t>
      </w:r>
    </w:p>
    <w:p>
      <w:pPr>
        <w:pStyle w:val="0"/>
        <w:spacing w:before="200" w:lineRule="auto"/>
        <w:ind w:firstLine="540"/>
        <w:jc w:val="both"/>
      </w:pPr>
      <w:r>
        <w:rPr>
          <w:sz w:val="20"/>
        </w:rPr>
        <w:t xml:space="preserve">So факт - общий размер субсидии, исходя из фактической потребности в субсидии, указанной в заявках всех получателей субсидии.</w:t>
      </w:r>
    </w:p>
    <w:p>
      <w:pPr>
        <w:pStyle w:val="0"/>
        <w:spacing w:before="200" w:lineRule="auto"/>
        <w:ind w:firstLine="540"/>
        <w:jc w:val="both"/>
      </w:pPr>
      <w:r>
        <w:rPr>
          <w:sz w:val="20"/>
        </w:rPr>
        <w:t xml:space="preserve">28. При увеличении Министерству объема бюджетных ассигнований на цели, указанные в </w:t>
      </w:r>
      <w:hyperlink w:history="0" w:anchor="P43" w:tooltip="2. Целью предоставления субсидии является реализация проектов, направленных на развитие детского (подросткового) туризма, в соответствии с паспортом комплекса процессных мероприятий &quot;Развитие туризма в Липецкой области&quot; государственной программы &quot;Развитие культуры и туризма в Липецкой области&quot;, утвержденной постановлением Правительства Липецкой области от 27 декабря 2023 года N 794 &quot;Об утверждении государственной программы Липецкой области &quot;Развитие культуры и туризма в Липецкой области&quot;.">
        <w:r>
          <w:rPr>
            <w:sz w:val="20"/>
            <w:color w:val="0000ff"/>
          </w:rPr>
          <w:t xml:space="preserve">пункте 2</w:t>
        </w:r>
      </w:hyperlink>
      <w:r>
        <w:rPr>
          <w:sz w:val="20"/>
        </w:rPr>
        <w:t xml:space="preserve"> настоящего Порядка, при наличии получателей субсидий, заявки которых в части запрашиваемого размера субсидии не были удовлетворены в полном объеме, Министерство в течение 15 рабочих дней со дня, следующего за днем вступления в силу изменений в Закон об областном бюджете, распределяет сумму бюджетных средств между получателями субсидии пропорционально причитающейся сумме субсидии с учетом ранее выплаченной субсидии, издает приказ о выплате субсидии и заключает дополнительное соглашение об увеличении размера субсидии и перечисляет бюджетные средства в соответствии с настоящим Порядком.</w:t>
      </w:r>
    </w:p>
    <w:p>
      <w:pPr>
        <w:pStyle w:val="0"/>
        <w:spacing w:before="200" w:lineRule="auto"/>
        <w:ind w:firstLine="540"/>
        <w:jc w:val="both"/>
      </w:pPr>
      <w:r>
        <w:rPr>
          <w:sz w:val="20"/>
        </w:rPr>
        <w:t xml:space="preserve">В случае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субсидии, отказа получателя субсидии от заключения соглашения, расторжения соглашения с получателем субсидии Министерство принимает решение о проведении дополнительного отбора получателей субсидий в соответствии с положениями настоящего Порядка.</w:t>
      </w:r>
    </w:p>
    <w:p>
      <w:pPr>
        <w:pStyle w:val="0"/>
        <w:spacing w:before="200" w:lineRule="auto"/>
        <w:ind w:firstLine="540"/>
        <w:jc w:val="both"/>
      </w:pPr>
      <w:r>
        <w:rPr>
          <w:sz w:val="20"/>
        </w:rPr>
        <w:t xml:space="preserve">29. Результатом предоставления субсидии является количество проектов, направленных на развитие детского (подросткового) туризма.</w:t>
      </w:r>
    </w:p>
    <w:p>
      <w:pPr>
        <w:pStyle w:val="0"/>
        <w:spacing w:before="200" w:lineRule="auto"/>
        <w:ind w:firstLine="540"/>
        <w:jc w:val="both"/>
      </w:pPr>
      <w:r>
        <w:rPr>
          <w:sz w:val="20"/>
        </w:rPr>
        <w:t xml:space="preserve">Характеристикой результата предоставления субсидии является:</w:t>
      </w:r>
    </w:p>
    <w:p>
      <w:pPr>
        <w:pStyle w:val="0"/>
        <w:spacing w:before="200" w:lineRule="auto"/>
        <w:ind w:firstLine="540"/>
        <w:jc w:val="both"/>
      </w:pPr>
      <w:r>
        <w:rPr>
          <w:sz w:val="20"/>
        </w:rPr>
        <w:t xml:space="preserve">количество детей (подростков), принявших участие в мероприятиях, направленных на развитие детского (подросткового) туризма;</w:t>
      </w:r>
    </w:p>
    <w:p>
      <w:pPr>
        <w:pStyle w:val="0"/>
        <w:spacing w:before="200" w:lineRule="auto"/>
        <w:ind w:firstLine="540"/>
        <w:jc w:val="both"/>
      </w:pPr>
      <w:r>
        <w:rPr>
          <w:sz w:val="20"/>
        </w:rPr>
        <w:t xml:space="preserve">количество организованных и проведенных культурно-просветительских программ для школьников, направленных на развитие детского (подросткового) туризма.</w:t>
      </w:r>
    </w:p>
    <w:p>
      <w:pPr>
        <w:pStyle w:val="0"/>
        <w:spacing w:before="200" w:lineRule="auto"/>
        <w:ind w:firstLine="540"/>
        <w:jc w:val="both"/>
      </w:pPr>
      <w:r>
        <w:rPr>
          <w:sz w:val="20"/>
        </w:rPr>
        <w:t xml:space="preserve">Тип результата предоставления субсидии - оказание услуг (выполнение работ).</w:t>
      </w:r>
    </w:p>
    <w:p>
      <w:pPr>
        <w:pStyle w:val="0"/>
        <w:spacing w:before="200" w:lineRule="auto"/>
        <w:ind w:firstLine="540"/>
        <w:jc w:val="both"/>
      </w:pPr>
      <w:r>
        <w:rPr>
          <w:sz w:val="20"/>
        </w:rPr>
        <w:t xml:space="preserve">Точная дата завершения, конечное значение результата предоставления субсидии, значение характеристик результата устанавливаются в Соглашении.</w:t>
      </w:r>
    </w:p>
    <w:p>
      <w:pPr>
        <w:pStyle w:val="0"/>
        <w:spacing w:before="200" w:lineRule="auto"/>
        <w:ind w:firstLine="540"/>
        <w:jc w:val="both"/>
      </w:pPr>
      <w:r>
        <w:rPr>
          <w:sz w:val="20"/>
        </w:rPr>
        <w:t xml:space="preserve">30. Получатели субсидии представляют в Министерство в системе "Электронный бюджет" ежеквартально по формам, установленным типовыми формами соглашений, утвержденными министерством финансов Липецкой области:</w:t>
      </w:r>
    </w:p>
    <w:p>
      <w:pPr>
        <w:pStyle w:val="0"/>
        <w:spacing w:before="200" w:lineRule="auto"/>
        <w:ind w:firstLine="540"/>
        <w:jc w:val="both"/>
      </w:pPr>
      <w:r>
        <w:rPr>
          <w:sz w:val="20"/>
        </w:rPr>
        <w:t xml:space="preserve">отчет о достижении значений результата предоставления субсидии, а также его характеристик;</w:t>
      </w:r>
    </w:p>
    <w:p>
      <w:pPr>
        <w:pStyle w:val="0"/>
        <w:spacing w:before="200" w:lineRule="auto"/>
        <w:ind w:firstLine="540"/>
        <w:jc w:val="both"/>
      </w:pPr>
      <w:r>
        <w:rPr>
          <w:sz w:val="20"/>
        </w:rPr>
        <w:t xml:space="preserve">отчет о расходах, источником финансового обеспечения которых является субсидия.</w:t>
      </w:r>
    </w:p>
    <w:p>
      <w:pPr>
        <w:pStyle w:val="0"/>
        <w:spacing w:before="200" w:lineRule="auto"/>
        <w:ind w:firstLine="540"/>
        <w:jc w:val="both"/>
      </w:pPr>
      <w:r>
        <w:rPr>
          <w:sz w:val="20"/>
        </w:rPr>
        <w:t xml:space="preserve">Отчетным периодом является квартал. Отчеты за 1 квартал, 6 месяцев, 9 месяцев финансового года представляются не позднее 10 рабочих дней, следующих за отчетным периодом. Отчет за 12 месяцев финансового года представляется не позднее 10 рабочих дней, следующих за отчетным периодом.</w:t>
      </w:r>
    </w:p>
    <w:p>
      <w:pPr>
        <w:pStyle w:val="0"/>
        <w:spacing w:before="200" w:lineRule="auto"/>
        <w:ind w:firstLine="540"/>
        <w:jc w:val="both"/>
      </w:pPr>
      <w:r>
        <w:rPr>
          <w:sz w:val="20"/>
        </w:rPr>
        <w:t xml:space="preserve">31. Министерство осуществляет проверку и принятие отчетов, представленных получателем субсидии, в срок, не превышающий 60 рабочих дней со дня представления таких отчетов.</w:t>
      </w:r>
    </w:p>
    <w:p>
      <w:pPr>
        <w:pStyle w:val="0"/>
        <w:spacing w:before="200" w:lineRule="auto"/>
        <w:ind w:firstLine="540"/>
        <w:jc w:val="both"/>
      </w:pPr>
      <w:r>
        <w:rPr>
          <w:sz w:val="20"/>
        </w:rPr>
        <w:t xml:space="preserve">32. Министерством проводится мониторинг достижения значения результата предоставления субсидии, определенного Соглашением, и событий, отражающих факт завершения соответствующего мероприятий по получению результата предоставления субсидии (контрольная точка), в порядке и по формам,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w:t>
      </w:r>
    </w:p>
    <w:p>
      <w:pPr>
        <w:pStyle w:val="0"/>
        <w:spacing w:before="200" w:lineRule="auto"/>
        <w:ind w:firstLine="540"/>
        <w:jc w:val="both"/>
      </w:pPr>
      <w:r>
        <w:rPr>
          <w:sz w:val="20"/>
        </w:rPr>
        <w:t xml:space="preserve">33. Проверки соблюдения получателями субсидии порядка и условий предоставления субсидии, в том числе в части достижения результата его предоставления, осуществляет Министерство, а также орган государственного финансового контроля в соответствии со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34. Возврат субсидии в областной бюджет, а также уплата пени в случае нарушения получателем субсидии условий и порядка, установленных при предоставлении субсидии, выявленного в том числе по фактам проверок, проведенных Министерством и органами государственного финансового контроля, а также в случае недостижения значения результата предоставления субсидии, осуществляется в размере, порядке и сроки, установленные Соглашением.</w:t>
      </w:r>
    </w:p>
    <w:p>
      <w:pPr>
        <w:pStyle w:val="0"/>
        <w:spacing w:before="200" w:lineRule="auto"/>
        <w:ind w:firstLine="540"/>
        <w:jc w:val="both"/>
      </w:pPr>
      <w:r>
        <w:rPr>
          <w:sz w:val="20"/>
        </w:rPr>
        <w:t xml:space="preserve">35. Возврат не использованной в отчетном финансовом году субсидии (остатка субсидии) осуществляется в порядке и сроки, установленные Законом об областном бюджете.</w:t>
      </w:r>
    </w:p>
    <w:p>
      <w:pPr>
        <w:pStyle w:val="0"/>
        <w:spacing w:before="200" w:lineRule="auto"/>
        <w:ind w:firstLine="540"/>
        <w:jc w:val="both"/>
      </w:pPr>
      <w:r>
        <w:rPr>
          <w:sz w:val="20"/>
        </w:rPr>
        <w:t xml:space="preserve">36. Получатели субсидии несут ответственность за достоверность представляемых документов в соответствии с действующим законодательством.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 предоставления</w:t>
      </w:r>
    </w:p>
    <w:p>
      <w:pPr>
        <w:pStyle w:val="0"/>
        <w:jc w:val="right"/>
      </w:pPr>
      <w:r>
        <w:rPr>
          <w:sz w:val="20"/>
        </w:rPr>
        <w:t xml:space="preserve">субсидий социально</w:t>
      </w:r>
    </w:p>
    <w:p>
      <w:pPr>
        <w:pStyle w:val="0"/>
        <w:jc w:val="right"/>
      </w:pPr>
      <w:r>
        <w:rPr>
          <w:sz w:val="20"/>
        </w:rPr>
        <w:t xml:space="preserve">ориентированным некоммерческим</w:t>
      </w:r>
    </w:p>
    <w:p>
      <w:pPr>
        <w:pStyle w:val="0"/>
        <w:jc w:val="right"/>
      </w:pPr>
      <w:r>
        <w:rPr>
          <w:sz w:val="20"/>
        </w:rPr>
        <w:t xml:space="preserve">организациям на реализацию</w:t>
      </w:r>
    </w:p>
    <w:p>
      <w:pPr>
        <w:pStyle w:val="0"/>
        <w:jc w:val="right"/>
      </w:pPr>
      <w:r>
        <w:rPr>
          <w:sz w:val="20"/>
        </w:rPr>
        <w:t xml:space="preserve">проектов, направленных</w:t>
      </w:r>
    </w:p>
    <w:p>
      <w:pPr>
        <w:pStyle w:val="0"/>
        <w:jc w:val="right"/>
      </w:pPr>
      <w:r>
        <w:rPr>
          <w:sz w:val="20"/>
        </w:rPr>
        <w:t xml:space="preserve">на развитие детского</w:t>
      </w:r>
    </w:p>
    <w:p>
      <w:pPr>
        <w:pStyle w:val="0"/>
        <w:jc w:val="right"/>
      </w:pPr>
      <w:r>
        <w:rPr>
          <w:sz w:val="20"/>
        </w:rPr>
        <w:t xml:space="preserve">(подросткового) туризма</w:t>
      </w:r>
    </w:p>
    <w:p>
      <w:pPr>
        <w:pStyle w:val="0"/>
        <w:jc w:val="both"/>
      </w:pPr>
      <w:r>
        <w:rPr>
          <w:sz w:val="20"/>
        </w:rPr>
      </w:r>
    </w:p>
    <w:bookmarkStart w:id="165" w:name="P165"/>
    <w:bookmarkEnd w:id="165"/>
    <w:p>
      <w:pPr>
        <w:pStyle w:val="1"/>
        <w:jc w:val="both"/>
      </w:pPr>
      <w:r>
        <w:rPr>
          <w:sz w:val="20"/>
        </w:rPr>
        <w:t xml:space="preserve">        Проекты, направленные на развитие детского (подросткового)</w:t>
      </w:r>
    </w:p>
    <w:p>
      <w:pPr>
        <w:pStyle w:val="1"/>
        <w:jc w:val="both"/>
      </w:pPr>
      <w:r>
        <w:rPr>
          <w:sz w:val="20"/>
        </w:rPr>
        <w:t xml:space="preserve">                             туризма в 20__ г.</w:t>
      </w:r>
    </w:p>
    <w:p>
      <w:pPr>
        <w:pStyle w:val="1"/>
        <w:jc w:val="both"/>
      </w:pPr>
      <w:r>
        <w:rPr>
          <w:sz w:val="20"/>
        </w:rPr>
        <w:t xml:space="preserve">    ____________________________________________________________</w:t>
      </w:r>
    </w:p>
    <w:p>
      <w:pPr>
        <w:pStyle w:val="1"/>
        <w:jc w:val="both"/>
      </w:pPr>
      <w:r>
        <w:rPr>
          <w:sz w:val="20"/>
        </w:rPr>
        <w:t xml:space="preserve">             (наименование заявителя, реализующего проект)</w:t>
      </w:r>
    </w:p>
    <w:p>
      <w:pPr>
        <w:pStyle w:val="1"/>
        <w:jc w:val="both"/>
      </w:pPr>
      <w:r>
        <w:rPr>
          <w:sz w:val="20"/>
        </w:rPr>
      </w:r>
    </w:p>
    <w:p>
      <w:pPr>
        <w:pStyle w:val="1"/>
        <w:jc w:val="both"/>
      </w:pPr>
      <w:r>
        <w:rPr>
          <w:sz w:val="20"/>
        </w:rPr>
        <w:t xml:space="preserve">1. Наименование проекта ____________________</w:t>
      </w:r>
    </w:p>
    <w:p>
      <w:pPr>
        <w:pStyle w:val="1"/>
        <w:jc w:val="both"/>
      </w:pPr>
      <w:r>
        <w:rPr>
          <w:sz w:val="20"/>
        </w:rPr>
        <w:t xml:space="preserve">2. Цели проекта ____________________________</w:t>
      </w:r>
    </w:p>
    <w:p>
      <w:pPr>
        <w:pStyle w:val="1"/>
        <w:jc w:val="both"/>
      </w:pPr>
      <w:r>
        <w:rPr>
          <w:sz w:val="20"/>
        </w:rPr>
        <w:t xml:space="preserve">3. Задачи проекта __________________________</w:t>
      </w:r>
    </w:p>
    <w:p>
      <w:pPr>
        <w:pStyle w:val="1"/>
        <w:jc w:val="both"/>
      </w:pPr>
      <w:r>
        <w:rPr>
          <w:sz w:val="20"/>
        </w:rPr>
        <w:t xml:space="preserve">4. Планируемые мероприятия:</w:t>
      </w:r>
    </w:p>
    <w:p>
      <w:pPr>
        <w:pStyle w:val="1"/>
        <w:jc w:val="both"/>
      </w:pPr>
      <w:r>
        <w:rPr>
          <w:sz w:val="20"/>
        </w:rPr>
        <w:t xml:space="preserve">                                                                    Таблица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2"/>
        <w:gridCol w:w="1757"/>
        <w:gridCol w:w="1627"/>
        <w:gridCol w:w="1493"/>
        <w:gridCol w:w="1814"/>
        <w:gridCol w:w="1800"/>
      </w:tblGrid>
      <w:tr>
        <w:tc>
          <w:tcPr>
            <w:tcW w:w="562" w:type="dxa"/>
          </w:tcPr>
          <w:p>
            <w:pPr>
              <w:pStyle w:val="0"/>
              <w:jc w:val="center"/>
            </w:pPr>
            <w:r>
              <w:rPr>
                <w:sz w:val="20"/>
              </w:rPr>
              <w:t xml:space="preserve">N</w:t>
            </w:r>
          </w:p>
          <w:p>
            <w:pPr>
              <w:pStyle w:val="0"/>
              <w:jc w:val="center"/>
            </w:pPr>
            <w:r>
              <w:rPr>
                <w:sz w:val="20"/>
              </w:rPr>
              <w:t xml:space="preserve">п/п</w:t>
            </w:r>
          </w:p>
        </w:tc>
        <w:tc>
          <w:tcPr>
            <w:tcW w:w="1757" w:type="dxa"/>
          </w:tcPr>
          <w:p>
            <w:pPr>
              <w:pStyle w:val="0"/>
              <w:jc w:val="center"/>
            </w:pPr>
            <w:r>
              <w:rPr>
                <w:sz w:val="20"/>
              </w:rPr>
              <w:t xml:space="preserve">Проект</w:t>
            </w:r>
          </w:p>
        </w:tc>
        <w:tc>
          <w:tcPr>
            <w:tcW w:w="1627" w:type="dxa"/>
          </w:tcPr>
          <w:p>
            <w:pPr>
              <w:pStyle w:val="0"/>
              <w:jc w:val="center"/>
            </w:pPr>
            <w:r>
              <w:rPr>
                <w:sz w:val="20"/>
              </w:rPr>
              <w:t xml:space="preserve">Срок</w:t>
            </w:r>
          </w:p>
          <w:p>
            <w:pPr>
              <w:pStyle w:val="0"/>
              <w:jc w:val="center"/>
            </w:pPr>
            <w:r>
              <w:rPr>
                <w:sz w:val="20"/>
              </w:rPr>
              <w:t xml:space="preserve">реализации</w:t>
            </w:r>
          </w:p>
        </w:tc>
        <w:tc>
          <w:tcPr>
            <w:tcW w:w="1493" w:type="dxa"/>
          </w:tcPr>
          <w:p>
            <w:pPr>
              <w:pStyle w:val="0"/>
              <w:jc w:val="center"/>
            </w:pPr>
            <w:r>
              <w:rPr>
                <w:sz w:val="20"/>
              </w:rPr>
              <w:t xml:space="preserve">Место</w:t>
            </w:r>
          </w:p>
          <w:p>
            <w:pPr>
              <w:pStyle w:val="0"/>
              <w:jc w:val="center"/>
            </w:pPr>
            <w:r>
              <w:rPr>
                <w:sz w:val="20"/>
              </w:rPr>
              <w:t xml:space="preserve">реализации</w:t>
            </w:r>
          </w:p>
        </w:tc>
        <w:tc>
          <w:tcPr>
            <w:tcW w:w="1814" w:type="dxa"/>
          </w:tcPr>
          <w:p>
            <w:pPr>
              <w:pStyle w:val="0"/>
              <w:jc w:val="center"/>
            </w:pPr>
            <w:r>
              <w:rPr>
                <w:sz w:val="20"/>
              </w:rPr>
              <w:t xml:space="preserve">Планируемое</w:t>
            </w:r>
          </w:p>
          <w:p>
            <w:pPr>
              <w:pStyle w:val="0"/>
              <w:jc w:val="center"/>
            </w:pPr>
            <w:r>
              <w:rPr>
                <w:sz w:val="20"/>
              </w:rPr>
              <w:t xml:space="preserve">количество</w:t>
            </w:r>
          </w:p>
          <w:p>
            <w:pPr>
              <w:pStyle w:val="0"/>
              <w:jc w:val="center"/>
            </w:pPr>
            <w:r>
              <w:rPr>
                <w:sz w:val="20"/>
              </w:rPr>
              <w:t xml:space="preserve">участников</w:t>
            </w:r>
          </w:p>
        </w:tc>
        <w:tc>
          <w:tcPr>
            <w:tcW w:w="1800" w:type="dxa"/>
          </w:tcPr>
          <w:p>
            <w:pPr>
              <w:pStyle w:val="0"/>
              <w:jc w:val="center"/>
            </w:pPr>
            <w:r>
              <w:rPr>
                <w:sz w:val="20"/>
              </w:rPr>
              <w:t xml:space="preserve">Планируемые</w:t>
            </w:r>
          </w:p>
          <w:p>
            <w:pPr>
              <w:pStyle w:val="0"/>
              <w:jc w:val="center"/>
            </w:pPr>
            <w:r>
              <w:rPr>
                <w:sz w:val="20"/>
              </w:rPr>
              <w:t xml:space="preserve">результаты</w:t>
            </w:r>
          </w:p>
          <w:p>
            <w:pPr>
              <w:pStyle w:val="0"/>
              <w:jc w:val="center"/>
            </w:pPr>
            <w:r>
              <w:rPr>
                <w:sz w:val="20"/>
              </w:rPr>
              <w:t xml:space="preserve">реализации</w:t>
            </w:r>
          </w:p>
        </w:tc>
      </w:tr>
      <w:tr>
        <w:tc>
          <w:tcPr>
            <w:tcW w:w="562" w:type="dxa"/>
          </w:tcPr>
          <w:p>
            <w:pPr>
              <w:pStyle w:val="0"/>
              <w:jc w:val="center"/>
            </w:pPr>
            <w:r>
              <w:rPr>
                <w:sz w:val="20"/>
              </w:rPr>
              <w:t xml:space="preserve">1.</w:t>
            </w:r>
          </w:p>
        </w:tc>
        <w:tc>
          <w:tcPr>
            <w:tcW w:w="1757" w:type="dxa"/>
          </w:tcPr>
          <w:p>
            <w:pPr>
              <w:pStyle w:val="0"/>
            </w:pPr>
            <w:r>
              <w:rPr>
                <w:sz w:val="20"/>
              </w:rPr>
            </w:r>
          </w:p>
        </w:tc>
        <w:tc>
          <w:tcPr>
            <w:tcW w:w="1627" w:type="dxa"/>
          </w:tcPr>
          <w:p>
            <w:pPr>
              <w:pStyle w:val="0"/>
            </w:pPr>
            <w:r>
              <w:rPr>
                <w:sz w:val="20"/>
              </w:rPr>
            </w:r>
          </w:p>
        </w:tc>
        <w:tc>
          <w:tcPr>
            <w:tcW w:w="1493" w:type="dxa"/>
          </w:tcPr>
          <w:p>
            <w:pPr>
              <w:pStyle w:val="0"/>
            </w:pPr>
            <w:r>
              <w:rPr>
                <w:sz w:val="20"/>
              </w:rPr>
            </w:r>
          </w:p>
        </w:tc>
        <w:tc>
          <w:tcPr>
            <w:tcW w:w="1814" w:type="dxa"/>
          </w:tcPr>
          <w:p>
            <w:pPr>
              <w:pStyle w:val="0"/>
            </w:pPr>
            <w:r>
              <w:rPr>
                <w:sz w:val="20"/>
              </w:rPr>
            </w:r>
          </w:p>
        </w:tc>
        <w:tc>
          <w:tcPr>
            <w:tcW w:w="1800" w:type="dxa"/>
          </w:tcPr>
          <w:p>
            <w:pPr>
              <w:pStyle w:val="0"/>
            </w:pPr>
            <w:r>
              <w:rPr>
                <w:sz w:val="20"/>
              </w:rPr>
            </w:r>
          </w:p>
        </w:tc>
      </w:tr>
      <w:tr>
        <w:tc>
          <w:tcPr>
            <w:tcW w:w="562" w:type="dxa"/>
          </w:tcPr>
          <w:p>
            <w:pPr>
              <w:pStyle w:val="0"/>
              <w:jc w:val="center"/>
            </w:pPr>
            <w:r>
              <w:rPr>
                <w:sz w:val="20"/>
              </w:rPr>
              <w:t xml:space="preserve">2.</w:t>
            </w:r>
          </w:p>
        </w:tc>
        <w:tc>
          <w:tcPr>
            <w:tcW w:w="1757" w:type="dxa"/>
          </w:tcPr>
          <w:p>
            <w:pPr>
              <w:pStyle w:val="0"/>
            </w:pPr>
            <w:r>
              <w:rPr>
                <w:sz w:val="20"/>
              </w:rPr>
            </w:r>
          </w:p>
        </w:tc>
        <w:tc>
          <w:tcPr>
            <w:tcW w:w="1627" w:type="dxa"/>
          </w:tcPr>
          <w:p>
            <w:pPr>
              <w:pStyle w:val="0"/>
            </w:pPr>
            <w:r>
              <w:rPr>
                <w:sz w:val="20"/>
              </w:rPr>
            </w:r>
          </w:p>
        </w:tc>
        <w:tc>
          <w:tcPr>
            <w:tcW w:w="1493" w:type="dxa"/>
          </w:tcPr>
          <w:p>
            <w:pPr>
              <w:pStyle w:val="0"/>
            </w:pPr>
            <w:r>
              <w:rPr>
                <w:sz w:val="20"/>
              </w:rPr>
            </w:r>
          </w:p>
        </w:tc>
        <w:tc>
          <w:tcPr>
            <w:tcW w:w="1814" w:type="dxa"/>
          </w:tcPr>
          <w:p>
            <w:pPr>
              <w:pStyle w:val="0"/>
            </w:pPr>
            <w:r>
              <w:rPr>
                <w:sz w:val="20"/>
              </w:rPr>
            </w:r>
          </w:p>
        </w:tc>
        <w:tc>
          <w:tcPr>
            <w:tcW w:w="1800" w:type="dxa"/>
          </w:tcPr>
          <w:p>
            <w:pPr>
              <w:pStyle w:val="0"/>
            </w:pPr>
            <w:r>
              <w:rPr>
                <w:sz w:val="20"/>
              </w:rPr>
            </w:r>
          </w:p>
        </w:tc>
      </w:tr>
    </w:tbl>
    <w:p>
      <w:pPr>
        <w:pStyle w:val="0"/>
        <w:jc w:val="both"/>
      </w:pPr>
      <w:r>
        <w:rPr>
          <w:sz w:val="20"/>
        </w:rPr>
      </w:r>
    </w:p>
    <w:p>
      <w:pPr>
        <w:pStyle w:val="1"/>
        <w:jc w:val="both"/>
      </w:pPr>
      <w:r>
        <w:rPr>
          <w:sz w:val="20"/>
        </w:rPr>
        <w:t xml:space="preserve">Руководитель: _____________  ________________________</w:t>
      </w:r>
    </w:p>
    <w:p>
      <w:pPr>
        <w:pStyle w:val="1"/>
        <w:jc w:val="both"/>
      </w:pPr>
      <w:r>
        <w:rPr>
          <w:sz w:val="20"/>
        </w:rPr>
        <w:t xml:space="preserve">                (подпись)        (расшифровка)</w:t>
      </w:r>
    </w:p>
    <w:p>
      <w:pPr>
        <w:pStyle w:val="1"/>
        <w:jc w:val="both"/>
      </w:pPr>
      <w:r>
        <w:rPr>
          <w:sz w:val="20"/>
        </w:rPr>
        <w:t xml:space="preserve">Дата составления: "__" _________________ 202_ г.</w:t>
      </w:r>
    </w:p>
    <w:p>
      <w:pPr>
        <w:pStyle w:val="1"/>
        <w:jc w:val="both"/>
      </w:pPr>
      <w:r>
        <w:rPr>
          <w:sz w:val="20"/>
        </w:rPr>
      </w:r>
    </w:p>
    <w:p>
      <w:pPr>
        <w:pStyle w:val="1"/>
        <w:jc w:val="both"/>
      </w:pPr>
      <w:r>
        <w:rPr>
          <w:sz w:val="20"/>
        </w:rPr>
        <w:t xml:space="preserve">М.П.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 предоставления</w:t>
      </w:r>
    </w:p>
    <w:p>
      <w:pPr>
        <w:pStyle w:val="0"/>
        <w:jc w:val="right"/>
      </w:pPr>
      <w:r>
        <w:rPr>
          <w:sz w:val="20"/>
        </w:rPr>
        <w:t xml:space="preserve">субсидий социально</w:t>
      </w:r>
    </w:p>
    <w:p>
      <w:pPr>
        <w:pStyle w:val="0"/>
        <w:jc w:val="right"/>
      </w:pPr>
      <w:r>
        <w:rPr>
          <w:sz w:val="20"/>
        </w:rPr>
        <w:t xml:space="preserve">ориентированным некоммерческим</w:t>
      </w:r>
    </w:p>
    <w:p>
      <w:pPr>
        <w:pStyle w:val="0"/>
        <w:jc w:val="right"/>
      </w:pPr>
      <w:r>
        <w:rPr>
          <w:sz w:val="20"/>
        </w:rPr>
        <w:t xml:space="preserve">организациям на реализацию</w:t>
      </w:r>
    </w:p>
    <w:p>
      <w:pPr>
        <w:pStyle w:val="0"/>
        <w:jc w:val="right"/>
      </w:pPr>
      <w:r>
        <w:rPr>
          <w:sz w:val="20"/>
        </w:rPr>
        <w:t xml:space="preserve">проектов, направленных</w:t>
      </w:r>
    </w:p>
    <w:p>
      <w:pPr>
        <w:pStyle w:val="0"/>
        <w:jc w:val="right"/>
      </w:pPr>
      <w:r>
        <w:rPr>
          <w:sz w:val="20"/>
        </w:rPr>
        <w:t xml:space="preserve">на развитие детского</w:t>
      </w:r>
    </w:p>
    <w:p>
      <w:pPr>
        <w:pStyle w:val="0"/>
        <w:jc w:val="right"/>
      </w:pPr>
      <w:r>
        <w:rPr>
          <w:sz w:val="20"/>
        </w:rPr>
        <w:t xml:space="preserve">(подросткового) туризма</w:t>
      </w:r>
    </w:p>
    <w:p>
      <w:pPr>
        <w:pStyle w:val="0"/>
        <w:jc w:val="both"/>
      </w:pPr>
      <w:r>
        <w:rPr>
          <w:sz w:val="20"/>
        </w:rPr>
      </w:r>
    </w:p>
    <w:bookmarkStart w:id="221" w:name="P221"/>
    <w:bookmarkEnd w:id="221"/>
    <w:p>
      <w:pPr>
        <w:pStyle w:val="1"/>
        <w:jc w:val="both"/>
      </w:pPr>
      <w:r>
        <w:rPr>
          <w:sz w:val="20"/>
        </w:rPr>
        <w:t xml:space="preserve">Расчет необходимого объема субсидии на реализацию проектов, направленных на</w:t>
      </w:r>
    </w:p>
    <w:p>
      <w:pPr>
        <w:pStyle w:val="1"/>
        <w:jc w:val="both"/>
      </w:pPr>
      <w:r>
        <w:rPr>
          <w:sz w:val="20"/>
        </w:rPr>
        <w:t xml:space="preserve">            развитие детского (подросткового) туризма в 202_ г.</w:t>
      </w:r>
    </w:p>
    <w:p>
      <w:pPr>
        <w:pStyle w:val="1"/>
        <w:jc w:val="both"/>
      </w:pPr>
      <w:r>
        <w:rPr>
          <w:sz w:val="20"/>
        </w:rPr>
      </w:r>
    </w:p>
    <w:p>
      <w:pPr>
        <w:pStyle w:val="1"/>
        <w:jc w:val="both"/>
      </w:pPr>
      <w:r>
        <w:rPr>
          <w:sz w:val="20"/>
        </w:rPr>
        <w:t xml:space="preserve">                                                                    Таблица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8"/>
        <w:gridCol w:w="1587"/>
        <w:gridCol w:w="1502"/>
        <w:gridCol w:w="1587"/>
        <w:gridCol w:w="1757"/>
        <w:gridCol w:w="2098"/>
      </w:tblGrid>
      <w:tr>
        <w:tc>
          <w:tcPr>
            <w:tcW w:w="528" w:type="dxa"/>
          </w:tcPr>
          <w:p>
            <w:pPr>
              <w:pStyle w:val="0"/>
              <w:jc w:val="center"/>
            </w:pPr>
            <w:r>
              <w:rPr>
                <w:sz w:val="20"/>
              </w:rPr>
              <w:t xml:space="preserve">N</w:t>
            </w:r>
          </w:p>
          <w:p>
            <w:pPr>
              <w:pStyle w:val="0"/>
              <w:jc w:val="center"/>
            </w:pPr>
            <w:r>
              <w:rPr>
                <w:sz w:val="20"/>
              </w:rPr>
              <w:t xml:space="preserve">п/п</w:t>
            </w:r>
          </w:p>
        </w:tc>
        <w:tc>
          <w:tcPr>
            <w:tcW w:w="1587" w:type="dxa"/>
          </w:tcPr>
          <w:p>
            <w:pPr>
              <w:pStyle w:val="0"/>
              <w:jc w:val="center"/>
            </w:pPr>
            <w:r>
              <w:rPr>
                <w:sz w:val="20"/>
              </w:rPr>
              <w:t xml:space="preserve">Направление</w:t>
            </w:r>
          </w:p>
          <w:p>
            <w:pPr>
              <w:pStyle w:val="0"/>
              <w:jc w:val="center"/>
            </w:pPr>
            <w:r>
              <w:rPr>
                <w:sz w:val="20"/>
              </w:rPr>
              <w:t xml:space="preserve">расходов</w:t>
            </w:r>
          </w:p>
        </w:tc>
        <w:tc>
          <w:tcPr>
            <w:tcW w:w="1502" w:type="dxa"/>
          </w:tcPr>
          <w:p>
            <w:pPr>
              <w:pStyle w:val="0"/>
              <w:jc w:val="center"/>
            </w:pPr>
            <w:r>
              <w:rPr>
                <w:sz w:val="20"/>
              </w:rPr>
              <w:t xml:space="preserve">Количество единиц (с указанием названия единицы - чел., мес., шт. и т.д.)</w:t>
            </w:r>
          </w:p>
        </w:tc>
        <w:tc>
          <w:tcPr>
            <w:tcW w:w="1587" w:type="dxa"/>
          </w:tcPr>
          <w:p>
            <w:pPr>
              <w:pStyle w:val="0"/>
              <w:jc w:val="center"/>
            </w:pPr>
            <w:r>
              <w:rPr>
                <w:sz w:val="20"/>
              </w:rPr>
              <w:t xml:space="preserve">Стоимость единицы (руб.)</w:t>
            </w:r>
          </w:p>
        </w:tc>
        <w:tc>
          <w:tcPr>
            <w:tcW w:w="1757" w:type="dxa"/>
          </w:tcPr>
          <w:p>
            <w:pPr>
              <w:pStyle w:val="0"/>
              <w:jc w:val="center"/>
            </w:pPr>
            <w:r>
              <w:rPr>
                <w:sz w:val="20"/>
              </w:rPr>
              <w:t xml:space="preserve">Софинансирование (если имеется)</w:t>
            </w:r>
          </w:p>
          <w:p>
            <w:pPr>
              <w:pStyle w:val="0"/>
              <w:jc w:val="center"/>
            </w:pPr>
            <w:r>
              <w:rPr>
                <w:sz w:val="20"/>
              </w:rPr>
              <w:t xml:space="preserve">(руб.)</w:t>
            </w:r>
          </w:p>
        </w:tc>
        <w:tc>
          <w:tcPr>
            <w:tcW w:w="2098" w:type="dxa"/>
          </w:tcPr>
          <w:p>
            <w:pPr>
              <w:pStyle w:val="0"/>
              <w:jc w:val="center"/>
            </w:pPr>
            <w:r>
              <w:rPr>
                <w:sz w:val="20"/>
              </w:rPr>
              <w:t xml:space="preserve">Запрашиваемая сумма (руб.)</w:t>
            </w:r>
          </w:p>
        </w:tc>
      </w:tr>
      <w:tr>
        <w:tc>
          <w:tcPr>
            <w:tcW w:w="528" w:type="dxa"/>
          </w:tcPr>
          <w:p>
            <w:pPr>
              <w:pStyle w:val="0"/>
              <w:jc w:val="center"/>
            </w:pPr>
            <w:r>
              <w:rPr>
                <w:sz w:val="20"/>
              </w:rPr>
              <w:t xml:space="preserve">1.</w:t>
            </w:r>
          </w:p>
        </w:tc>
        <w:tc>
          <w:tcPr>
            <w:tcW w:w="1587" w:type="dxa"/>
          </w:tcPr>
          <w:p>
            <w:pPr>
              <w:pStyle w:val="0"/>
            </w:pPr>
            <w:r>
              <w:rPr>
                <w:sz w:val="20"/>
              </w:rPr>
            </w:r>
          </w:p>
        </w:tc>
        <w:tc>
          <w:tcPr>
            <w:tcW w:w="1502"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2098" w:type="dxa"/>
          </w:tcPr>
          <w:p>
            <w:pPr>
              <w:pStyle w:val="0"/>
            </w:pPr>
            <w:r>
              <w:rPr>
                <w:sz w:val="20"/>
              </w:rPr>
            </w:r>
          </w:p>
        </w:tc>
      </w:tr>
      <w:tr>
        <w:tc>
          <w:tcPr>
            <w:tcW w:w="528" w:type="dxa"/>
          </w:tcPr>
          <w:p>
            <w:pPr>
              <w:pStyle w:val="0"/>
              <w:jc w:val="center"/>
            </w:pPr>
            <w:r>
              <w:rPr>
                <w:sz w:val="20"/>
              </w:rPr>
              <w:t xml:space="preserve">2.</w:t>
            </w:r>
          </w:p>
        </w:tc>
        <w:tc>
          <w:tcPr>
            <w:tcW w:w="1587" w:type="dxa"/>
          </w:tcPr>
          <w:p>
            <w:pPr>
              <w:pStyle w:val="0"/>
            </w:pPr>
            <w:r>
              <w:rPr>
                <w:sz w:val="20"/>
              </w:rPr>
            </w:r>
          </w:p>
        </w:tc>
        <w:tc>
          <w:tcPr>
            <w:tcW w:w="1502"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2098" w:type="dxa"/>
          </w:tcPr>
          <w:p>
            <w:pPr>
              <w:pStyle w:val="0"/>
            </w:pPr>
            <w:r>
              <w:rPr>
                <w:sz w:val="20"/>
              </w:rPr>
            </w:r>
          </w:p>
        </w:tc>
      </w:tr>
      <w:tr>
        <w:tc>
          <w:tcPr>
            <w:gridSpan w:val="4"/>
            <w:tcW w:w="5204" w:type="dxa"/>
          </w:tcPr>
          <w:p>
            <w:pPr>
              <w:pStyle w:val="0"/>
            </w:pPr>
            <w:r>
              <w:rPr>
                <w:sz w:val="20"/>
              </w:rPr>
              <w:t xml:space="preserve">Итого:</w:t>
            </w:r>
          </w:p>
        </w:tc>
        <w:tc>
          <w:tcPr>
            <w:tcW w:w="1757" w:type="dxa"/>
          </w:tcPr>
          <w:p>
            <w:pPr>
              <w:pStyle w:val="0"/>
            </w:pPr>
            <w:r>
              <w:rPr>
                <w:sz w:val="20"/>
              </w:rPr>
            </w:r>
          </w:p>
        </w:tc>
        <w:tc>
          <w:tcPr>
            <w:tcW w:w="2098" w:type="dxa"/>
          </w:tcPr>
          <w:p>
            <w:pPr>
              <w:pStyle w:val="0"/>
            </w:pPr>
            <w:r>
              <w:rPr>
                <w:sz w:val="20"/>
              </w:rPr>
            </w:r>
          </w:p>
        </w:tc>
      </w:tr>
    </w:tbl>
    <w:p>
      <w:pPr>
        <w:pStyle w:val="0"/>
        <w:jc w:val="both"/>
      </w:pPr>
      <w:r>
        <w:rPr>
          <w:sz w:val="20"/>
        </w:rPr>
      </w:r>
    </w:p>
    <w:p>
      <w:pPr>
        <w:pStyle w:val="1"/>
        <w:jc w:val="both"/>
      </w:pPr>
      <w:r>
        <w:rPr>
          <w:sz w:val="20"/>
        </w:rPr>
        <w:t xml:space="preserve">Руководитель: ________________  _____________________</w:t>
      </w:r>
    </w:p>
    <w:p>
      <w:pPr>
        <w:pStyle w:val="1"/>
        <w:jc w:val="both"/>
      </w:pPr>
      <w:r>
        <w:rPr>
          <w:sz w:val="20"/>
        </w:rPr>
        <w:t xml:space="preserve">                  (подпись)        (расшифровка)</w:t>
      </w:r>
    </w:p>
    <w:p>
      <w:pPr>
        <w:pStyle w:val="1"/>
        <w:jc w:val="both"/>
      </w:pPr>
      <w:r>
        <w:rPr>
          <w:sz w:val="20"/>
        </w:rPr>
        <w:t xml:space="preserve">Бухгалтер: ________________  _____________________</w:t>
      </w:r>
    </w:p>
    <w:p>
      <w:pPr>
        <w:pStyle w:val="1"/>
        <w:jc w:val="both"/>
      </w:pPr>
      <w:r>
        <w:rPr>
          <w:sz w:val="20"/>
        </w:rPr>
        <w:t xml:space="preserve">               (подпись)         (расшифровка)</w:t>
      </w:r>
    </w:p>
    <w:p>
      <w:pPr>
        <w:pStyle w:val="1"/>
        <w:jc w:val="both"/>
      </w:pPr>
      <w:r>
        <w:rPr>
          <w:sz w:val="20"/>
        </w:rPr>
        <w:t xml:space="preserve">Дата составления: "__" 202_ г.</w:t>
      </w:r>
    </w:p>
    <w:p>
      <w:pPr>
        <w:pStyle w:val="1"/>
        <w:jc w:val="both"/>
      </w:pPr>
      <w:r>
        <w:rPr>
          <w:sz w:val="20"/>
        </w:rPr>
      </w:r>
    </w:p>
    <w:p>
      <w:pPr>
        <w:pStyle w:val="1"/>
        <w:jc w:val="both"/>
      </w:pPr>
      <w:r>
        <w:rPr>
          <w:sz w:val="20"/>
        </w:rPr>
        <w:t xml:space="preserve">М.П.</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экономического развития Липецкой обл. от 30.09.2025 N 127</w:t>
            <w:br/>
            <w:t>"Об утверждении Порядка предоставления суб...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RLAW220&amp;n=144797&amp;dst=100031" TargetMode = "External"/><Relationship Id="rId10" Type="http://schemas.openxmlformats.org/officeDocument/2006/relationships/hyperlink" Target="https://login.consultant.ru/link/?req=doc&amp;base=RLAW220&amp;n=148577&amp;dst=108224" TargetMode = "External"/><Relationship Id="rId11" Type="http://schemas.openxmlformats.org/officeDocument/2006/relationships/hyperlink" Target="www.pravo.gov.ru" TargetMode = "External"/><Relationship Id="rId12" Type="http://schemas.openxmlformats.org/officeDocument/2006/relationships/hyperlink" Target="http://&#1101;&#1082;&#1086;&#1085;&#1086;&#1084;&#1080;&#1082;&#1072;.&#1083;&#1080;&#1087;&#1077;&#1094;&#1082;&#1072;&#1103;&#1086;&#1073;&#1083;&#1072;&#1089;&#1090;&#1100;.&#1088;&#1092;" TargetMode = "External"/><Relationship Id="rId13" Type="http://schemas.openxmlformats.org/officeDocument/2006/relationships/hyperlink" Target="https://login.consultant.ru/link/?req=doc&amp;base=RLAW220&amp;n=148577&amp;dst=108224" TargetMode = "External"/><Relationship Id="rId14" Type="http://schemas.openxmlformats.org/officeDocument/2006/relationships/hyperlink" Target="http://budget.gov.ru" TargetMode = "External"/><Relationship Id="rId15" Type="http://schemas.openxmlformats.org/officeDocument/2006/relationships/hyperlink" Target="http://&#1101;&#1082;&#1086;&#1085;&#1086;&#1084;&#1080;&#1082;&#1072;.&#1083;&#1080;&#1087;&#1077;&#1094;&#1082;&#1072;&#1103;&#1086;&#1073;&#1083;&#1072;&#1089;&#1090;&#1100;.&#1088;&#1092;/" TargetMode = "External"/><Relationship Id="rId16" Type="http://schemas.openxmlformats.org/officeDocument/2006/relationships/hyperlink" Target="https://login.consultant.ru/link/?req=doc&amp;base=LAW&amp;n=518052&amp;dst=100021" TargetMode = "External"/><Relationship Id="rId17" Type="http://schemas.openxmlformats.org/officeDocument/2006/relationships/hyperlink" Target="https://login.consultant.ru/link/?req=doc&amp;base=LAW&amp;n=121087&amp;dst=100142" TargetMode = "External"/><Relationship Id="rId18" Type="http://schemas.openxmlformats.org/officeDocument/2006/relationships/hyperlink" Target="https://login.consultant.ru/link/?req=doc&amp;base=LAW&amp;n=503698" TargetMode = "External"/><Relationship Id="rId19" Type="http://schemas.openxmlformats.org/officeDocument/2006/relationships/hyperlink" Target="https://login.consultant.ru/link/?req=doc&amp;base=LAW&amp;n=520119&amp;dst=5769" TargetMode = "External"/><Relationship Id="rId20" Type="http://schemas.openxmlformats.org/officeDocument/2006/relationships/hyperlink" Target="https://login.consultant.ru/link/?req=doc&amp;base=LAW&amp;n=520119&amp;dst=5769" TargetMode = "External"/><Relationship Id="rId21" Type="http://schemas.openxmlformats.org/officeDocument/2006/relationships/hyperlink" Target="https://login.consultant.ru/link/?req=doc&amp;base=LAW&amp;n=520154&amp;dst=3704" TargetMode = "External"/><Relationship Id="rId22" Type="http://schemas.openxmlformats.org/officeDocument/2006/relationships/hyperlink" Target="https://login.consultant.ru/link/?req=doc&amp;base=LAW&amp;n=520154&amp;dst=3722" TargetMode = "External"/><Relationship Id="rId23" Type="http://schemas.openxmlformats.org/officeDocument/2006/relationships/image" Target="media/image2.wmf"/><Relationship Id="rId24" Type="http://schemas.openxmlformats.org/officeDocument/2006/relationships/hyperlink" Target="https://login.consultant.ru/link/?req=doc&amp;base=LAW&amp;n=520154&amp;dst=3704" TargetMode = "External"/><Relationship Id="rId25"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экономического развития Липецкой обл. от 30.09.2025 N 127
"Об утверждении Порядка предоставления субсидий социально ориентированным некоммерческим организациям на реализацию проектов, направленных на развитие детского (подросткового) туризма"</dc:title>
  <dcterms:created xsi:type="dcterms:W3CDTF">2026-01-08T12:46:48Z</dcterms:created>
</cp:coreProperties>
</file>