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внутренней политики Липецкой обл. от 22.05.2023 N 12-НХ</w:t>
              <w:br/>
              <w:t xml:space="preserve">"Об утверждении Порядка определения объема и предоставления субсидий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ВНУТРЕННЕЙ ПОЛИТИКИ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2023 г. N 12-НХ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НА РЕАЛИЗАЦИЮ МЕРОПРИЯТИЙ ПО ОКАЗАНИЮ</w:t>
      </w:r>
    </w:p>
    <w:p>
      <w:pPr>
        <w:pStyle w:val="2"/>
        <w:jc w:val="center"/>
      </w:pPr>
      <w:r>
        <w:rPr>
          <w:sz w:val="20"/>
        </w:rPr>
        <w:t xml:space="preserve">ИНФОРМАЦИОННОЙ, МЕТОДИЧЕСКОЙ, КОНСУЛЬТАЦИОННОЙ ПОДДЕРЖКИ,</w:t>
      </w:r>
    </w:p>
    <w:p>
      <w:pPr>
        <w:pStyle w:val="2"/>
        <w:jc w:val="center"/>
      </w:pPr>
      <w:r>
        <w:rPr>
          <w:sz w:val="20"/>
        </w:rPr>
        <w:t xml:space="preserve">ПОДГОТОВКЕ И ДОПОЛНИТЕЛЬНОМУ ПРОФЕССИОНАЛЬНОМУ ОБРАЗОВАНИЮ</w:t>
      </w:r>
    </w:p>
    <w:p>
      <w:pPr>
        <w:pStyle w:val="2"/>
        <w:jc w:val="center"/>
      </w:pPr>
      <w:r>
        <w:rPr>
          <w:sz w:val="20"/>
        </w:rPr>
        <w:t xml:space="preserve">РАБОТНИКОВ И ДОБРОВОЛЬЦЕВ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Л.В.ФРОЛОВА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внутренней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 по оказанию</w:t>
      </w:r>
    </w:p>
    <w:p>
      <w:pPr>
        <w:pStyle w:val="0"/>
        <w:jc w:val="right"/>
      </w:pPr>
      <w:r>
        <w:rPr>
          <w:sz w:val="20"/>
        </w:rPr>
        <w:t xml:space="preserve">информационной, методической,</w:t>
      </w:r>
    </w:p>
    <w:p>
      <w:pPr>
        <w:pStyle w:val="0"/>
        <w:jc w:val="right"/>
      </w:pPr>
      <w:r>
        <w:rPr>
          <w:sz w:val="20"/>
        </w:rPr>
        <w:t xml:space="preserve">консультационной поддержки,</w:t>
      </w:r>
    </w:p>
    <w:p>
      <w:pPr>
        <w:pStyle w:val="0"/>
        <w:jc w:val="right"/>
      </w:pPr>
      <w:r>
        <w:rPr>
          <w:sz w:val="20"/>
        </w:rPr>
        <w:t xml:space="preserve">подготовке и дополнительному</w:t>
      </w:r>
    </w:p>
    <w:p>
      <w:pPr>
        <w:pStyle w:val="0"/>
        <w:jc w:val="right"/>
      </w:pPr>
      <w:r>
        <w:rPr>
          <w:sz w:val="20"/>
        </w:rPr>
        <w:t xml:space="preserve">профессиональному образованию</w:t>
      </w:r>
    </w:p>
    <w:p>
      <w:pPr>
        <w:pStyle w:val="0"/>
        <w:jc w:val="right"/>
      </w:pPr>
      <w:r>
        <w:rPr>
          <w:sz w:val="20"/>
        </w:rPr>
        <w:t xml:space="preserve">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ПО ОКАЗАНИЮ ИНФОРМАЦИОННОЙ, МЕТОДИЧЕСКОЙ,</w:t>
      </w:r>
    </w:p>
    <w:p>
      <w:pPr>
        <w:pStyle w:val="2"/>
        <w:jc w:val="center"/>
      </w:pPr>
      <w:r>
        <w:rPr>
          <w:sz w:val="20"/>
        </w:rPr>
        <w:t xml:space="preserve">КОНСУЛЬТАЦИОННОЙ ПОДДЕРЖКИ, ПОДГОТОВКЕ И ДОПОЛНИТЕЛЬНОМУ</w:t>
      </w:r>
    </w:p>
    <w:p>
      <w:pPr>
        <w:pStyle w:val="2"/>
        <w:jc w:val="center"/>
      </w:pPr>
      <w:r>
        <w:rPr>
          <w:sz w:val="20"/>
        </w:rPr>
        <w:t xml:space="preserve">ПРОФЕССИОНАЛЬНОМУ ОБРАЗОВАНИЮ РАБОТНИКОВ И ДОБРОВОЛЬЦЕВ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(далее соответственно - субсидия, мероприятия), в пределах средств, предусмотренных на эти цели в Законе Липецкой области об областном бюджете на соответствующий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исполнения государственной </w:t>
      </w:r>
      <w:hyperlink w:history="0" r:id="rId10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внутренней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http://nko48.ru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66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68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организаций, организованных в году, предшествующем году предоставления субсидии, - не менее 5 мероприятий.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1" w:tooltip="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55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87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30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планируемые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об отсутствии задолженности по заработной плате перед сотрудниками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участника отбора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бюджет,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68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77" w:tooltip="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 и осуществляет их проверку на соответствие предъявляемым настоящим Порядком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отбор, исходя из соответствия участника отбора категории, указанной в </w:t>
      </w:r>
      <w:hyperlink w:history="0" w:anchor="P50" w:tooltip="4. Субсидия предоставляется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критериев отбора, указанному в </w:t>
      </w:r>
      <w:hyperlink w:history="0" w:anchor="P66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рассматривает и подписывает приказ, подготовленный в соответствии с требованиями </w:t>
      </w:r>
      <w:hyperlink w:history="0" w:anchor="P91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приказа об утверждении перечня получателей субсидии), либо возвращает проект приказа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2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Субсидии предоставляются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организаций, организованных и проведенных с участием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социально ориентированных некоммерческих организаций, получивших информационную, методическую, консультационную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работников и добровольцев социально ориентированных некоммерческих организаций, получивших дополнительное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информационных и методических материалов, разработанных и направленных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 (в печатных средствах массовой информации, новостных лентах информационных агентств, в интернет-версиях печатных средств массовой информации, на информационных каналах средств массовой информации, в общедоступных группах в социальных сетях) о проведенных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значение характеристики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6" w:tooltip="1. Настоящий Порядок устанавливает механизм определения объема и предоставления субсидий из областного бюджета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 (далее соответственно - субсидия, мероприятия), в пределах средств, предусмотренных на эти цели в Законе Липецкой области об областном бюджете на соответствующий г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876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соответствующий финансовый год на цели, установленные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 (далее - отчет). Отчетным периодом является квартал. Отчет представляется не позднее 10 рабочих дней, следующих за отчетным периодом по форме, утвержденной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информационной,</w:t>
      </w:r>
    </w:p>
    <w:p>
      <w:pPr>
        <w:pStyle w:val="0"/>
        <w:jc w:val="right"/>
      </w:pPr>
      <w:r>
        <w:rPr>
          <w:sz w:val="20"/>
        </w:rPr>
        <w:t xml:space="preserve">методической, 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поддержки, подготовке и дополнительному</w:t>
      </w:r>
    </w:p>
    <w:p>
      <w:pPr>
        <w:pStyle w:val="0"/>
        <w:jc w:val="right"/>
      </w:pPr>
      <w:r>
        <w:rPr>
          <w:sz w:val="20"/>
        </w:rPr>
        <w:t xml:space="preserve">профессиональному образованию</w:t>
      </w:r>
    </w:p>
    <w:p>
      <w:pPr>
        <w:pStyle w:val="0"/>
        <w:jc w:val="right"/>
      </w:pPr>
      <w:r>
        <w:rPr>
          <w:sz w:val="20"/>
        </w:rPr>
        <w:t xml:space="preserve">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внутренней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Рег. N _____ от 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155" w:name="P155"/>
    <w:bookmarkEnd w:id="155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с условиями предоставления субсидии,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 на  реализацию мероприятий по оказанию</w:t>
      </w:r>
    </w:p>
    <w:p>
      <w:pPr>
        <w:pStyle w:val="1"/>
        <w:jc w:val="both"/>
      </w:pPr>
      <w:r>
        <w:rPr>
          <w:sz w:val="20"/>
        </w:rPr>
        <w:t xml:space="preserve">информационной,  методической,  консультационной  поддержки,  подготовке  и</w:t>
      </w:r>
    </w:p>
    <w:p>
      <w:pPr>
        <w:pStyle w:val="1"/>
        <w:jc w:val="both"/>
      </w:pPr>
      <w:r>
        <w:rPr>
          <w:sz w:val="20"/>
        </w:rPr>
        <w:t xml:space="preserve">дополнительному  профессиональному  образованию  работников  и добровольцев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92"/>
        <w:gridCol w:w="1303"/>
        <w:gridCol w:w="1303"/>
        <w:gridCol w:w="130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Реализованные мероприятия по оказанию информационной, методической,</w:t>
      </w:r>
    </w:p>
    <w:p>
      <w:pPr>
        <w:pStyle w:val="1"/>
        <w:jc w:val="both"/>
      </w:pPr>
      <w:r>
        <w:rPr>
          <w:sz w:val="20"/>
        </w:rPr>
        <w:t xml:space="preserve">консультационной  поддержки, подготовке и дополнительному профессиональному</w:t>
      </w:r>
    </w:p>
    <w:p>
      <w:pPr>
        <w:pStyle w:val="1"/>
        <w:jc w:val="both"/>
      </w:pPr>
      <w:r>
        <w:rPr>
          <w:sz w:val="20"/>
        </w:rPr>
        <w:t xml:space="preserve">образованию    работников    и   добровольцев   социально  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организаций последние 2 года: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066"/>
        <w:gridCol w:w="243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согласие  участника отбора на публикацию (размещение) на едином портале</w:t>
      </w:r>
    </w:p>
    <w:p>
      <w:pPr>
        <w:pStyle w:val="1"/>
        <w:jc w:val="both"/>
      </w:pPr>
      <w:r>
        <w:rPr>
          <w:sz w:val="20"/>
        </w:rPr>
        <w:t xml:space="preserve">и  на  сайте  Управления  информации  об  участнике  отбора,  о 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___ листах;</w:t>
      </w:r>
    </w:p>
    <w:p>
      <w:pPr>
        <w:pStyle w:val="1"/>
        <w:jc w:val="both"/>
      </w:pPr>
      <w:r>
        <w:rPr>
          <w:sz w:val="20"/>
        </w:rPr>
        <w:t xml:space="preserve">   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план мероприятий на ___ листах;</w:t>
      </w:r>
    </w:p>
    <w:p>
      <w:pPr>
        <w:pStyle w:val="1"/>
        <w:jc w:val="both"/>
      </w:pPr>
      <w:r>
        <w:rPr>
          <w:sz w:val="20"/>
        </w:rPr>
        <w:t xml:space="preserve">    расчет   необходимого  объема  субсидии  на  проведение  мероприятий 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обоснованность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расходов, на ___ листах;</w:t>
      </w:r>
    </w:p>
    <w:p>
      <w:pPr>
        <w:pStyle w:val="1"/>
        <w:jc w:val="both"/>
      </w:pPr>
      <w:r>
        <w:rPr>
          <w:sz w:val="20"/>
        </w:rPr>
        <w:t xml:space="preserve">    справка   об   отсутствии 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____ листах.</w:t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не нахожусь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Подтверждаю   отсутствие   просроченной  задолженности  по  возврату  в</w:t>
      </w:r>
    </w:p>
    <w:p>
      <w:pPr>
        <w:pStyle w:val="1"/>
        <w:jc w:val="both"/>
      </w:pPr>
      <w:r>
        <w:rPr>
          <w:sz w:val="20"/>
        </w:rPr>
        <w:t xml:space="preserve">областной бюджет, субсидий, грантов в форме субсидий, бюджетных инвестиций,</w:t>
      </w:r>
    </w:p>
    <w:p>
      <w:pPr>
        <w:pStyle w:val="1"/>
        <w:jc w:val="both"/>
      </w:pPr>
      <w:r>
        <w:rPr>
          <w:sz w:val="20"/>
        </w:rPr>
        <w:t xml:space="preserve">а  также  иной  просроченной  (неурегулированная) задолженности по денежным</w:t>
      </w:r>
    </w:p>
    <w:p>
      <w:pPr>
        <w:pStyle w:val="1"/>
        <w:jc w:val="both"/>
      </w:pPr>
      <w:r>
        <w:rPr>
          <w:sz w:val="20"/>
        </w:rPr>
        <w:t xml:space="preserve">обязательствам перед областным бюджетом.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 не  является  получателем  средств</w:t>
      </w:r>
    </w:p>
    <w:p>
      <w:pPr>
        <w:pStyle w:val="1"/>
        <w:jc w:val="both"/>
      </w:pPr>
      <w:r>
        <w:rPr>
          <w:sz w:val="20"/>
        </w:rPr>
        <w:t xml:space="preserve">областного  бюджета  в  соответствии  с иными нормативными правовыми актами</w:t>
      </w:r>
    </w:p>
    <w:p>
      <w:pPr>
        <w:pStyle w:val="1"/>
        <w:jc w:val="both"/>
      </w:pPr>
      <w:r>
        <w:rPr>
          <w:sz w:val="20"/>
        </w:rPr>
        <w:t xml:space="preserve">области  в  текущем  финансовом  году на реализацию мероприятий по оказанию</w:t>
      </w:r>
    </w:p>
    <w:p>
      <w:pPr>
        <w:pStyle w:val="1"/>
        <w:jc w:val="both"/>
      </w:pPr>
      <w:r>
        <w:rPr>
          <w:sz w:val="20"/>
        </w:rPr>
        <w:t xml:space="preserve">информационной,  методической,  консультационной  поддержки,  подготовке  и</w:t>
      </w:r>
    </w:p>
    <w:p>
      <w:pPr>
        <w:pStyle w:val="1"/>
        <w:jc w:val="both"/>
      </w:pPr>
      <w:r>
        <w:rPr>
          <w:sz w:val="20"/>
        </w:rPr>
        <w:t xml:space="preserve">дополнительному  профессиональному  образованию  работников  и добровольцев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ориентированных некоммерческих организаций.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Уведомление       прошу       направить       следующим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информационной,</w:t>
      </w:r>
    </w:p>
    <w:p>
      <w:pPr>
        <w:pStyle w:val="0"/>
        <w:jc w:val="right"/>
      </w:pPr>
      <w:r>
        <w:rPr>
          <w:sz w:val="20"/>
        </w:rPr>
        <w:t xml:space="preserve">методической, 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поддержки, подготовке и дополнительному</w:t>
      </w:r>
    </w:p>
    <w:p>
      <w:pPr>
        <w:pStyle w:val="0"/>
        <w:jc w:val="right"/>
      </w:pPr>
      <w:r>
        <w:rPr>
          <w:sz w:val="20"/>
        </w:rPr>
        <w:t xml:space="preserve">профессиональному образованию</w:t>
      </w:r>
    </w:p>
    <w:p>
      <w:pPr>
        <w:pStyle w:val="0"/>
        <w:jc w:val="right"/>
      </w:pPr>
      <w:r>
        <w:rPr>
          <w:sz w:val="20"/>
        </w:rPr>
        <w:t xml:space="preserve">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287" w:name="P287"/>
    <w:bookmarkEnd w:id="287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2381"/>
        <w:gridCol w:w="1587"/>
        <w:gridCol w:w="2098"/>
        <w:gridCol w:w="2268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информационной,</w:t>
      </w:r>
    </w:p>
    <w:p>
      <w:pPr>
        <w:pStyle w:val="0"/>
        <w:jc w:val="right"/>
      </w:pPr>
      <w:r>
        <w:rPr>
          <w:sz w:val="20"/>
        </w:rPr>
        <w:t xml:space="preserve">методической, консультационной</w:t>
      </w:r>
    </w:p>
    <w:p>
      <w:pPr>
        <w:pStyle w:val="0"/>
        <w:jc w:val="right"/>
      </w:pPr>
      <w:r>
        <w:rPr>
          <w:sz w:val="20"/>
        </w:rPr>
        <w:t xml:space="preserve">поддержки, подготовке и дополнительному</w:t>
      </w:r>
    </w:p>
    <w:p>
      <w:pPr>
        <w:pStyle w:val="0"/>
        <w:jc w:val="right"/>
      </w:pPr>
      <w:r>
        <w:rPr>
          <w:sz w:val="20"/>
        </w:rPr>
        <w:t xml:space="preserve">профессиональному образованию</w:t>
      </w:r>
    </w:p>
    <w:p>
      <w:pPr>
        <w:pStyle w:val="0"/>
        <w:jc w:val="right"/>
      </w:pPr>
      <w:r>
        <w:rPr>
          <w:sz w:val="20"/>
        </w:rPr>
        <w:t xml:space="preserve">работников и добровольцев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330" w:name="P330"/>
    <w:bookmarkEnd w:id="330"/>
    <w:p>
      <w:pPr>
        <w:pStyle w:val="1"/>
        <w:jc w:val="both"/>
      </w:pPr>
      <w:r>
        <w:rPr>
          <w:sz w:val="20"/>
        </w:rPr>
        <w:t xml:space="preserve"> 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57"/>
        <w:gridCol w:w="1531"/>
        <w:gridCol w:w="1303"/>
        <w:gridCol w:w="1303"/>
        <w:gridCol w:w="1303"/>
        <w:gridCol w:w="130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5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внутренней политики Липецкой обл. от 22.05.2023 N 12-НХ</w:t>
            <w:br/>
            <w:t>"Об утверждении Порядка определения объема 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2643C63F1C61E6F9FAD772F62ABD295EF5B097A815A467D6F1E1D18DF0ED5CC266C9BC9C9AACA43AFE1A2F0F25412B4C5F6FB5A9E977s8M" TargetMode = "External"/>
	<Relationship Id="rId8" Type="http://schemas.openxmlformats.org/officeDocument/2006/relationships/hyperlink" Target="consultantplus://offline/ref=E82643C63F1C61E6F9FAC97FE046E1265AFDEC98AA14AF318FA3E786D2A0EB098226CFEFCFD9F9A26FAD407A043A41354E75sAM" TargetMode = "External"/>
	<Relationship Id="rId9" Type="http://schemas.openxmlformats.org/officeDocument/2006/relationships/hyperlink" Target="consultantplus://offline/ref=E82643C63F1C61E6F9FAC97FE046E1265AFDEC98AA17A8398FA3E786D2A0EB098226CFEFDDD9A1AE6EA85C7A062F1764080C7CB6ABF57B0ACD4FB4907Ds3M" TargetMode = "External"/>
	<Relationship Id="rId10" Type="http://schemas.openxmlformats.org/officeDocument/2006/relationships/hyperlink" Target="consultantplus://offline/ref=E82643C63F1C61E6F9FAC97FE046E1265AFDEC98AA17A8398FA3E786D2A0EB098226CFEFDDD9A1AE6EA85C7A062F1764080C7CB6ABF57B0ACD4FB4907Ds3M" TargetMode = "External"/>
	<Relationship Id="rId11" Type="http://schemas.openxmlformats.org/officeDocument/2006/relationships/image" Target="media/image2.wmf"/>
	<Relationship Id="rId12" Type="http://schemas.openxmlformats.org/officeDocument/2006/relationships/image" Target="media/image3.wmf"/>
	<Relationship Id="rId13" Type="http://schemas.openxmlformats.org/officeDocument/2006/relationships/hyperlink" Target="consultantplus://offline/ref=E82643C63F1C61E6F9FAD772F62ABD295EF5B097A815A467D6F1E1D18DF0ED5CC266C9B8999DA8A43AFE1A2F0F25412B4C5F6FB5A9E977s8M" TargetMode = "External"/>
	<Relationship Id="rId14" Type="http://schemas.openxmlformats.org/officeDocument/2006/relationships/hyperlink" Target="consultantplus://offline/ref=E82643C63F1C61E6F9FAD772F62ABD295EF5B097A815A467D6F1E1D18DF0ED5CC266C9B8999FAEA43AFE1A2F0F25412B4C5F6FB5A9E977s8M" TargetMode = "External"/>
	<Relationship Id="rId15" Type="http://schemas.openxmlformats.org/officeDocument/2006/relationships/hyperlink" Target="consultantplus://offline/ref=E82643C63F1C61E6F9FAD772F62ABD295EF5B097A815A467D6F1E1D18DF0ED5CC266C9B8999DA8A43AFE1A2F0F25412B4C5F6FB5A9E977s8M" TargetMode = "External"/>
	<Relationship Id="rId16" Type="http://schemas.openxmlformats.org/officeDocument/2006/relationships/hyperlink" Target="consultantplus://offline/ref=E82643C63F1C61E6F9FAD772F62ABD295EF5B097A815A467D6F1E1D18DF0ED5CC266C9B8999FAEA43AFE1A2F0F25412B4C5F6FB5A9E977s8M" TargetMode = "External"/>
	<Relationship Id="rId17" Type="http://schemas.openxmlformats.org/officeDocument/2006/relationships/hyperlink" Target="consultantplus://offline/ref=E82643C63F1C61E6F9FAD772F62ABD295EF5BB97AB14A467D6F1E1D18DF0ED5CD06691B69F9FB2AF68B15C7A0072s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внутренней политики Липецкой обл. от 22.05.2023 N 12-НХ
"Об утверждении Порядка определения объема и предоставления субсидий на реализацию мероприятий по оказанию информационной, методической, консультационной поддержки, подготовке и дополнительному профессиональному образованию работников и добровольцев социально ориентированных некоммерческих организаций"</dc:title>
  <dcterms:created xsi:type="dcterms:W3CDTF">2023-06-12T12:44:59Z</dcterms:created>
</cp:coreProperties>
</file>