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искусства Липецкой обл. от 22.04.2024 N 155</w:t>
              <w:br/>
              <w:t xml:space="preserve">"Об утверждении Порядка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ИСКУССТВА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2024 г. N 155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ПОПУЛЯРИЗАЦИЮ ЛИТЕРАТУРНЫХ</w:t>
      </w:r>
    </w:p>
    <w:p>
      <w:pPr>
        <w:pStyle w:val="2"/>
        <w:jc w:val="center"/>
      </w:pPr>
      <w:r>
        <w:rPr>
          <w:sz w:val="20"/>
        </w:rPr>
        <w:t xml:space="preserve">ПРОИЗВЕДЕНИЙ ПИСАТЕЛЕЙ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Правительства Липецкой области от 27 декабря 2023 года N 794,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искусства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популяризацию литературных</w:t>
      </w:r>
    </w:p>
    <w:p>
      <w:pPr>
        <w:pStyle w:val="0"/>
        <w:jc w:val="right"/>
      </w:pPr>
      <w:r>
        <w:rPr>
          <w:sz w:val="20"/>
        </w:rPr>
        <w:t xml:space="preserve">произведений писателей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ПРОЕКТОВ,</w:t>
      </w:r>
    </w:p>
    <w:p>
      <w:pPr>
        <w:pStyle w:val="2"/>
        <w:jc w:val="center"/>
      </w:pPr>
      <w:r>
        <w:rPr>
          <w:sz w:val="20"/>
        </w:rPr>
        <w:t xml:space="preserve">НАПРАВЛЕННЫХ НА ПОПУЛЯРИЗАЦИЮ ЛИТЕРАТУРНЫХ ПРОИЗВЕДЕНИЙ</w:t>
      </w:r>
    </w:p>
    <w:p>
      <w:pPr>
        <w:pStyle w:val="2"/>
        <w:jc w:val="center"/>
      </w:pPr>
      <w:r>
        <w:rPr>
          <w:sz w:val="20"/>
        </w:rPr>
        <w:t xml:space="preserve">ПИСАТЕЛЕЙ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субсидия),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реализация проектов, направленных на популяризацию литературных произведений писателей Липецкой области, в соответствии с </w:t>
      </w:r>
      <w:hyperlink w:history="0" r:id="rId10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проектом</w:t>
        </w:r>
      </w:hyperlink>
      <w:r>
        <w:rPr>
          <w:sz w:val="20"/>
        </w:rPr>
        <w:t xml:space="preserve"> "Создание условий для реализации творческого потенциала нации ("Творческие люди")", обеспечивающего достижение целей, показателей и результатов национального проекта "Культура" и государственной программы "Развитие культуры и туризма в Липецкой области", утвержденной постановлением Правительства Липецкой области от 27 декабря 2023 года N 794 "Об утверждении государственной программы Липецкой области "Развитие культуры и туризма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искусства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субсидии размещается на едином портале бюджетной системы Российской Федерации </w:t>
      </w:r>
      <w:r>
        <w:rPr>
          <w:sz w:val="20"/>
        </w:rPr>
        <w:t xml:space="preserve">http://budget.gov.ru</w:t>
      </w:r>
      <w:r>
        <w:rPr>
          <w:sz w:val="20"/>
        </w:rPr>
        <w:t xml:space="preserve"> в информационно-телекоммуникационной сети "Интернет" (далее - единый портал), а также на официальном сайте Управления </w:t>
      </w:r>
      <w:r>
        <w:rPr>
          <w:sz w:val="20"/>
        </w:rPr>
        <w:t xml:space="preserve">https://kultura48.ru</w:t>
      </w:r>
      <w:r>
        <w:rPr>
          <w:sz w:val="20"/>
        </w:rPr>
        <w:t xml:space="preserve"> в информационно-телекоммуникационной сети "Интернет" (далее - сайт Управления).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отбора обеспечивается с использованием сайта Управления.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(неурегулированная) задолженность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справки,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следующим условиям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деятельность на территории Липецкой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опыта в привлечении средств и ресурсов из других источников для реализации социально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составе учредителей участника отбора на получение субсидии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,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политической партии, отсутствие в уставе упоминания наименования политической партии, отсутствие фактов передачи участником отбора на получение субсидии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,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пожертвований политической партии или ее региональному отделению в течение последних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литературных праздников, вечеров, презентаций книг, творческих встреч;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литературных материалов для изданий книг, сборников, публикаций и их редакций;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сборников, книг, рекламной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информационно-рекламная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выполненных работ, оказанных услуг, связанных с деятельностью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47" w:tooltip="7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0" w:tooltip="8. Участник отбора должен соответствовать следующим условиям на дату подачи заявки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представляемых участниками отбора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отбора, указанного в </w:t>
      </w:r>
      <w:hyperlink w:history="0" w:anchor="P94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96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числе, основания для их возврата,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установленного настоящим Порядком,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отбора/документа об итогах проведения отбора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победителя отбора.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проектов, направленных на популяризацию литературных произведений писателей Липецкой области, в году, предшествующем году предоставления субсидии, - не менее 3.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77" w:tooltip="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9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00" w:tooltip="     Проекты, направленные на популяризацию литературных произведений">
        <w:r>
          <w:rPr>
            <w:sz w:val="20"/>
            <w:color w:val="0000ff"/>
          </w:rPr>
          <w:t xml:space="preserve">проектов</w:t>
        </w:r>
      </w:hyperlink>
      <w:r>
        <w:rPr>
          <w:sz w:val="20"/>
        </w:rPr>
        <w:t xml:space="preserve">, направленных на реализацию проектов, направленных на популяризацию литературных произведений писателей Липецкой области,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46" w:tooltip="        Расчет необходимого объема субсидии на реализацию проектов,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реализацию проектов, направленных на популяризацию литературных произведений писателей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копий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об отсутствии задолженности по заработной плате перед сотрудниками на дату подачи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руководителем участника отбора предъявляется документ, удостоверяющий его личность. При представлении документов представителем руководителя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инвестиций, предоставленных, в том числе, в соответствии с иными правовыми актами,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превышающим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14 рабочих дней со дня, следующего за днем окончания срока подачи заявок, указанного в объявлении о проведении отбора: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96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105" w:tooltip="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и осуществляет проверку документов и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указанной в </w:t>
      </w:r>
      <w:hyperlink w:history="0" w:anchor="P45" w:tooltip="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критерию отбора, указанным в </w:t>
      </w:r>
      <w:hyperlink w:history="0" w:anchor="P94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12" w:tooltip="1) уполномоченное лицо:">
        <w:r>
          <w:rPr>
            <w:sz w:val="20"/>
            <w:color w:val="0000ff"/>
          </w:rPr>
          <w:t xml:space="preserve">подпункта 1 пункта 14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Победителями отбора признаются участники отбора, соответствующие установленным настоящим Порядком условиям и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факт и дату направления уведомления получателю субсидии,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Отбор получателей субсидий признается несостоявшимся, о чем оформляется протокол, который публикуется течение 5 рабочих дней со дня его подписания на едином портале и на сайте Управления,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предоставляется в размере, указанном в расчете на получение субсидии, но не более объема средств, предусмотренного Законом об областном бюджете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,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Субсидия перечисляется получателю субсидии единовременно в полном объеме средств, предусмотренных соглашением.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Результатом предоставления субсидии является количество поддержанных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мероприятиях, направленных на популяризацию русского языка и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 (выполнение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,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</w:t>
      </w:r>
      <w:r>
        <w:rPr>
          <w:sz w:val="20"/>
        </w:rPr>
        <w:t xml:space="preserve">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 факт.</w:t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Уполномоченное лицо в течение 5 рабочих дней со дня, следующего за днем заключения с получателями субсидии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лицевые счета получателей субсидии, открытые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Получатели субсидии представляют в Управление отчет о достижении значений результата предоставления субсидии, об осуществлении расходов, источником финансового обеспечения которых является субсидия, ежеквартально не позднее 15 рабочего дня, следующего за отчетным кварталом, по форме, утвержденной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принимает и проверяет отчетность, представленную получателем субсидии, в течение 15 рабочих дней, следующих за днем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увеличении объема бюджетных ассигнований на цели, указанные в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,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 наличии неиспользованных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нового отбора Управление в срок не позднее 3 рабочих дней до даты начала подачи заявок размещает объявление о проведении отбора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 осуществляют Управление, а также орган государственного финансового контроля в соответствии со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Управление проводит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Возврат неиспользованной в отчетном финансовом году субсидии (остатка субсидии) осуществляется в порядки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литературных произведений</w:t>
      </w:r>
    </w:p>
    <w:p>
      <w:pPr>
        <w:pStyle w:val="0"/>
        <w:jc w:val="right"/>
      </w:pPr>
      <w:r>
        <w:rPr>
          <w:sz w:val="20"/>
        </w:rPr>
        <w:t xml:space="preserve">писателей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В управление культуры и искусства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Рег. N _____ от _____ 20__ г.</w:t>
      </w:r>
    </w:p>
    <w:p>
      <w:pPr>
        <w:pStyle w:val="1"/>
        <w:jc w:val="both"/>
      </w:pPr>
      <w:r>
        <w:rPr>
          <w:sz w:val="20"/>
        </w:rPr>
      </w:r>
    </w:p>
    <w:bookmarkStart w:id="190" w:name="P190"/>
    <w:bookmarkEnd w:id="19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на реализацию проектов, направленных на</w:t>
      </w:r>
    </w:p>
    <w:p>
      <w:pPr>
        <w:pStyle w:val="1"/>
        <w:jc w:val="both"/>
      </w:pPr>
      <w:r>
        <w:rPr>
          <w:sz w:val="20"/>
        </w:rPr>
        <w:t xml:space="preserve">популяризацию литературных произведений писателей Липецкой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762"/>
        <w:gridCol w:w="362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направления уведомления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(почтой/электронной почтой)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 средств  и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60"/>
        <w:gridCol w:w="2268"/>
        <w:gridCol w:w="3458"/>
        <w:gridCol w:w="18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Проекты,  направленные  на  популяризацию литературных произведений</w:t>
      </w:r>
    </w:p>
    <w:p>
      <w:pPr>
        <w:pStyle w:val="1"/>
        <w:jc w:val="both"/>
      </w:pPr>
      <w:r>
        <w:rPr>
          <w:sz w:val="20"/>
        </w:rPr>
        <w:t xml:space="preserve">писателей  в  Липецкой  области, реализованные в  году, предшествующем году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266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 справка об отсутствии у участника отбора задолженности по заработной</w:t>
      </w:r>
    </w:p>
    <w:p>
      <w:pPr>
        <w:pStyle w:val="1"/>
        <w:jc w:val="both"/>
      </w:pPr>
      <w:r>
        <w:rPr>
          <w:sz w:val="20"/>
        </w:rPr>
        <w:t xml:space="preserve">плате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- копия устава участника отбора;</w:t>
      </w:r>
    </w:p>
    <w:p>
      <w:pPr>
        <w:pStyle w:val="1"/>
        <w:jc w:val="both"/>
      </w:pPr>
      <w:r>
        <w:rPr>
          <w:sz w:val="20"/>
        </w:rPr>
        <w:t xml:space="preserve">    -  </w:t>
      </w:r>
      <w:hyperlink w:history="0" w:anchor="P400" w:tooltip="     Проекты, направленные на популяризацию литературных произведений">
        <w:r>
          <w:rPr>
            <w:sz w:val="20"/>
            <w:color w:val="0000ff"/>
          </w:rPr>
          <w:t xml:space="preserve">проекты</w:t>
        </w:r>
      </w:hyperlink>
      <w:r>
        <w:rPr>
          <w:sz w:val="20"/>
        </w:rPr>
        <w:t xml:space="preserve">,  направленные  на  популяризацию  литературных произведений</w:t>
      </w:r>
    </w:p>
    <w:p>
      <w:pPr>
        <w:pStyle w:val="1"/>
        <w:jc w:val="both"/>
      </w:pPr>
      <w:r>
        <w:rPr>
          <w:sz w:val="20"/>
        </w:rPr>
        <w:t xml:space="preserve">писателей  Липецкой  области,  по  форме согласно приложению 2 к настоящему</w:t>
      </w:r>
    </w:p>
    <w:p>
      <w:pPr>
        <w:pStyle w:val="1"/>
        <w:jc w:val="both"/>
      </w:pPr>
      <w:r>
        <w:rPr>
          <w:sz w:val="20"/>
        </w:rPr>
        <w:t xml:space="preserve">Порядку;</w:t>
      </w:r>
    </w:p>
    <w:p>
      <w:pPr>
        <w:pStyle w:val="1"/>
        <w:jc w:val="both"/>
      </w:pPr>
      <w:r>
        <w:rPr>
          <w:sz w:val="20"/>
        </w:rPr>
        <w:t xml:space="preserve">    -   </w:t>
      </w:r>
      <w:hyperlink w:history="0" w:anchor="P446" w:tooltip="        Расчет необходимого объема субсидии на реализацию проектов,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  необходимого   объема  субсидии  на  реализацию  проектов,</w:t>
      </w:r>
    </w:p>
    <w:p>
      <w:pPr>
        <w:pStyle w:val="1"/>
        <w:jc w:val="both"/>
      </w:pPr>
      <w:r>
        <w:rPr>
          <w:sz w:val="20"/>
        </w:rPr>
        <w:t xml:space="preserve">направленных  на популяризацию литературных произведений писателей Липецкой</w:t>
      </w:r>
    </w:p>
    <w:p>
      <w:pPr>
        <w:pStyle w:val="1"/>
        <w:jc w:val="both"/>
      </w:pPr>
      <w:r>
        <w:rPr>
          <w:sz w:val="20"/>
        </w:rPr>
        <w:t xml:space="preserve">области, по форме согласно приложению 3 к настоящему Порядку;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 из  других  источников для реализации социально значимых проектов</w:t>
      </w:r>
    </w:p>
    <w:p>
      <w:pPr>
        <w:pStyle w:val="1"/>
        <w:jc w:val="both"/>
      </w:pPr>
      <w:r>
        <w:rPr>
          <w:sz w:val="20"/>
        </w:rPr>
        <w:t xml:space="preserve">(банковских документов, соглашений, договоров);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документов.</w:t>
      </w:r>
    </w:p>
    <w:p>
      <w:pPr>
        <w:pStyle w:val="1"/>
        <w:jc w:val="both"/>
      </w:pPr>
      <w:r>
        <w:rPr>
          <w:sz w:val="20"/>
        </w:rPr>
        <w:t xml:space="preserve">    Согласен  на  проведение  управлением  культуры  и  искусства 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числе в части достижения результата предоставления субсидии, а также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значений результата предоставления субсидии, указанного в пункте</w:t>
      </w:r>
    </w:p>
    <w:p>
      <w:pPr>
        <w:pStyle w:val="1"/>
        <w:jc w:val="both"/>
      </w:pPr>
      <w:hyperlink w:history="0" w:anchor="P151" w:tooltip="26. Результатом предоставления субсидии является количество поддержанных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порядка   и   условий   предоставления   субсидии   мне   известно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дает  свое  согласие  на  осуществление  управлением  культуры  и искусства</w:t>
      </w:r>
    </w:p>
    <w:p>
      <w:pPr>
        <w:pStyle w:val="1"/>
        <w:jc w:val="both"/>
      </w:pPr>
      <w:r>
        <w:rPr>
          <w:sz w:val="20"/>
        </w:rPr>
        <w:t xml:space="preserve">Липецкой    области   проверок   достоверности   сведений   и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проектов, направленных на популяризацию литературных произведений писателей</w:t>
      </w:r>
    </w:p>
    <w:p>
      <w:pPr>
        <w:pStyle w:val="1"/>
        <w:jc w:val="both"/>
      </w:pPr>
      <w:r>
        <w:rPr>
          <w:sz w:val="20"/>
        </w:rPr>
        <w:t xml:space="preserve">Липецкой области;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 участнике отбора, о подаваемой им заявке и иной</w:t>
      </w:r>
    </w:p>
    <w:p>
      <w:pPr>
        <w:pStyle w:val="1"/>
        <w:jc w:val="both"/>
      </w:pPr>
      <w:r>
        <w:rPr>
          <w:sz w:val="20"/>
        </w:rPr>
        <w:t xml:space="preserve">информации об участнике отбора, связанной с отбором;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 (неурегулированная) задолженность в</w:t>
      </w:r>
    </w:p>
    <w:p>
      <w:pPr>
        <w:pStyle w:val="1"/>
        <w:jc w:val="both"/>
      </w:pPr>
      <w:r>
        <w:rPr>
          <w:sz w:val="20"/>
        </w:rPr>
        <w:t xml:space="preserve">областной бюджет по арендной плате на дату подачи заявки отсутствует;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в процессе реорганизации,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 участника   отбора   не   введена  процедура  банкротства,  его</w:t>
      </w:r>
    </w:p>
    <w:p>
      <w:pPr>
        <w:pStyle w:val="1"/>
        <w:jc w:val="both"/>
      </w:pPr>
      <w:r>
        <w:rPr>
          <w:sz w:val="20"/>
        </w:rPr>
        <w:t xml:space="preserve">деятельность не приостановлена в порядке,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на   дату   подачи  заявки  участник  отбора  не  является  иностранным</w:t>
      </w:r>
    </w:p>
    <w:p>
      <w:pPr>
        <w:pStyle w:val="1"/>
        <w:jc w:val="both"/>
      </w:pPr>
      <w:r>
        <w:rPr>
          <w:sz w:val="20"/>
        </w:rPr>
        <w:t xml:space="preserve">юридическим  лицом,  в  том  числе  местом  регистрации  которого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используемых  для промежуточного (офшорного) владения активами 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(далее  -  офшорные  компании),  а  также российским юридическим</w:t>
      </w:r>
    </w:p>
    <w:p>
      <w:pPr>
        <w:pStyle w:val="1"/>
        <w:jc w:val="both"/>
      </w:pPr>
      <w:r>
        <w:rPr>
          <w:sz w:val="20"/>
        </w:rPr>
        <w:t xml:space="preserve">лицом,   в   уставном  (складочном)  капитале  которого  доля  прямого  или</w:t>
      </w:r>
    </w:p>
    <w:p>
      <w:pPr>
        <w:pStyle w:val="1"/>
        <w:jc w:val="both"/>
      </w:pPr>
      <w:r>
        <w:rPr>
          <w:sz w:val="20"/>
        </w:rPr>
        <w:t xml:space="preserve">косвенного  (через  третьих  лиц)  участия офшорных компаний в совокупности</w:t>
      </w:r>
    </w:p>
    <w:p>
      <w:pPr>
        <w:pStyle w:val="1"/>
        <w:jc w:val="both"/>
      </w:pPr>
      <w:r>
        <w:rPr>
          <w:sz w:val="20"/>
        </w:rPr>
        <w:t xml:space="preserve">превышает  25  процентов  (если  иное  не  предусмотрено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Федерации).  При  расчете  доли  участия  офшорных  компаний  в</w:t>
      </w:r>
    </w:p>
    <w:p>
      <w:pPr>
        <w:pStyle w:val="1"/>
        <w:jc w:val="both"/>
      </w:pPr>
      <w:r>
        <w:rPr>
          <w:sz w:val="20"/>
        </w:rPr>
        <w:t xml:space="preserve">капитале российских юридических лиц не учитывается прямое и (или) косвенное</w:t>
      </w:r>
    </w:p>
    <w:p>
      <w:pPr>
        <w:pStyle w:val="1"/>
        <w:jc w:val="both"/>
      </w:pPr>
      <w:r>
        <w:rPr>
          <w:sz w:val="20"/>
        </w:rPr>
        <w:t xml:space="preserve">участие  офшорных  компаний в капитале публичных акционерных обществ (в том</w:t>
      </w:r>
    </w:p>
    <w:p>
      <w:pPr>
        <w:pStyle w:val="1"/>
        <w:jc w:val="both"/>
      </w:pPr>
      <w:r>
        <w:rPr>
          <w:sz w:val="20"/>
        </w:rPr>
        <w:t xml:space="preserve">числе  со  статусом  международной  компании),  акции которых обращаются на</w:t>
      </w:r>
    </w:p>
    <w:p>
      <w:pPr>
        <w:pStyle w:val="1"/>
        <w:jc w:val="both"/>
      </w:pPr>
      <w:r>
        <w:rPr>
          <w:sz w:val="20"/>
        </w:rPr>
        <w:t xml:space="preserve">организованных  торгах  в  Российской  Федерации, а также косвенное участие</w:t>
      </w:r>
    </w:p>
    <w:p>
      <w:pPr>
        <w:pStyle w:val="1"/>
        <w:jc w:val="both"/>
      </w:pPr>
      <w:r>
        <w:rPr>
          <w:sz w:val="20"/>
        </w:rPr>
        <w:t xml:space="preserve">офшорных   компаний   в   капитале   других   российских  юридических  лиц,</w:t>
      </w:r>
    </w:p>
    <w:p>
      <w:pPr>
        <w:pStyle w:val="1"/>
        <w:jc w:val="both"/>
      </w:pPr>
      <w:r>
        <w:rPr>
          <w:sz w:val="20"/>
        </w:rPr>
        <w:t xml:space="preserve">реализованное  через  участие  в  капитале  указанных публичных акционерных</w:t>
      </w:r>
    </w:p>
    <w:p>
      <w:pPr>
        <w:pStyle w:val="1"/>
        <w:jc w:val="both"/>
      </w:pPr>
      <w:r>
        <w:rPr>
          <w:sz w:val="20"/>
        </w:rPr>
        <w:t xml:space="preserve">обществ;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 в  составляемых  в  рамках  реализации</w:t>
      </w:r>
    </w:p>
    <w:p>
      <w:pPr>
        <w:pStyle w:val="1"/>
        <w:jc w:val="both"/>
      </w:pPr>
      <w:r>
        <w:rPr>
          <w:sz w:val="20"/>
        </w:rPr>
        <w:t xml:space="preserve">полномочий, предусмотренных </w:t>
      </w:r>
      <w:hyperlink w:history="0" r:id="rId2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</w:t>
      </w:r>
    </w:p>
    <w:p>
      <w:pPr>
        <w:pStyle w:val="1"/>
        <w:jc w:val="both"/>
      </w:pPr>
      <w:r>
        <w:rPr>
          <w:sz w:val="20"/>
        </w:rPr>
        <w:t xml:space="preserve">или  органами,  специально  созданными  решениями  Совета Безопасности ООН,</w:t>
      </w:r>
    </w:p>
    <w:p>
      <w:pPr>
        <w:pStyle w:val="1"/>
        <w:jc w:val="both"/>
      </w:pPr>
      <w:r>
        <w:rPr>
          <w:sz w:val="20"/>
        </w:rPr>
        <w:t xml:space="preserve">перечнях  организаций  и  физических  лиц,  связанных  с  террористическими</w:t>
      </w:r>
    </w:p>
    <w:p>
      <w:pPr>
        <w:pStyle w:val="1"/>
        <w:jc w:val="both"/>
      </w:pPr>
      <w:r>
        <w:rPr>
          <w:sz w:val="20"/>
        </w:rPr>
        <w:t xml:space="preserve">организациями  и  террористами  или  с  распространением  оружия  массового</w:t>
      </w:r>
    </w:p>
    <w:p>
      <w:pPr>
        <w:pStyle w:val="1"/>
        <w:jc w:val="both"/>
      </w:pPr>
      <w:r>
        <w:rPr>
          <w:sz w:val="20"/>
        </w:rPr>
        <w:t xml:space="preserve">уничтожения;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 иностранным  агентом  в 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  </w:t>
      </w:r>
      <w:hyperlink w:history="0" r:id="rId2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14  июля  2022  года  N  255-ФЗ  "О контроле за</w:t>
      </w:r>
    </w:p>
    <w:p>
      <w:pPr>
        <w:pStyle w:val="1"/>
        <w:jc w:val="both"/>
      </w:pPr>
      <w:r>
        <w:rPr>
          <w:sz w:val="20"/>
        </w:rPr>
        <w:t xml:space="preserve">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литературных произведений</w:t>
      </w:r>
    </w:p>
    <w:p>
      <w:pPr>
        <w:pStyle w:val="0"/>
        <w:jc w:val="right"/>
      </w:pPr>
      <w:r>
        <w:rPr>
          <w:sz w:val="20"/>
        </w:rPr>
        <w:t xml:space="preserve">писателей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00" w:name="P400"/>
    <w:bookmarkEnd w:id="400"/>
    <w:p>
      <w:pPr>
        <w:pStyle w:val="1"/>
        <w:jc w:val="both"/>
      </w:pPr>
      <w:r>
        <w:rPr>
          <w:sz w:val="20"/>
        </w:rPr>
        <w:t xml:space="preserve">     Проекты, направленные на популяризацию литературных произведений</w:t>
      </w:r>
    </w:p>
    <w:p>
      <w:pPr>
        <w:pStyle w:val="1"/>
        <w:jc w:val="both"/>
      </w:pPr>
      <w:r>
        <w:rPr>
          <w:sz w:val="20"/>
        </w:rPr>
        <w:t xml:space="preserve">                   писателей Липецкой области в 202_ г.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531"/>
        <w:gridCol w:w="1587"/>
        <w:gridCol w:w="1757"/>
        <w:gridCol w:w="178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реализации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литературных произведений</w:t>
      </w:r>
    </w:p>
    <w:p>
      <w:pPr>
        <w:pStyle w:val="0"/>
        <w:jc w:val="right"/>
      </w:pPr>
      <w:r>
        <w:rPr>
          <w:sz w:val="20"/>
        </w:rPr>
        <w:t xml:space="preserve">писателей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46" w:name="P446"/>
    <w:bookmarkEnd w:id="446"/>
    <w:p>
      <w:pPr>
        <w:pStyle w:val="1"/>
        <w:jc w:val="both"/>
      </w:pPr>
      <w:r>
        <w:rPr>
          <w:sz w:val="20"/>
        </w:rPr>
        <w:t xml:space="preserve">        Расчет необходимого объема субсидии на реализацию проектов,</w:t>
      </w:r>
    </w:p>
    <w:p>
      <w:pPr>
        <w:pStyle w:val="1"/>
        <w:jc w:val="both"/>
      </w:pPr>
      <w:r>
        <w:rPr>
          <w:sz w:val="20"/>
        </w:rPr>
        <w:t xml:space="preserve">     направленных на популяризацию литературных произведений писателей</w:t>
      </w:r>
    </w:p>
    <w:p>
      <w:pPr>
        <w:pStyle w:val="1"/>
        <w:jc w:val="both"/>
      </w:pPr>
      <w:r>
        <w:rPr>
          <w:sz w:val="20"/>
        </w:rPr>
        <w:t xml:space="preserve">                        Липецкой области в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2041"/>
        <w:gridCol w:w="1417"/>
        <w:gridCol w:w="1531"/>
        <w:gridCol w:w="130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искусства Липецкой обл. от 22.04.2024 N 155</w:t>
            <w:br/>
            <w:t>"Об утверждении Порядка предоставления субсидии...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5925&amp;dst=100008" TargetMode = "External"/>
	<Relationship Id="rId10" Type="http://schemas.openxmlformats.org/officeDocument/2006/relationships/hyperlink" Target="https://login.consultant.ru/link/?req=doc&amp;base=RLAW220&amp;n=135925&amp;dst=10147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hyperlink" Target="https://login.consultant.ru/link/?req=doc&amp;base=LAW&amp;n=470713&amp;dst=3704" TargetMode = "External"/>
	<Relationship Id="rId20" Type="http://schemas.openxmlformats.org/officeDocument/2006/relationships/hyperlink" Target="https://login.consultant.ru/link/?req=doc&amp;base=LAW&amp;n=470713&amp;dst=3722" TargetMode = "External"/>
	<Relationship Id="rId21" Type="http://schemas.openxmlformats.org/officeDocument/2006/relationships/hyperlink" Target="https://login.consultant.ru/link/?req=doc&amp;base=LAW&amp;n=470713&amp;dst=3704" TargetMode = "External"/>
	<Relationship Id="rId22" Type="http://schemas.openxmlformats.org/officeDocument/2006/relationships/hyperlink" Target="https://login.consultant.ru/link/?req=doc&amp;base=LAW&amp;n=470713&amp;dst=3722" TargetMode = "External"/>
	<Relationship Id="rId23" Type="http://schemas.openxmlformats.org/officeDocument/2006/relationships/hyperlink" Target="https://login.consultant.ru/link/?req=doc&amp;base=LAW&amp;n=121087&amp;dst=100142" TargetMode = "External"/>
	<Relationship Id="rId24" Type="http://schemas.openxmlformats.org/officeDocument/2006/relationships/hyperlink" Target="https://login.consultant.ru/link/?req=doc&amp;base=LAW&amp;n=476448" TargetMode = "External"/>
	<Relationship Id="rId25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искусства Липецкой обл. от 22.04.2024 N 155
"Об утверждении Порядка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области"</dc:title>
  <dcterms:created xsi:type="dcterms:W3CDTF">2024-06-16T16:53:18Z</dcterms:created>
</cp:coreProperties>
</file>