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Магаданской области от 18.10.2019 N 203-у</w:t>
              <w:br/>
              <w:t xml:space="preserve">(ред. от 27.09.2024)</w:t>
              <w:br/>
              <w:t xml:space="preserve">"О премии Губернатора Магаданской области в сфере добровольчества (волонтерства) "Добрые дела"</w:t>
              <w:br/>
              <w:t xml:space="preserve">(вместе с "Положением о премии Губернатора Магаданской области в сфере добровольчества (волонтерства) "Добрые дела")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МАГАДАНСКОЙ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18 октября 2019 г. N 203-у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ПРЕМИИ ГУБЕРНАТОРА МАГАДАНСКОЙ ОБЛАСТИ В СФЕРЕ</w:t>
      </w:r>
    </w:p>
    <w:p>
      <w:pPr>
        <w:pStyle w:val="2"/>
        <w:jc w:val="center"/>
      </w:pPr>
      <w:r>
        <w:rPr>
          <w:sz w:val="20"/>
        </w:rPr>
        <w:t xml:space="preserve">ДОБРОВОЛЬЧЕСТВА (ВОЛОНТЕРСТВА) "ДОБРЫЕ ДЕЛА"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Магаданской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05.03.2020 </w:t>
            </w:r>
            <w:hyperlink w:history="0" r:id="rId7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      <w:r>
                <w:rPr>
                  <w:sz w:val="20"/>
                  <w:color w:val="0000ff"/>
                </w:rPr>
                <w:t xml:space="preserve">N 36-у</w:t>
              </w:r>
            </w:hyperlink>
            <w:r>
              <w:rPr>
                <w:sz w:val="20"/>
                <w:color w:val="392c69"/>
              </w:rPr>
              <w:t xml:space="preserve">, от 20.10.2021 </w:t>
            </w:r>
            <w:hyperlink w:history="0" r:id="rId8" w:tooltip="Указ губернатора Магаданской области от 20.10.2021 N 173-у &quot;О внесении изменений в отдельные акты губернатора Магаданской области&quot; {КонсультантПлюс}">
              <w:r>
                <w:rPr>
                  <w:sz w:val="20"/>
                  <w:color w:val="0000ff"/>
                </w:rPr>
                <w:t xml:space="preserve">N 173-у</w:t>
              </w:r>
            </w:hyperlink>
            <w:r>
              <w:rPr>
                <w:sz w:val="20"/>
                <w:color w:val="392c69"/>
              </w:rPr>
              <w:t xml:space="preserve">, от 27.09.2024 </w:t>
            </w:r>
            <w:hyperlink w:history="0" r:id="rId9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      <w:r>
                <w:rPr>
                  <w:sz w:val="20"/>
                  <w:color w:val="0000ff"/>
                </w:rPr>
                <w:t xml:space="preserve">N 93-у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Закон Магаданской области от 20.07.2021 N 2617-ОЗ (ред. от 09.08.2022) &quot;О молодежной политике в Магаданской области&quot; (принят Магаданской областной Думой 16.07.202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Магаданской области от 20 июля 2021 г. N 2617-ОЗ "О молодежной политике Магаданской области", </w:t>
      </w:r>
      <w:hyperlink w:history="0" r:id="rId11" w:tooltip="Постановление Правительства Магаданской области от 22.12.2023 N 915-пп &quot;Об утверждении государственной программы Магаданской области &quot;Молодежная политика и патриотическое воспитание в Магадан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Магаданской области от 22 декабря 2023 г. N 915-пп "Об утверждении государственной программы Магаданской области "Молодежная политика и патриотическое воспитание в Магаданской области", в целях поддержки и развития добровольческой (волонтерской) деятельности на территории Магаданской области, а также поощрения лучших добровольцев (волонтеров), социально ориентированных некоммерческих организаций - юридических лиц, осуществляющих деятельность по развитию добровольчества (волонтерства) и добровольческих (волонтерских) объединений без образования юридического лица постановляю: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Магаданской области от 05.03.2020 </w:t>
      </w:r>
      <w:hyperlink w:history="0" r:id="rId12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N 36-у</w:t>
        </w:r>
      </w:hyperlink>
      <w:r>
        <w:rPr>
          <w:sz w:val="20"/>
        </w:rPr>
        <w:t xml:space="preserve">, от 20.10.2021 </w:t>
      </w:r>
      <w:hyperlink w:history="0" r:id="rId13" w:tooltip="Указ губернатора Магаданской области от 20.10.2021 N 17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N 173-у</w:t>
        </w:r>
      </w:hyperlink>
      <w:r>
        <w:rPr>
          <w:sz w:val="20"/>
        </w:rPr>
        <w:t xml:space="preserve">, от 27.09.2024 </w:t>
      </w:r>
      <w:hyperlink w:history="0" r:id="rId14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N 93-у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Учредить премию Губернатора Магаданской области в сфере добровольчества (волонтерства) "Добрые дела".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27.09.2024 N 93-у)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33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премии Губернатора Магаданской области в сфере добровольчества (волонтерства) "Добрые дела" согласно приложению к настоящему указу.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27.09.2024 N 93-у)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Настоящий указ подлежит официальному опубликованию.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Магаданской области</w:t>
      </w:r>
    </w:p>
    <w:p>
      <w:pPr>
        <w:pStyle w:val="0"/>
        <w:jc w:val="right"/>
      </w:pPr>
      <w:r>
        <w:rPr>
          <w:sz w:val="20"/>
        </w:rPr>
        <w:t xml:space="preserve">С.К.НОСОВ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 Магаданской области</w:t>
      </w:r>
    </w:p>
    <w:p>
      <w:pPr>
        <w:pStyle w:val="0"/>
        <w:jc w:val="right"/>
      </w:pPr>
      <w:r>
        <w:rPr>
          <w:sz w:val="20"/>
        </w:rPr>
        <w:t xml:space="preserve">от 18 октября 2019 г. N 203-у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ПРЕМИИ ГУБЕРНАТОРА МАГАДАНСКОЙ ОБЛАСТИ В СФЕРЕ</w:t>
      </w:r>
    </w:p>
    <w:p>
      <w:pPr>
        <w:pStyle w:val="2"/>
        <w:jc w:val="center"/>
      </w:pPr>
      <w:r>
        <w:rPr>
          <w:sz w:val="20"/>
        </w:rPr>
        <w:t xml:space="preserve">ДОБРОВОЛЬЧЕСТВА (ВОЛОНТЕРСТВА) "ДОБРЫЕ ДЕЛА"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Магаданской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05.03.2020 </w:t>
            </w:r>
            <w:hyperlink w:history="0" r:id="rId17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      <w:r>
                <w:rPr>
                  <w:sz w:val="20"/>
                  <w:color w:val="0000ff"/>
                </w:rPr>
                <w:t xml:space="preserve">N 36-у</w:t>
              </w:r>
            </w:hyperlink>
            <w:r>
              <w:rPr>
                <w:sz w:val="20"/>
                <w:color w:val="392c69"/>
              </w:rPr>
              <w:t xml:space="preserve">, от 20.10.2021 </w:t>
            </w:r>
            <w:hyperlink w:history="0" r:id="rId18" w:tooltip="Указ губернатора Магаданской области от 20.10.2021 N 173-у &quot;О внесении изменений в отдельные акты губернатора Магаданской области&quot; {КонсультантПлюс}">
              <w:r>
                <w:rPr>
                  <w:sz w:val="20"/>
                  <w:color w:val="0000ff"/>
                </w:rPr>
                <w:t xml:space="preserve">N 173-у</w:t>
              </w:r>
            </w:hyperlink>
            <w:r>
              <w:rPr>
                <w:sz w:val="20"/>
                <w:color w:val="392c69"/>
              </w:rPr>
              <w:t xml:space="preserve">, от 27.09.2024 </w:t>
            </w:r>
            <w:hyperlink w:history="0" r:id="rId19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      <w:r>
                <w:rPr>
                  <w:sz w:val="20"/>
                  <w:color w:val="0000ff"/>
                </w:rPr>
                <w:t xml:space="preserve">N 93-у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устанавливает порядок присуждения и вручения премии Губернатора Магаданской области в сфере добровольчества (волонтерства) "Добрые дела" (далее - Премия).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27.09.2024 N 93-у)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Премия присуждается в целях поддержки и развития добровольческой (волонтерской) деятельности на территории Магаданской области, а также поощрения лучших добровольцев (волонтеров), руководителей социально ориентированных некоммерческих организаций - юридических лиц, осуществляющих деятельность по развитию добровольчества (волонтерства), и лидеров добровольческих (волонтерских) объединений без образования юридического лица.</w:t>
      </w:r>
    </w:p>
    <w:p>
      <w:pPr>
        <w:pStyle w:val="0"/>
        <w:jc w:val="both"/>
      </w:pPr>
      <w:r>
        <w:rPr>
          <w:sz w:val="20"/>
        </w:rPr>
        <w:t xml:space="preserve">(п. 1.2 в ред. </w:t>
      </w:r>
      <w:hyperlink w:history="0" r:id="rId21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05.03.2020 N 36-у)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Решение о присуждении Премии принимается Губернатором Магаданской области в форме распоряжения по итогам конкурсного отбора на право получения Премии (далее - Конкурс) на основании рекомендаций Конкурсной комиссии (далее - Комиссия).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27.09.2024 N 93-у)</w:t>
      </w:r>
    </w:p>
    <w:bookmarkStart w:id="48" w:name="P48"/>
    <w:bookmarkEnd w:id="4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Номинации Премии: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1.4.1. "Участник добровольческого (волонтерского) движения".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1.4.2. "Организатор добровольческой (волонтерской) деятельности".</w:t>
      </w:r>
    </w:p>
    <w:bookmarkStart w:id="51" w:name="P51"/>
    <w:bookmarkEnd w:id="5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1.4.3. "Лучший руководитель добровольческой (волонтерской) организации/объединения".</w:t>
      </w:r>
    </w:p>
    <w:bookmarkStart w:id="52" w:name="P52"/>
    <w:bookmarkEnd w:id="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1.4.4. "Лучший добровольческий (волонтерский) проект".</w:t>
      </w:r>
    </w:p>
    <w:p>
      <w:pPr>
        <w:pStyle w:val="0"/>
        <w:jc w:val="both"/>
      </w:pPr>
      <w:r>
        <w:rPr>
          <w:sz w:val="20"/>
        </w:rPr>
        <w:t xml:space="preserve">(п. 1.4 в ред. </w:t>
      </w:r>
      <w:hyperlink w:history="0" r:id="rId23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05.03.2020 N 36-у)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Утратил силу. - </w:t>
      </w:r>
      <w:hyperlink w:history="0" r:id="rId24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Магаданской области от 05.03.2020 N 36-у.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Органом, уполномоченным осуществлять организацию и обеспечение деятельности по присуждению Премии, является департамент молодежной политики Магаданской области (далее - Уполномоченный орган).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Магаданской области от 05.03.2020 </w:t>
      </w:r>
      <w:hyperlink w:history="0" r:id="rId25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N 36-у</w:t>
        </w:r>
      </w:hyperlink>
      <w:r>
        <w:rPr>
          <w:sz w:val="20"/>
        </w:rPr>
        <w:t xml:space="preserve">, от 27.09.2024 </w:t>
      </w:r>
      <w:hyperlink w:history="0" r:id="rId26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N 93-у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Уполномоченный орган: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осуществляет информирование о проведении Конкурса;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осуществляет прием документов соискателей;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формирует состав и организует работу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осуществляет предварительное рассмотрение документов соискателей;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обеспечивает подготовку проекта распоряжения Губернатора Магаданской области о присуждении Премии;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27.09.2024 N 93-у)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обеспечивает организацию и проведение процедуры награждения лауреатов Премии.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Требования, выдвигаемые к соискателям Премии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В номинациях, указанных в </w:t>
      </w:r>
      <w:hyperlink w:history="0" w:anchor="P48" w:tooltip="1.4. Номинации Премии:">
        <w:r>
          <w:rPr>
            <w:sz w:val="20"/>
            <w:color w:val="0000ff"/>
          </w:rPr>
          <w:t xml:space="preserve">пунктах 1.4.1</w:t>
        </w:r>
      </w:hyperlink>
      <w:r>
        <w:rPr>
          <w:sz w:val="20"/>
        </w:rPr>
        <w:t xml:space="preserve"> - </w:t>
      </w:r>
      <w:hyperlink w:history="0" w:anchor="P48" w:tooltip="1.4. Номинации Премии:">
        <w:r>
          <w:rPr>
            <w:sz w:val="20"/>
            <w:color w:val="0000ff"/>
          </w:rPr>
          <w:t xml:space="preserve">1.4.2</w:t>
        </w:r>
      </w:hyperlink>
      <w:r>
        <w:rPr>
          <w:sz w:val="20"/>
        </w:rPr>
        <w:t xml:space="preserve"> настоящего Положения, Премия присуждается гражданам Российской Федерации в возрасте от 14 лет, проживающим на территории Магаданской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В номинациях, указанных в </w:t>
      </w:r>
      <w:hyperlink w:history="0" w:anchor="P51" w:tooltip="1.4.3. &quot;Лучший руководитель добровольческой (волонтерской) организации/объединения&quot;.">
        <w:r>
          <w:rPr>
            <w:sz w:val="20"/>
            <w:color w:val="0000ff"/>
          </w:rPr>
          <w:t xml:space="preserve">пунктах 1.4.3</w:t>
        </w:r>
      </w:hyperlink>
      <w:r>
        <w:rPr>
          <w:sz w:val="20"/>
        </w:rPr>
        <w:t xml:space="preserve"> - </w:t>
      </w:r>
      <w:hyperlink w:history="0" w:anchor="P52" w:tooltip="1.4.4. &quot;Лучший добровольческий (волонтерский) проект&quot;.">
        <w:r>
          <w:rPr>
            <w:sz w:val="20"/>
            <w:color w:val="0000ff"/>
          </w:rPr>
          <w:t xml:space="preserve">1.4.4</w:t>
        </w:r>
      </w:hyperlink>
      <w:r>
        <w:rPr>
          <w:sz w:val="20"/>
        </w:rPr>
        <w:t xml:space="preserve"> настоящего Положения, присуждается руководителям социально ориентированных некоммерческих организаций - юридических лиц, осуществляющих деятельность по развитию добровольчества (волонтерства), и лидерам добровольческих (волонтерских) объединений без образования юридического лица, осуществляющим деятельность не менее 1 года.</w:t>
      </w:r>
    </w:p>
    <w:p>
      <w:pPr>
        <w:pStyle w:val="0"/>
        <w:jc w:val="both"/>
      </w:pPr>
      <w:r>
        <w:rPr>
          <w:sz w:val="20"/>
        </w:rPr>
        <w:t xml:space="preserve">(п. 2.2 в ред. </w:t>
      </w:r>
      <w:hyperlink w:history="0" r:id="rId28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05.03.2020 N 36-у)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Соискатели Премии должны быть зарегистрированы в единой информационной системе в сфере развития добровольчества (волонтерства) "Добровольцы России" на сайте https://dobro.ru.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Магаданской области от 20.10.2021 </w:t>
      </w:r>
      <w:hyperlink w:history="0" r:id="rId29" w:tooltip="Указ губернатора Магаданской области от 20.10.2021 N 17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N 173-у</w:t>
        </w:r>
      </w:hyperlink>
      <w:r>
        <w:rPr>
          <w:sz w:val="20"/>
        </w:rPr>
        <w:t xml:space="preserve">, от 27.09.2024 </w:t>
      </w:r>
      <w:hyperlink w:history="0" r:id="rId30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N 93-у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Выдвижение кандидатур на соискание Премии осуществляется органами государственной власти Магаданской области, органами местного самоуправления, образовательными организациями, органами молодежного самоуправления, общественными организациями, средствами массовой информации и иными организациями и учреждениями, осуществляющими свою деятельность на территории Магаданской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Кандидаты, ставшие лауреатами Премии, не могут повторно подать заявку на соискание Премии в течение двух лет.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и сроки рассмотрения документов на соискание</w:t>
      </w:r>
    </w:p>
    <w:p>
      <w:pPr>
        <w:pStyle w:val="2"/>
        <w:jc w:val="center"/>
      </w:pPr>
      <w:r>
        <w:rPr>
          <w:sz w:val="20"/>
        </w:rPr>
        <w:t xml:space="preserve">Премии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Для участия в Конкурсе соискателям Премии, а также руководителям/представителям организаций/объединений необходимо до 1 ноября (ежегодно) заполнить заявку на участие в Федеральной государственной автоматизированной системе "Молодежь России" на сайте </w:t>
      </w:r>
      <w:hyperlink w:history="0" r:id="rId31">
        <w:r>
          <w:rPr>
            <w:sz w:val="20"/>
            <w:color w:val="0000ff"/>
          </w:rPr>
          <w:t xml:space="preserve">https://myrosmol.ru</w:t>
        </w:r>
      </w:hyperlink>
      <w:r>
        <w:rPr>
          <w:sz w:val="20"/>
        </w:rPr>
        <w:t xml:space="preserve"> (далее - ФГАИС "Молодежь России").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Магаданской области от 05.03.2020 </w:t>
      </w:r>
      <w:hyperlink w:history="0" r:id="rId32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N 36-у</w:t>
        </w:r>
      </w:hyperlink>
      <w:r>
        <w:rPr>
          <w:sz w:val="20"/>
        </w:rPr>
        <w:t xml:space="preserve">, от 27.09.2024 </w:t>
      </w:r>
      <w:hyperlink w:history="0" r:id="rId33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N 93-у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Форма заявки на соискание Премии формируется Уполномоченным органом в соответствии с критериями оценки лауреатов Премии.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Критерии оценки и определение лауреатов Премии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85" w:name="P85"/>
    <w:bookmarkEnd w:id="85"/>
    <w:p>
      <w:pPr>
        <w:pStyle w:val="0"/>
        <w:ind w:firstLine="540"/>
        <w:jc w:val="both"/>
      </w:pPr>
      <w:r>
        <w:rPr>
          <w:sz w:val="20"/>
        </w:rPr>
        <w:t xml:space="preserve">4.1. Премия присуждается по результатам деятельности соискателя за 2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Основными критериями оценки при определении лауреатов Премии в номинации, указанной в </w:t>
      </w:r>
      <w:hyperlink w:history="0" w:anchor="P48" w:tooltip="1.4. Номинации Премии:">
        <w:r>
          <w:rPr>
            <w:sz w:val="20"/>
            <w:color w:val="0000ff"/>
          </w:rPr>
          <w:t xml:space="preserve">пункте 1.4.1</w:t>
        </w:r>
      </w:hyperlink>
      <w:r>
        <w:rPr>
          <w:sz w:val="20"/>
        </w:rPr>
        <w:t xml:space="preserve">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количество мероприятий в сфере добровольчества (волонтерства), в которых принял участие соискатель;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вклад соискателя в организацию и/или реализацию добровольческих (волонтерских) программ/проектов и акций;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количество реализованных соискателем авторских добровольческих (волонтерских) программ/проектов и акций;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количество граждан, вовлеченных соискателем в добровольческую деятельность;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соискателя в федеральных, региональных и муниципальных конкурсах, форумах и слетах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мотивация к участию в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результаты добровольческой (волонтерской) деятельности соискателя по итогам работы за два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Основными критериями оценки при определении лауреатов Премии в номинации, указанной в </w:t>
      </w:r>
      <w:hyperlink w:history="0" w:anchor="P48" w:tooltip="1.4. Номинации Премии:">
        <w:r>
          <w:rPr>
            <w:sz w:val="20"/>
            <w:color w:val="0000ff"/>
          </w:rPr>
          <w:t xml:space="preserve">пункте 1.4.2</w:t>
        </w:r>
      </w:hyperlink>
      <w:r>
        <w:rPr>
          <w:sz w:val="20"/>
        </w:rPr>
        <w:t xml:space="preserve">,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количество реализованных соискателем авторских добровольческих (волонтерских) программ/проектов и акций;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количество реализованных соискателем программ/проектов и акций, направленных на информирование населения о добровольчестве (волонтерстве);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количество реализованных соискателем программ/проектов и акций, направленных на обучение участников добровольческого (волонтерского) 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соискателя в федеральных, региональных и муниципальных конкурсах, форумах и слетах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результаты деятельности соискателя в качестве организатора добровольческой (волонтерской) деятельности по итогам работы за два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Основными критериями оценки при определении лауреатов Премии в номинации, указанной в </w:t>
      </w:r>
      <w:hyperlink w:history="0" w:anchor="P51" w:tooltip="1.4.3. &quot;Лучший руководитель добровольческой (волонтерской) организации/объединения&quot;.">
        <w:r>
          <w:rPr>
            <w:sz w:val="20"/>
            <w:color w:val="0000ff"/>
          </w:rPr>
          <w:t xml:space="preserve">пунктах 1.4.3</w:t>
        </w:r>
      </w:hyperlink>
      <w:r>
        <w:rPr>
          <w:sz w:val="20"/>
        </w:rPr>
        <w:t xml:space="preserve">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количество реализованных объединением/организацией под руководством соискателя добровольческих (волонтерских) проектов;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количество реализованных объединением/организацией под руководством соискателя добровольческих (волонтерских) программ, акций;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наличие и количество публикаций о программах/проектах и акциях организации/объединения;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наличие и количество публикаций о реализации организацией/объединением под руководством соискателя добровольческих (волонтерских) программ/проектов и акций в СМИ;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соискателя в федеральных, региональных и муниципальных конкурсах, форумах и слетах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количество граждан, вовлеченных в добровольческую (волонтерскую) деятельность соискателем;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результаты добровольческой (волонтерской) деятельности организации/объединения под руководством соискателя по итогам работы за два года.</w:t>
      </w:r>
    </w:p>
    <w:p>
      <w:pPr>
        <w:pStyle w:val="0"/>
        <w:jc w:val="both"/>
      </w:pPr>
      <w:r>
        <w:rPr>
          <w:sz w:val="20"/>
        </w:rPr>
        <w:t xml:space="preserve">(п. 4.4 в ред. </w:t>
      </w:r>
      <w:hyperlink w:history="0" r:id="rId34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05.03.2020 N 36-у)</w:t>
      </w:r>
    </w:p>
    <w:bookmarkStart w:id="109" w:name="P109"/>
    <w:bookmarkEnd w:id="10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Основными критериями оценки при определении лауреатов Премии в номинации, указанной в </w:t>
      </w:r>
      <w:hyperlink w:history="0" w:anchor="P52" w:tooltip="1.4.4. &quot;Лучший добровольческий (волонтерский) проект&quot;.">
        <w:r>
          <w:rPr>
            <w:sz w:val="20"/>
            <w:color w:val="0000ff"/>
          </w:rPr>
          <w:t xml:space="preserve">пункте 1.4.4</w:t>
        </w:r>
      </w:hyperlink>
      <w:r>
        <w:rPr>
          <w:sz w:val="20"/>
        </w:rPr>
        <w:t xml:space="preserve">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актуальность и социальная значимость добровольческого (волонтерского) проекта;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инновационность и уникальность добровольческого (волонтерского) проекта;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результаты и социальный эффект добровольческого (волонтерского) проекта;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масштаб (география) реализации добровольческого (волонтерского) проекта;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информационное сопровождение добровольческого (волонтерского) проекта.</w:t>
      </w:r>
    </w:p>
    <w:p>
      <w:pPr>
        <w:pStyle w:val="0"/>
        <w:jc w:val="both"/>
      </w:pPr>
      <w:r>
        <w:rPr>
          <w:sz w:val="20"/>
        </w:rPr>
        <w:t xml:space="preserve">(п. 4.5 в ред. </w:t>
      </w:r>
      <w:hyperlink w:history="0" r:id="rId35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05.03.2020 N 36-у)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Оценка кандидатов на соискание Премии осуществляется Комиссией на основании критериев, указанных в </w:t>
      </w:r>
      <w:hyperlink w:history="0" w:anchor="P85" w:tooltip="4.1. Премия присуждается по результатам деятельности соискателя за 2 года.">
        <w:r>
          <w:rPr>
            <w:sz w:val="20"/>
            <w:color w:val="0000ff"/>
          </w:rPr>
          <w:t xml:space="preserve">пунктах 4.1</w:t>
        </w:r>
      </w:hyperlink>
      <w:r>
        <w:rPr>
          <w:sz w:val="20"/>
        </w:rPr>
        <w:t xml:space="preserve"> - </w:t>
      </w:r>
      <w:hyperlink w:history="0" w:anchor="P109" w:tooltip="4.5. Основными критериями оценки при определении лауреатов Премии в номинации, указанной в пункте 1.4.4 являются:">
        <w:r>
          <w:rPr>
            <w:sz w:val="20"/>
            <w:color w:val="0000ff"/>
          </w:rPr>
          <w:t xml:space="preserve">4.5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(п. 4.6 в ред. </w:t>
      </w:r>
      <w:hyperlink w:history="0" r:id="rId36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05.03.2020 N 36-у)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В состав Комиссии могут входить: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представители органов государственной власти, учреждений и организаций Магаданской области, осуществляющих деятельность в сфере образования, культуры, спорта, медицины, экологии, молодежной и социальной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представители некоммерческих организаций Магаданской области, имеющих значительный опыт деятельности по развитию и поддержке добровольческих (волонтерских) инициатив;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представители средств массовой информации, научного сообщества.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Персональный состав комиссии численностью не менее 5 человек, включая председателя комиссии, утверждается приказом Уполномоченного органа.</w:t>
      </w:r>
    </w:p>
    <w:p>
      <w:pPr>
        <w:pStyle w:val="0"/>
        <w:jc w:val="both"/>
      </w:pPr>
      <w:r>
        <w:rPr>
          <w:sz w:val="20"/>
        </w:rPr>
        <w:t xml:space="preserve">(п. 4.8 в ред. </w:t>
      </w:r>
      <w:hyperlink w:history="0" r:id="rId37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05.03.2020 N 36-у)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Комиссия: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осуществляет рассмотрение заявок кандидатов на соискание Премии;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проводит оценку заявок кандидатов на соискание Премии в соответствии с критериями оценки;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готовит рекомендации Губернатору Магаданской области для принятия решения о присуждении Премии.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27.09.2024 N 93-у)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Заседание Комиссии считается правомочным, если на нем присутствует не менее 2/3 от утвержденного состава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Комиссия проводит оценку заявок кандидатов не позднее одного месяца со дня окончания приема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4.12. Решение Комиссии с рекомендациями о присуждении Премии соискателям принимаются путем открытого голосования большинством голосов присутствующих на заседании членов Комиссии, и оформляются в форме протокола заседания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4.13. При равенстве голосов голос председателя Комиссии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4.14. В случае отсутствия конкурентоспособных заявок, Комиссией конкурса по согласованию с Уполномоченным органом может быть принято решение о признании несостоявшимися отдельные номинации Конкурса.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4.15. Протокол заседания Комиссии подписывается председателем Комиссии и направляется для подготовки проекта распоряжения Губернатора Магаданской области о присуждении Премии в Уполномоченный орган не позднее 10 дней со дня принятия решения.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27.09.2024 N 93-у)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4.16. Протокол заседания Комиссии носит рекомендательный характер. Окончательное решение об утверждении списка лауреатов Премии принимает Губернатор Магаданской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27.09.2024 N 93-у)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4.17. Распоряжение губернатора Магаданской области о присуждении Премии подлежит официальному опубликованию.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Присуждение Премий и награждение лауреатов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Соискателям, удостоенным Премии, присваивается звание "Лауреат премии Губернатора Магаданской области в сфере добровольчества "Добрые дела", выплачивается финансовое вознаграждение и в торжественной обстановке вручаются свидетельства о присуждении Премии.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27.09.2024 N 93-у)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Выплата финансового вознаграждения победителям конкурса осуществляется путем перечисления средств на расчетный счет, указанный лауреатом.</w:t>
      </w:r>
    </w:p>
    <w:p>
      <w:pPr>
        <w:pStyle w:val="0"/>
        <w:jc w:val="both"/>
      </w:pPr>
      <w:r>
        <w:rPr>
          <w:sz w:val="20"/>
        </w:rPr>
        <w:t xml:space="preserve">(п. 5.2 в ред. </w:t>
      </w:r>
      <w:hyperlink w:history="0" r:id="rId42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Магаданской области от 05.03.2020 N 36-у)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Финансирование расходов, связанных с реализацией настоящего Положения, осуществляется в пределах средств, предусмотренных государственной </w:t>
      </w:r>
      <w:hyperlink w:history="0" r:id="rId43" w:tooltip="Постановление Правительства Магаданской области от 22.12.2023 N 915-пп &quot;Об утверждении государственной программы Магаданской области &quot;Молодежная политика и патриотическое воспитание в Магаданской области&quot;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Магаданской области "Молодежная политика и патриотическое воспитание в Магаданской области", утвержденной постановлением Правительства Магаданской области от 22 декабря 2023 г. N 915-пп "Об утверждении государственной программы Магаданской области "Молодежная политика и патриотическое воспитание в Магаданской области".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Магаданской области от 05.03.2020 </w:t>
      </w:r>
      <w:hyperlink w:history="0" r:id="rId44" w:tooltip="Указ губернатора Магаданской области от 05.03.2020 N 36-у &quot;О внесении изменений в указ губернатора Магаданской области от 18 октября 2019 г. N 203-у&quot; {КонсультантПлюс}">
        <w:r>
          <w:rPr>
            <w:sz w:val="20"/>
            <w:color w:val="0000ff"/>
          </w:rPr>
          <w:t xml:space="preserve">N 36-у</w:t>
        </w:r>
      </w:hyperlink>
      <w:r>
        <w:rPr>
          <w:sz w:val="20"/>
        </w:rPr>
        <w:t xml:space="preserve">, от 27.09.2024 </w:t>
      </w:r>
      <w:hyperlink w:history="0" r:id="rId45" w:tooltip="Указ Губернатора Магаданской области от 27.09.2024 N 93-у &quot;О внесении изменений в отдельные акты Губернатора Магаданской области&quot; {КонсультантПлюс}">
        <w:r>
          <w:rPr>
            <w:sz w:val="20"/>
            <w:color w:val="0000ff"/>
          </w:rPr>
          <w:t xml:space="preserve">N 93-у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Магаданской области от 18.10.2019 N 203-у</w:t>
            <w:br/>
            <w:t>(ред. от 27.09.2024)</w:t>
            <w:br/>
            <w:t>"О премии Губернатора Магаданской област...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39&amp;n=88625&amp;dst=100005" TargetMode = "External"/>
	<Relationship Id="rId8" Type="http://schemas.openxmlformats.org/officeDocument/2006/relationships/hyperlink" Target="https://login.consultant.ru/link/?req=doc&amp;base=RLAW439&amp;n=99624&amp;dst=100005" TargetMode = "External"/>
	<Relationship Id="rId9" Type="http://schemas.openxmlformats.org/officeDocument/2006/relationships/hyperlink" Target="https://login.consultant.ru/link/?req=doc&amp;base=RLAW439&amp;n=122121&amp;dst=100026" TargetMode = "External"/>
	<Relationship Id="rId10" Type="http://schemas.openxmlformats.org/officeDocument/2006/relationships/hyperlink" Target="https://login.consultant.ru/link/?req=doc&amp;base=RLAW439&amp;n=106175" TargetMode = "External"/>
	<Relationship Id="rId11" Type="http://schemas.openxmlformats.org/officeDocument/2006/relationships/hyperlink" Target="https://login.consultant.ru/link/?req=doc&amp;base=RLAW439&amp;n=116414" TargetMode = "External"/>
	<Relationship Id="rId12" Type="http://schemas.openxmlformats.org/officeDocument/2006/relationships/hyperlink" Target="https://login.consultant.ru/link/?req=doc&amp;base=RLAW439&amp;n=88625&amp;dst=100006" TargetMode = "External"/>
	<Relationship Id="rId13" Type="http://schemas.openxmlformats.org/officeDocument/2006/relationships/hyperlink" Target="https://login.consultant.ru/link/?req=doc&amp;base=RLAW439&amp;n=99624&amp;dst=100006" TargetMode = "External"/>
	<Relationship Id="rId14" Type="http://schemas.openxmlformats.org/officeDocument/2006/relationships/hyperlink" Target="https://login.consultant.ru/link/?req=doc&amp;base=RLAW439&amp;n=122121&amp;dst=100028" TargetMode = "External"/>
	<Relationship Id="rId15" Type="http://schemas.openxmlformats.org/officeDocument/2006/relationships/hyperlink" Target="https://login.consultant.ru/link/?req=doc&amp;base=RLAW439&amp;n=122121&amp;dst=100029" TargetMode = "External"/>
	<Relationship Id="rId16" Type="http://schemas.openxmlformats.org/officeDocument/2006/relationships/hyperlink" Target="https://login.consultant.ru/link/?req=doc&amp;base=RLAW439&amp;n=122121&amp;dst=100030" TargetMode = "External"/>
	<Relationship Id="rId17" Type="http://schemas.openxmlformats.org/officeDocument/2006/relationships/hyperlink" Target="https://login.consultant.ru/link/?req=doc&amp;base=RLAW439&amp;n=88625&amp;dst=100007" TargetMode = "External"/>
	<Relationship Id="rId18" Type="http://schemas.openxmlformats.org/officeDocument/2006/relationships/hyperlink" Target="https://login.consultant.ru/link/?req=doc&amp;base=RLAW439&amp;n=99624&amp;dst=100007" TargetMode = "External"/>
	<Relationship Id="rId19" Type="http://schemas.openxmlformats.org/officeDocument/2006/relationships/hyperlink" Target="https://login.consultant.ru/link/?req=doc&amp;base=RLAW439&amp;n=122121&amp;dst=100031" TargetMode = "External"/>
	<Relationship Id="rId20" Type="http://schemas.openxmlformats.org/officeDocument/2006/relationships/hyperlink" Target="https://login.consultant.ru/link/?req=doc&amp;base=RLAW439&amp;n=122121&amp;dst=100033" TargetMode = "External"/>
	<Relationship Id="rId21" Type="http://schemas.openxmlformats.org/officeDocument/2006/relationships/hyperlink" Target="https://login.consultant.ru/link/?req=doc&amp;base=RLAW439&amp;n=88625&amp;dst=100008" TargetMode = "External"/>
	<Relationship Id="rId22" Type="http://schemas.openxmlformats.org/officeDocument/2006/relationships/hyperlink" Target="https://login.consultant.ru/link/?req=doc&amp;base=RLAW439&amp;n=122121&amp;dst=100034" TargetMode = "External"/>
	<Relationship Id="rId23" Type="http://schemas.openxmlformats.org/officeDocument/2006/relationships/hyperlink" Target="https://login.consultant.ru/link/?req=doc&amp;base=RLAW439&amp;n=88625&amp;dst=100010" TargetMode = "External"/>
	<Relationship Id="rId24" Type="http://schemas.openxmlformats.org/officeDocument/2006/relationships/hyperlink" Target="https://login.consultant.ru/link/?req=doc&amp;base=RLAW439&amp;n=88625&amp;dst=100016" TargetMode = "External"/>
	<Relationship Id="rId25" Type="http://schemas.openxmlformats.org/officeDocument/2006/relationships/hyperlink" Target="https://login.consultant.ru/link/?req=doc&amp;base=RLAW439&amp;n=88625&amp;dst=100017" TargetMode = "External"/>
	<Relationship Id="rId26" Type="http://schemas.openxmlformats.org/officeDocument/2006/relationships/hyperlink" Target="https://login.consultant.ru/link/?req=doc&amp;base=RLAW439&amp;n=122121&amp;dst=100035" TargetMode = "External"/>
	<Relationship Id="rId27" Type="http://schemas.openxmlformats.org/officeDocument/2006/relationships/hyperlink" Target="https://login.consultant.ru/link/?req=doc&amp;base=RLAW439&amp;n=122121&amp;dst=100036" TargetMode = "External"/>
	<Relationship Id="rId28" Type="http://schemas.openxmlformats.org/officeDocument/2006/relationships/hyperlink" Target="https://login.consultant.ru/link/?req=doc&amp;base=RLAW439&amp;n=88625&amp;dst=100018" TargetMode = "External"/>
	<Relationship Id="rId29" Type="http://schemas.openxmlformats.org/officeDocument/2006/relationships/hyperlink" Target="https://login.consultant.ru/link/?req=doc&amp;base=RLAW439&amp;n=99624&amp;dst=100007" TargetMode = "External"/>
	<Relationship Id="rId30" Type="http://schemas.openxmlformats.org/officeDocument/2006/relationships/hyperlink" Target="https://login.consultant.ru/link/?req=doc&amp;base=RLAW439&amp;n=122121&amp;dst=100037" TargetMode = "External"/>
	<Relationship Id="rId31" Type="http://schemas.openxmlformats.org/officeDocument/2006/relationships/hyperlink" Target="https://myrosmol.ru" TargetMode = "External"/>
	<Relationship Id="rId32" Type="http://schemas.openxmlformats.org/officeDocument/2006/relationships/hyperlink" Target="https://login.consultant.ru/link/?req=doc&amp;base=RLAW439&amp;n=88625&amp;dst=100020" TargetMode = "External"/>
	<Relationship Id="rId33" Type="http://schemas.openxmlformats.org/officeDocument/2006/relationships/hyperlink" Target="https://login.consultant.ru/link/?req=doc&amp;base=RLAW439&amp;n=122121&amp;dst=100038" TargetMode = "External"/>
	<Relationship Id="rId34" Type="http://schemas.openxmlformats.org/officeDocument/2006/relationships/hyperlink" Target="https://login.consultant.ru/link/?req=doc&amp;base=RLAW439&amp;n=88625&amp;dst=100021" TargetMode = "External"/>
	<Relationship Id="rId35" Type="http://schemas.openxmlformats.org/officeDocument/2006/relationships/hyperlink" Target="https://login.consultant.ru/link/?req=doc&amp;base=RLAW439&amp;n=88625&amp;dst=100030" TargetMode = "External"/>
	<Relationship Id="rId36" Type="http://schemas.openxmlformats.org/officeDocument/2006/relationships/hyperlink" Target="https://login.consultant.ru/link/?req=doc&amp;base=RLAW439&amp;n=88625&amp;dst=100037" TargetMode = "External"/>
	<Relationship Id="rId37" Type="http://schemas.openxmlformats.org/officeDocument/2006/relationships/hyperlink" Target="https://login.consultant.ru/link/?req=doc&amp;base=RLAW439&amp;n=88625&amp;dst=100039" TargetMode = "External"/>
	<Relationship Id="rId38" Type="http://schemas.openxmlformats.org/officeDocument/2006/relationships/hyperlink" Target="https://login.consultant.ru/link/?req=doc&amp;base=RLAW439&amp;n=122121&amp;dst=100039" TargetMode = "External"/>
	<Relationship Id="rId39" Type="http://schemas.openxmlformats.org/officeDocument/2006/relationships/hyperlink" Target="https://login.consultant.ru/link/?req=doc&amp;base=RLAW439&amp;n=122121&amp;dst=100040" TargetMode = "External"/>
	<Relationship Id="rId40" Type="http://schemas.openxmlformats.org/officeDocument/2006/relationships/hyperlink" Target="https://login.consultant.ru/link/?req=doc&amp;base=RLAW439&amp;n=122121&amp;dst=100041" TargetMode = "External"/>
	<Relationship Id="rId41" Type="http://schemas.openxmlformats.org/officeDocument/2006/relationships/hyperlink" Target="https://login.consultant.ru/link/?req=doc&amp;base=RLAW439&amp;n=122121&amp;dst=100042" TargetMode = "External"/>
	<Relationship Id="rId42" Type="http://schemas.openxmlformats.org/officeDocument/2006/relationships/hyperlink" Target="https://login.consultant.ru/link/?req=doc&amp;base=RLAW439&amp;n=88625&amp;dst=100041" TargetMode = "External"/>
	<Relationship Id="rId43" Type="http://schemas.openxmlformats.org/officeDocument/2006/relationships/hyperlink" Target="https://login.consultant.ru/link/?req=doc&amp;base=RLAW439&amp;n=116414&amp;dst=100068" TargetMode = "External"/>
	<Relationship Id="rId44" Type="http://schemas.openxmlformats.org/officeDocument/2006/relationships/hyperlink" Target="https://login.consultant.ru/link/?req=doc&amp;base=RLAW439&amp;n=88625&amp;dst=100043" TargetMode = "External"/>
	<Relationship Id="rId45" Type="http://schemas.openxmlformats.org/officeDocument/2006/relationships/hyperlink" Target="https://login.consultant.ru/link/?req=doc&amp;base=RLAW439&amp;n=122121&amp;dst=10004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Магаданской области от 18.10.2019 N 203-у
(ред. от 27.09.2024)
"О премии Губернатора Магаданской области в сфере добровольчества (волонтерства) "Добрые дела"
(вместе с "Положением о премии Губернатора Магаданской области в сфере добровольчества (волонтерства) "Добрые дела")</dc:title>
  <dcterms:created xsi:type="dcterms:W3CDTF">2024-12-30T07:19:21Z</dcterms:created>
</cp:coreProperties>
</file>