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МО от 17.03.2021 N 74-ПГ</w:t>
              <w:br/>
              <w:t xml:space="preserve">(ред. от 17.11.2023)</w:t>
              <w:br/>
              <w:t xml:space="preserve">"Об утверждении Порядка согласования и утверждения уставов казачьих обществ, создаваемых (действующих) на территории Московской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2021 г. N 74-ПГ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СОГЛАСОВАНИЯ И УТВЕРЖДЕНИЯ УСТАВОВ</w:t>
      </w:r>
    </w:p>
    <w:p>
      <w:pPr>
        <w:pStyle w:val="2"/>
        <w:jc w:val="center"/>
      </w:pPr>
      <w:r>
        <w:rPr>
          <w:sz w:val="20"/>
        </w:rPr>
        <w:t xml:space="preserve">КАЗАЧЬИХ ОБЩЕСТВ, СОЗДАВАЕМЫХ (ДЕЙСТВУЮЩИХ) НА ТЕРРИТОРИИ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МО от 17.11.2023 N 408-ПГ &quot;О внесении изменений в некоторые постановления Губернатора Московской области в сфере безопас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МО от 17.11.2023 N 408-ПГ)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15.06.1992 N 632 "О мерах по реализации Закона Российской Федерации "О реабилитации репрессированных народов" в отношении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и утверждения уставов казачьих обществ, создаваемых (действующих)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Вице-губернатора Московской области Каратаева Р.А.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" w:tooltip="Постановление Губернатора МО от 17.11.2023 N 408-ПГ &quot;О внесении изменений в некоторые постановления Губернатора Московской области в сфере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МО от 17.11.2023 N 408-ПГ)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17 марта 2021 г. N 74-ПГ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СОГЛАСОВАНИЯ И УТВЕРЖДЕНИЯ УСТАВОВ КАЗАЧЬИХ ОБЩЕСТВ,</w:t>
      </w:r>
    </w:p>
    <w:p>
      <w:pPr>
        <w:pStyle w:val="2"/>
        <w:jc w:val="center"/>
      </w:pPr>
      <w:r>
        <w:rPr>
          <w:sz w:val="20"/>
        </w:rPr>
        <w:t xml:space="preserve">СОЗДАВАЕМЫХ (ДЕЙСТВУЮЩИХ) НА ТЕРРИТОРИИ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согласования Губернатором Московской области уставов казачьих обществ, указанных в </w:t>
      </w:r>
      <w:hyperlink w:history="0" r:id="rId10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, </w:t>
      </w:r>
      <w:hyperlink w:history="0" r:id="rId11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от 15.06.1992 N 632 "О мерах по реализации Закона Российской Федерации "О реабилитации репрессированных народов" в отношении казачества" (далее - Указ N 632), сроки и порядок их представления и рассмотрения, порядок принятия решений о согласовании уставов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утверждения Губернатором Московской области уставов казачьих обществ, указанных в </w:t>
      </w:r>
      <w:hyperlink w:history="0" r:id="rId12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3.2-4</w:t>
        </w:r>
      </w:hyperlink>
      <w:r>
        <w:rPr>
          <w:sz w:val="20"/>
        </w:rPr>
        <w:t xml:space="preserve">, </w:t>
      </w:r>
      <w:hyperlink w:history="0" r:id="rId13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Указа N 632, сроки и порядок их представления и рассмотрения, порядок принятия решений об утверждении уставов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Московской области согласовывает: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окружных (отдельских) казачьих обществ, создаваемых (действующих) на территориях двух и более субъектов Российской Федерации, одним из которых является Московская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войсковых казачьих обществ, осуществляющих деятельность на территориях двух и более субъектов Российской Федерации, одним из которых является Московская область.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Согласование уставов казачьих обществ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высшим органом управления казачьего общества решения об утверждении устава этого казачьего общества.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Московской области представление о согласовании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 согласовании устава действующего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4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устав казачьего общества в новой редакции.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Московской области представление о согласовании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 согласовании устава создаваемого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6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устав казачьего общества.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Московской области.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Указанные в </w:t>
      </w:r>
      <w:hyperlink w:history="0" w:anchor="P44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49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Губернатором Московской области в течение 14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устава казачьего общества или уведомление об отказе в согласовании устава казачьего общества оформляется письмом, подписанным Губернатором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Представление о согласовании устава казачьего общества с приложенными к нему документами направляется в Главное управление региональной безопасности Московской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10 календарных дней со дня поступления представления о согласовании устава казачьего общества осуществляет его предварительное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предварительного рассмотрения представления о согласовании устава казачьего общества и прилагаемых к нему документов уполномоченный орган готовит заключение о соответствии (несоответствии) представления о согласовании устава казачьего общества и прилагаемых к нему документов и (или) процедуры представления указанных документов требованиям настоящего Порядка (далее - заключение о рассмотрении представления о согласовании устава), а также проект одного из решений в соответствии с </w:t>
      </w:r>
      <w:hyperlink w:history="0" w:anchor="P62" w:tooltip="10. Губернатор Московской области, рассмотрев представление о согласовании устава казачьего общества, прилагаемые к нему документы и заключение о рассмотрении представления о согласовании устава, принимает одно из следующих решени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представление о согласовании устава казачьего общества с прилагаемыми к нему документами, заключение о рассмотрении представления о согласовании устава, а также проект одного из решений в соответствии с </w:t>
      </w:r>
      <w:hyperlink w:history="0" w:anchor="P62" w:tooltip="10. Губернатор Московской области, рассмотрев представление о согласовании устава казачьего общества, прилагаемые к нему документы и заключение о рассмотрении представления о согласовании устава, принимает одно из следующих решени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представляются уполномоченным органом Губернатору Московской области для принятия соответствующего решения.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Губернатор Московской области, рассмотрев представление о согласовании устава казачьего общества, прилагаемые к нему документы и заключение о рассмотрении представления о согласовании устава, принимает одно из следующих решений: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устава казачьего общества;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согласовании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решения, предусмотренного </w:t>
      </w:r>
      <w:hyperlink w:history="0" w:anchor="P63" w:tooltip="о согласовании устава казачьего общества;">
        <w:r>
          <w:rPr>
            <w:sz w:val="20"/>
            <w:color w:val="0000ff"/>
          </w:rPr>
          <w:t xml:space="preserve">абзацем вторым пункта 10</w:t>
        </w:r>
      </w:hyperlink>
      <w:r>
        <w:rPr>
          <w:sz w:val="20"/>
        </w:rPr>
        <w:t xml:space="preserve"> настоящего Порядка, Губернатор Московской области подписывает письмо о согласовании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решения, предусмотренного </w:t>
      </w:r>
      <w:hyperlink w:history="0" w:anchor="P64" w:tooltip="об отказе в согласовании устава казачьего общества.">
        <w:r>
          <w:rPr>
            <w:sz w:val="20"/>
            <w:color w:val="0000ff"/>
          </w:rPr>
          <w:t xml:space="preserve">абзацем третьим пункта 10</w:t>
        </w:r>
      </w:hyperlink>
      <w:r>
        <w:rPr>
          <w:sz w:val="20"/>
        </w:rPr>
        <w:t xml:space="preserve"> настоящего Порядка, Губернатор Московской области подписывает уведомление об отказе в согласовании устава казачьего общества с указанием оснований, послуживших причиной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решении уполномоченный орган информирует атамана казачьего общества либо уполномоченное лицо в письменной форме в течение 3 календарных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44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1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49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Отказ в согласовании устава казачьего общества не является препятствием для повторного направления Губернатору Московской области представления о согласовании устава казачьего общества и документов, предусмотренных </w:t>
      </w:r>
      <w:hyperlink w:history="0" w:anchor="P44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49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 согласовании устава казачьего общества и документов, предусмотренных </w:t>
      </w:r>
      <w:hyperlink w:history="0" w:anchor="P44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49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history="0" w:anchor="P54" w:tooltip="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Московской области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72" w:tooltip="14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44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49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Московской области представление о согласовании устава казачьего общества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Распоряжением Губернатора Московской области утверждаются: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районных (юртовых) казачьих обществ, создаваемых (действующих) на территориях двух и более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уставы окружных (отдельских) казачьих обществ, создаваемых (действующих) на территории Московской области.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Утверждение уставов окружных (отдельских) казачьих обществ, создаваемых (действующих) на территории Московской области,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Московской области).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Утверждение уставов районных (юртовых) казачьих обществ, создаваемых (действующих) на территориях двух и более муниципальных образований Московской области, осуществляется после согласования с главами соответствующих муниципальных образований Московской области, а также с атаманом окружного (отдельского) казачьего общества (если окружное (отдельское) казачье общество осуществляет деятельность на территории Московской области).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об утверждении устава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2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3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писем о согласовании устава казачьего общества должностными лицами, названными в </w:t>
      </w:r>
      <w:hyperlink w:history="0" w:anchor="P82" w:tooltip="17. Утверждение уставов окружных (отдельских) казачьих обществ, создаваемых (действующих) на территории Московской области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Московской области).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 и </w:t>
      </w:r>
      <w:hyperlink w:history="0" w:anchor="P83" w:tooltip="18. Утверждение уставов районных (юртовых) казачьих обществ, создаваемых (действующих) на территориях двух и более муниципальных образований Московской области, осуществляется после согласования с главами соответствующих муниципальных образований Московской области, а также с атаманом окружного (отдельского) казачьего общества (если окружное (отдельское) казачье общество осуществляет деятельность на территории Московской области)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устав казачьего общества на бумажном носителе и в электронном виде.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об утверждении устава казачьего общества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4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писем о согласовании устава казачьего общества должностными лицами, названными в </w:t>
      </w:r>
      <w:hyperlink w:history="0" w:anchor="P82" w:tooltip="17. Утверждение уставов окружных (отдельских) казачьих обществ, создаваемых (действующих) на территории Московской области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Московской области).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 и </w:t>
      </w:r>
      <w:hyperlink w:history="0" w:anchor="P83" w:tooltip="18. Утверждение уставов районных (юртовых) казачьих обществ, создаваемых (действующих) на территориях двух и более муниципальных образований Московской области, осуществляется после согласования с главами соответствующих муниципальных образований Московской области, а также с атаманом окружного (отдельского) казачьего общества (если окружное (отдельское) казачье общество осуществляет деятельность на территории Московской области)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устав казачьего общества на бумажном носителе и в электронном виде.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Указанные в </w:t>
      </w:r>
      <w:hyperlink w:history="0" w:anchor="P84" w:tooltip="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90" w:tooltip="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Рассмотрение документов, указанных в </w:t>
      </w:r>
      <w:hyperlink w:history="0" w:anchor="P84" w:tooltip="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90" w:tooltip="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и принятие решения об утверждении либо об отказе в утверждении устава казачьего общества осуществляется Губернатором Московской области в течение 30 календарных дней со дня поступления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Представление об утверждении устава казачьего общества с приложенными к нему документами направляется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20 календарных дней со дня поступления представления об утверждении устава казачьего общества осуществляет его предварительное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предварительного рассмотрения представления об утверждении устава казачьего общества и прилагаемых к нему документов уполномоченный орган готовит заключение о соответствии (несоответствии) представления об утверждении устава казачьего общества и прилагаемых к нему документов и (или) процедуры представления указанных документов требованиям настоящего Порядка (далее - заключение о рассмотрении представления об утверждении устава), а также проект одного из решений в соответствии с </w:t>
      </w:r>
      <w:hyperlink w:history="0" w:anchor="P102" w:tooltip="24. Губернатор Московской области, рассмотрев представление об утверждении устава казачьего общества, прилагаемые к нему документы и заключение о рассмотрении представления об утверждении устава, принимает одно из следующих решений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представление об утверждении устава казачьего общества с прилагаемыми к нему документами, заключение о рассмотрении представления об утверждении устава, а также проект одного из решений в соответствии с </w:t>
      </w:r>
      <w:hyperlink w:history="0" w:anchor="P102" w:tooltip="24. Губернатор Московской области, рассмотрев представление об утверждении устава казачьего общества, прилагаемые к нему документы и заключение о рассмотрении представления об утверждении устава, принимает одно из следующих решений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 представляются уполномоченным органом Губернатору Московской области для принятия соответствующего решения.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Губернатор Московской области, рассмотрев представление об утверждении устава казачьего общества, прилагаемые к нему документы и заключение о рассмотрении представления об утверждении устава, принимает одно из следующих решений: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утверждении устава казачьего общества;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утверждении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принятия решения, предусмотренного </w:t>
      </w:r>
      <w:hyperlink w:history="0" w:anchor="P103" w:tooltip="об утверждении устава казачьего общества;">
        <w:r>
          <w:rPr>
            <w:sz w:val="20"/>
            <w:color w:val="0000ff"/>
          </w:rPr>
          <w:t xml:space="preserve">абзацем вторым пункта 24</w:t>
        </w:r>
      </w:hyperlink>
      <w:r>
        <w:rPr>
          <w:sz w:val="20"/>
        </w:rPr>
        <w:t xml:space="preserve"> настоящего Порядка, Губернатор Московской области подписывает распоряжение об утверждении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решения, предусмотренного </w:t>
      </w:r>
      <w:hyperlink w:history="0" w:anchor="P104" w:tooltip="об отказе в утверждении устава казачьего общества.">
        <w:r>
          <w:rPr>
            <w:sz w:val="20"/>
            <w:color w:val="0000ff"/>
          </w:rPr>
          <w:t xml:space="preserve">абзацем третьим пункта 24</w:t>
        </w:r>
      </w:hyperlink>
      <w:r>
        <w:rPr>
          <w:sz w:val="20"/>
        </w:rPr>
        <w:t xml:space="preserve"> настоящего Порядка, Губернатор Московской области подписывает уведомление об отказе в утверждении устава казачьего общества с указанием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утверждении устава казачьего общества оформляется письмом, подписанным Губернатором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 принятом решении уполномоченный орган информирует атамана казачьего общества либо уполномоченное лицо в письменной форме в течение 5 календарных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84" w:tooltip="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6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90" w:tooltip="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Отказ в утверждении устава казачьего общества не является препятствием для повторного направления Губернатору Московской области представления об утверждении устава казачьего общества и документов, предусмотренных </w:t>
      </w:r>
      <w:hyperlink w:history="0" w:anchor="P84" w:tooltip="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0" w:tooltip="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 документов, предусмотренных </w:t>
      </w:r>
      <w:hyperlink w:history="0" w:anchor="P84" w:tooltip="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0" w:tooltip="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history="0" w:anchor="P96" w:tooltip="21. Указанные в пунктах 19 и 20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- </w:t>
      </w:r>
      <w:hyperlink w:history="0" w:anchor="P113" w:tooltip="28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84" w:tooltip="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0" w:tooltip="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на имя Губернатора Московской области представление об утверждении устава казачьего обществ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МО от 17.03.2021 N 74-ПГ</w:t>
            <w:br/>
            <w:t>(ред. от 17.11.2023)</w:t>
            <w:br/>
            <w:t>"Об утверждении Порядка согласования и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MOB&amp;n=392865&amp;dst=100020" TargetMode = "External"/>
	<Relationship Id="rId8" Type="http://schemas.openxmlformats.org/officeDocument/2006/relationships/hyperlink" Target="https://login.consultant.ru/link/?req=doc&amp;base=LAW&amp;n=470034&amp;dst=100058" TargetMode = "External"/>
	<Relationship Id="rId9" Type="http://schemas.openxmlformats.org/officeDocument/2006/relationships/hyperlink" Target="https://login.consultant.ru/link/?req=doc&amp;base=MOB&amp;n=392865&amp;dst=100021" TargetMode = "External"/>
	<Relationship Id="rId10" Type="http://schemas.openxmlformats.org/officeDocument/2006/relationships/hyperlink" Target="https://login.consultant.ru/link/?req=doc&amp;base=LAW&amp;n=470034&amp;dst=100055" TargetMode = "External"/>
	<Relationship Id="rId11" Type="http://schemas.openxmlformats.org/officeDocument/2006/relationships/hyperlink" Target="https://login.consultant.ru/link/?req=doc&amp;base=LAW&amp;n=470034&amp;dst=100062" TargetMode = "External"/>
	<Relationship Id="rId12" Type="http://schemas.openxmlformats.org/officeDocument/2006/relationships/hyperlink" Target="https://login.consultant.ru/link/?req=doc&amp;base=LAW&amp;n=470034&amp;dst=100053" TargetMode = "External"/>
	<Relationship Id="rId13" Type="http://schemas.openxmlformats.org/officeDocument/2006/relationships/hyperlink" Target="https://login.consultant.ru/link/?req=doc&amp;base=LAW&amp;n=470034&amp;dst=100054" TargetMode = "External"/>
	<Relationship Id="rId14" Type="http://schemas.openxmlformats.org/officeDocument/2006/relationships/hyperlink" Target="https://login.consultant.ru/link/?req=doc&amp;base=LAW&amp;n=471848&amp;dst=100264" TargetMode = "External"/>
	<Relationship Id="rId15" Type="http://schemas.openxmlformats.org/officeDocument/2006/relationships/hyperlink" Target="https://login.consultant.ru/link/?req=doc&amp;base=LAW&amp;n=471848&amp;dst=411" TargetMode = "External"/>
	<Relationship Id="rId16" Type="http://schemas.openxmlformats.org/officeDocument/2006/relationships/hyperlink" Target="https://login.consultant.ru/link/?req=doc&amp;base=LAW&amp;n=471848&amp;dst=100264" TargetMode = "External"/>
	<Relationship Id="rId17" Type="http://schemas.openxmlformats.org/officeDocument/2006/relationships/hyperlink" Target="https://login.consultant.ru/link/?req=doc&amp;base=LAW&amp;n=471848&amp;dst=411" TargetMode = "External"/>
	<Relationship Id="rId18" Type="http://schemas.openxmlformats.org/officeDocument/2006/relationships/hyperlink" Target="https://login.consultant.ru/link/?req=doc&amp;base=LAW&amp;n=471848&amp;dst=100264" TargetMode = "External"/>
	<Relationship Id="rId19" Type="http://schemas.openxmlformats.org/officeDocument/2006/relationships/hyperlink" Target="https://login.consultant.ru/link/?req=doc&amp;base=LAW&amp;n=471848&amp;dst=411" TargetMode = "External"/>
	<Relationship Id="rId20" Type="http://schemas.openxmlformats.org/officeDocument/2006/relationships/hyperlink" Target="https://login.consultant.ru/link/?req=doc&amp;base=LAW&amp;n=471848&amp;dst=100264" TargetMode = "External"/>
	<Relationship Id="rId21" Type="http://schemas.openxmlformats.org/officeDocument/2006/relationships/hyperlink" Target="https://login.consultant.ru/link/?req=doc&amp;base=LAW&amp;n=471848&amp;dst=411" TargetMode = "External"/>
	<Relationship Id="rId22" Type="http://schemas.openxmlformats.org/officeDocument/2006/relationships/hyperlink" Target="https://login.consultant.ru/link/?req=doc&amp;base=LAW&amp;n=471848&amp;dst=100264" TargetMode = "External"/>
	<Relationship Id="rId23" Type="http://schemas.openxmlformats.org/officeDocument/2006/relationships/hyperlink" Target="https://login.consultant.ru/link/?req=doc&amp;base=LAW&amp;n=471848&amp;dst=411" TargetMode = "External"/>
	<Relationship Id="rId24" Type="http://schemas.openxmlformats.org/officeDocument/2006/relationships/hyperlink" Target="https://login.consultant.ru/link/?req=doc&amp;base=LAW&amp;n=471848" TargetMode = "External"/>
	<Relationship Id="rId25" Type="http://schemas.openxmlformats.org/officeDocument/2006/relationships/hyperlink" Target="https://login.consultant.ru/link/?req=doc&amp;base=LAW&amp;n=471848" TargetMode = "External"/>
	<Relationship Id="rId26" Type="http://schemas.openxmlformats.org/officeDocument/2006/relationships/hyperlink" Target="https://login.consultant.ru/link/?req=doc&amp;base=LAW&amp;n=4718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МО от 17.03.2021 N 74-ПГ
(ред. от 17.11.2023)
"Об утверждении Порядка согласования и утверждения уставов казачьих обществ, создаваемых (действующих) на территории Московской области"</dc:title>
  <dcterms:created xsi:type="dcterms:W3CDTF">2024-06-14T15:11:38Z</dcterms:created>
</cp:coreProperties>
</file>